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Chart of Accounts Setup Guide</w:t>
      </w:r>
    </w:p>
    <w:p>
      <w:pPr/>
      <w:r>
        <w:rPr>
          <w:color w:val="7F8C8D"/>
          <w:sz w:val="20"/>
        </w:rPr>
        <w:t>Standard account structures by industry with account numbers and descriptions.</w:t>
      </w:r>
    </w:p>
    <w:p/>
    <w:p>
      <w:pPr>
        <w:pStyle w:val="Heading1"/>
      </w:pPr>
      <w:r>
        <w:rPr>
          <w:color w:val="0F3460"/>
        </w:rPr>
        <w:t>ABOUT THE CHART OF ACCOUNTS</w:t>
      </w:r>
    </w:p>
    <w:p>
      <w:r>
        <w:t>The Chart of Accounts (COA) is the backbone of any set of books. A well-structured COA makes financial reports meaningful and comparisons over time possible. Set it up correctly at the start — restructuring a COA mid-year is painful.</w:t>
      </w:r>
    </w:p>
    <w:p>
      <w:r>
        <w:t>NUMBERING CONVENTION (use consistently across all clients):</w:t>
      </w:r>
    </w:p>
    <w:p>
      <w:pPr>
        <w:pStyle w:val="ListBullet"/>
      </w:pPr>
      <w:r>
        <w:t>1000–1999: Assets</w:t>
      </w:r>
    </w:p>
    <w:p>
      <w:pPr>
        <w:pStyle w:val="ListBullet"/>
      </w:pPr>
      <w:r>
        <w:t>2000–2999: Liabilities</w:t>
      </w:r>
    </w:p>
    <w:p>
      <w:pPr>
        <w:pStyle w:val="ListBullet"/>
      </w:pPr>
      <w:r>
        <w:t>3000–3999: Equity</w:t>
      </w:r>
    </w:p>
    <w:p>
      <w:pPr>
        <w:pStyle w:val="ListBullet"/>
      </w:pPr>
      <w:r>
        <w:t>4000–4999: Income / Revenue</w:t>
      </w:r>
    </w:p>
    <w:p>
      <w:pPr>
        <w:pStyle w:val="ListBullet"/>
      </w:pPr>
      <w:r>
        <w:t>5000–5999: Cost of Goods Sold (COGS) / Cost of Sales</w:t>
      </w:r>
    </w:p>
    <w:p>
      <w:pPr>
        <w:pStyle w:val="ListBullet"/>
      </w:pPr>
      <w:r>
        <w:t>6000–7999: Operating Expenses (Overhead)</w:t>
      </w:r>
    </w:p>
    <w:p>
      <w:pPr>
        <w:pStyle w:val="ListBullet"/>
      </w:pPr>
      <w:r>
        <w:t>8000–8999: Other Income</w:t>
      </w:r>
    </w:p>
    <w:p>
      <w:pPr>
        <w:pStyle w:val="ListBullet"/>
      </w:pPr>
      <w:r>
        <w:t>9000–9999: Other Expenses / Non-operating</w:t>
      </w:r>
    </w:p>
    <w:p>
      <w:pPr>
        <w:pStyle w:val="Heading1"/>
      </w:pPr>
      <w:r>
        <w:rPr>
          <w:color w:val="0F3460"/>
        </w:rPr>
        <w:t>SERVICE BUSINESS STANDARD CHART OF ACCOUNTS</w:t>
      </w:r>
    </w:p>
    <w:p>
      <w:r>
        <w:t>Suitable for: Consulting, marketing agencies, staffing, IT services, law firms, accountants.</w:t>
      </w:r>
    </w:p>
    <w:p>
      <w:r>
        <w:t>ASSETS:</w:t>
      </w:r>
    </w:p>
    <w:p>
      <w:pPr>
        <w:pStyle w:val="ListBullet"/>
      </w:pPr>
      <w:r>
        <w:t>1010 — Checking Account (Operating)</w:t>
      </w:r>
    </w:p>
    <w:p>
      <w:pPr>
        <w:pStyle w:val="ListBullet"/>
      </w:pPr>
      <w:r>
        <w:t>1020 — Savings Account / Tax Reserve</w:t>
      </w:r>
    </w:p>
    <w:p>
      <w:pPr>
        <w:pStyle w:val="ListBullet"/>
      </w:pPr>
      <w:r>
        <w:t>1030 — Petty Cash</w:t>
      </w:r>
    </w:p>
    <w:p>
      <w:pPr>
        <w:pStyle w:val="ListBullet"/>
      </w:pPr>
      <w:r>
        <w:t>1100 — Accounts Receivable</w:t>
      </w:r>
    </w:p>
    <w:p>
      <w:pPr>
        <w:pStyle w:val="ListBullet"/>
      </w:pPr>
      <w:r>
        <w:t>1200 — Prepaid Expenses</w:t>
      </w:r>
    </w:p>
    <w:p>
      <w:pPr>
        <w:pStyle w:val="ListBullet"/>
      </w:pPr>
      <w:r>
        <w:t>1500 — Office Equipment (Cost)</w:t>
      </w:r>
    </w:p>
    <w:p>
      <w:pPr>
        <w:pStyle w:val="ListBullet"/>
      </w:pPr>
      <w:r>
        <w:t>1510 — Accumulated Depreciation — Office Equipment</w:t>
      </w:r>
    </w:p>
    <w:p>
      <w:r>
        <w:t>LIABILITIES:</w:t>
      </w:r>
    </w:p>
    <w:p>
      <w:pPr>
        <w:pStyle w:val="ListBullet"/>
      </w:pPr>
      <w:r>
        <w:t>2010 — Accounts Payable</w:t>
      </w:r>
    </w:p>
    <w:p>
      <w:pPr>
        <w:pStyle w:val="ListBullet"/>
      </w:pPr>
      <w:r>
        <w:t>2100 — Credit Cards Payable</w:t>
      </w:r>
    </w:p>
    <w:p>
      <w:pPr>
        <w:pStyle w:val="ListBullet"/>
      </w:pPr>
      <w:r>
        <w:t>2200 — Payroll Liabilities (Federal Withholding, FICA, State)</w:t>
      </w:r>
    </w:p>
    <w:p>
      <w:pPr>
        <w:pStyle w:val="ListBullet"/>
      </w:pPr>
      <w:r>
        <w:t>2300 — Sales Tax Payable (if applicable)</w:t>
      </w:r>
    </w:p>
    <w:p>
      <w:pPr>
        <w:pStyle w:val="ListBullet"/>
      </w:pPr>
      <w:r>
        <w:t>2500 — Loans Payable</w:t>
      </w:r>
    </w:p>
    <w:p>
      <w:pPr>
        <w:pStyle w:val="ListBullet"/>
      </w:pPr>
      <w:r>
        <w:t>2700 — Deferred Revenue / Unearned Revenue</w:t>
      </w:r>
    </w:p>
    <w:p>
      <w:r>
        <w:t>EQUITY:</w:t>
      </w:r>
    </w:p>
    <w:p>
      <w:pPr>
        <w:pStyle w:val="ListBullet"/>
      </w:pPr>
      <w:r>
        <w:t>3000 — Owner's Capital / Member's Equity</w:t>
      </w:r>
    </w:p>
    <w:p>
      <w:pPr>
        <w:pStyle w:val="ListBullet"/>
      </w:pPr>
      <w:r>
        <w:t>3100 — Owner's Draw</w:t>
      </w:r>
    </w:p>
    <w:p>
      <w:pPr>
        <w:pStyle w:val="ListBullet"/>
      </w:pPr>
      <w:r>
        <w:t>3200 — Retained Earnings</w:t>
      </w:r>
    </w:p>
    <w:p>
      <w:r>
        <w:t>INCOME:</w:t>
      </w:r>
    </w:p>
    <w:p>
      <w:pPr>
        <w:pStyle w:val="ListBullet"/>
      </w:pPr>
      <w:r>
        <w:t>4000 — Service Revenue (primary)</w:t>
      </w:r>
    </w:p>
    <w:p>
      <w:pPr>
        <w:pStyle w:val="ListBullet"/>
      </w:pPr>
      <w:r>
        <w:t>4100 — Consulting Fees</w:t>
      </w:r>
    </w:p>
    <w:p>
      <w:pPr>
        <w:pStyle w:val="ListBullet"/>
      </w:pPr>
      <w:r>
        <w:t>4200 — Retainer Income</w:t>
      </w:r>
    </w:p>
    <w:p>
      <w:pPr>
        <w:pStyle w:val="ListBullet"/>
      </w:pPr>
      <w:r>
        <w:t>4900 — Discounts Given (contra-revenue)</w:t>
      </w:r>
    </w:p>
    <w:p>
      <w:r>
        <w:t>EXPENSES — Operating:</w:t>
      </w:r>
    </w:p>
    <w:p>
      <w:pPr>
        <w:pStyle w:val="ListBullet"/>
      </w:pPr>
      <w:r>
        <w:t>6010 — Advertising &amp; Marketing</w:t>
      </w:r>
    </w:p>
    <w:p>
      <w:pPr>
        <w:pStyle w:val="ListBullet"/>
      </w:pPr>
      <w:r>
        <w:t>6020 — Bank Service Charges</w:t>
      </w:r>
    </w:p>
    <w:p>
      <w:pPr>
        <w:pStyle w:val="ListBullet"/>
      </w:pPr>
      <w:r>
        <w:t>6030 — Computer &amp; Software Subscriptions</w:t>
      </w:r>
    </w:p>
    <w:p>
      <w:pPr>
        <w:pStyle w:val="ListBullet"/>
      </w:pPr>
      <w:r>
        <w:t>6040 — Contractor / Subcontractor Fees</w:t>
      </w:r>
    </w:p>
    <w:p>
      <w:pPr>
        <w:pStyle w:val="ListBullet"/>
      </w:pPr>
      <w:r>
        <w:t>6050 — Dues &amp; Subscriptions (professional memberships)</w:t>
      </w:r>
    </w:p>
    <w:p>
      <w:pPr>
        <w:pStyle w:val="ListBullet"/>
      </w:pPr>
      <w:r>
        <w:t>6060 — Insurance — General Liability</w:t>
      </w:r>
    </w:p>
    <w:p>
      <w:pPr>
        <w:pStyle w:val="ListBullet"/>
      </w:pPr>
      <w:r>
        <w:t>6070 — Insurance — Professional Liability / E&amp;O</w:t>
      </w:r>
    </w:p>
    <w:p>
      <w:pPr>
        <w:pStyle w:val="ListBullet"/>
      </w:pPr>
      <w:r>
        <w:t>6080 — Legal &amp; Professional Fees</w:t>
      </w:r>
    </w:p>
    <w:p>
      <w:pPr>
        <w:pStyle w:val="ListBullet"/>
      </w:pPr>
      <w:r>
        <w:t>6090 — Meals &amp; Entertainment (50% deductible)</w:t>
      </w:r>
    </w:p>
    <w:p>
      <w:pPr>
        <w:pStyle w:val="ListBullet"/>
      </w:pPr>
      <w:r>
        <w:t>6100 — Office Supplies</w:t>
      </w:r>
    </w:p>
    <w:p>
      <w:pPr>
        <w:pStyle w:val="ListBullet"/>
      </w:pPr>
      <w:r>
        <w:t>6110 — Payroll Expenses — Wages</w:t>
      </w:r>
    </w:p>
    <w:p>
      <w:pPr>
        <w:pStyle w:val="ListBullet"/>
      </w:pPr>
      <w:r>
        <w:t>6120 — Payroll Expenses — Employer Taxes (FICA, FUTA, SUTA)</w:t>
      </w:r>
    </w:p>
    <w:p>
      <w:pPr>
        <w:pStyle w:val="ListBullet"/>
      </w:pPr>
      <w:r>
        <w:t>6130 — Payroll Expenses — Benefits</w:t>
      </w:r>
    </w:p>
    <w:p>
      <w:pPr>
        <w:pStyle w:val="ListBullet"/>
      </w:pPr>
      <w:r>
        <w:t>6140 — Postage &amp; Shipping</w:t>
      </w:r>
    </w:p>
    <w:p>
      <w:pPr>
        <w:pStyle w:val="ListBullet"/>
      </w:pPr>
      <w:r>
        <w:t>6150 — Rent / Lease — Office</w:t>
      </w:r>
    </w:p>
    <w:p>
      <w:pPr>
        <w:pStyle w:val="ListBullet"/>
      </w:pPr>
      <w:r>
        <w:t>6160 — Telephone &amp; Internet</w:t>
      </w:r>
    </w:p>
    <w:p>
      <w:pPr>
        <w:pStyle w:val="ListBullet"/>
      </w:pPr>
      <w:r>
        <w:t>6170 — Travel Expenses</w:t>
      </w:r>
    </w:p>
    <w:p>
      <w:pPr>
        <w:pStyle w:val="ListBullet"/>
      </w:pPr>
      <w:r>
        <w:t>6180 — Vehicle Expense / Mileage</w:t>
      </w:r>
    </w:p>
    <w:p>
      <w:pPr>
        <w:pStyle w:val="ListBullet"/>
      </w:pPr>
      <w:r>
        <w:t>6190 — Continuing Education &amp; Training</w:t>
      </w:r>
    </w:p>
    <w:p>
      <w:pPr>
        <w:pStyle w:val="ListBullet"/>
      </w:pPr>
      <w:r>
        <w:t>6200 — Depreciation Expense</w:t>
      </w:r>
    </w:p>
    <w:p>
      <w:pPr>
        <w:pStyle w:val="ListBullet"/>
      </w:pPr>
      <w:r>
        <w:t>6900 — Miscellaneous Expense</w:t>
      </w:r>
    </w:p>
    <w:p>
      <w:pPr>
        <w:pStyle w:val="Heading1"/>
      </w:pPr>
      <w:r>
        <w:rPr>
          <w:color w:val="0F3460"/>
        </w:rPr>
        <w:t>RETAIL BUSINESS CHART OF ACCOUNTS</w:t>
      </w:r>
    </w:p>
    <w:p>
      <w:r>
        <w:t>Additions/modifications from service business template for product-based businesses:</w:t>
      </w:r>
    </w:p>
    <w:p>
      <w:r>
        <w:t>ASSETS (add to service template):</w:t>
      </w:r>
    </w:p>
    <w:p>
      <w:pPr>
        <w:pStyle w:val="ListBullet"/>
      </w:pPr>
      <w:r>
        <w:t>1300 — Inventory Asset</w:t>
      </w:r>
    </w:p>
    <w:p>
      <w:pPr>
        <w:pStyle w:val="ListBullet"/>
      </w:pPr>
      <w:r>
        <w:t>1310 — Inventory — Raw Materials (if manufacturing)</w:t>
      </w:r>
    </w:p>
    <w:p>
      <w:pPr>
        <w:pStyle w:val="ListBullet"/>
      </w:pPr>
      <w:r>
        <w:t>1400 — Deposits (vendor deposits)</w:t>
      </w:r>
    </w:p>
    <w:p>
      <w:r>
        <w:t>INCOME:</w:t>
      </w:r>
    </w:p>
    <w:p>
      <w:pPr>
        <w:pStyle w:val="ListBullet"/>
      </w:pPr>
      <w:r>
        <w:t>4000 — Sales Revenue — Products</w:t>
      </w:r>
    </w:p>
    <w:p>
      <w:pPr>
        <w:pStyle w:val="ListBullet"/>
      </w:pPr>
      <w:r>
        <w:t>4100 — Sales Revenue — Online (Shopify/Amazon/eBay)</w:t>
      </w:r>
    </w:p>
    <w:p>
      <w:pPr>
        <w:pStyle w:val="ListBullet"/>
      </w:pPr>
      <w:r>
        <w:t>4200 — Sales Revenue — In-Store (POS)</w:t>
      </w:r>
    </w:p>
    <w:p>
      <w:pPr>
        <w:pStyle w:val="ListBullet"/>
      </w:pPr>
      <w:r>
        <w:t>4800 — Shipping Income</w:t>
      </w:r>
    </w:p>
    <w:p>
      <w:pPr>
        <w:pStyle w:val="ListBullet"/>
      </w:pPr>
      <w:r>
        <w:t>4900 — Sales Returns &amp; Allowances (contra-revenue)</w:t>
      </w:r>
    </w:p>
    <w:p>
      <w:r>
        <w:t>COST OF GOODS SOLD (separate from operating expenses):</w:t>
      </w:r>
    </w:p>
    <w:p>
      <w:pPr>
        <w:pStyle w:val="ListBullet"/>
      </w:pPr>
      <w:r>
        <w:t>5000 — Cost of Goods Sold</w:t>
      </w:r>
    </w:p>
    <w:p>
      <w:pPr>
        <w:pStyle w:val="ListBullet"/>
      </w:pPr>
      <w:r>
        <w:t>5010 — Inventory Purchases</w:t>
      </w:r>
    </w:p>
    <w:p>
      <w:pPr>
        <w:pStyle w:val="ListBullet"/>
      </w:pPr>
      <w:r>
        <w:t>5020 — Freight-In / Shipping Costs (to receive goods)</w:t>
      </w:r>
    </w:p>
    <w:p>
      <w:pPr>
        <w:pStyle w:val="ListBullet"/>
      </w:pPr>
      <w:r>
        <w:t>5030 — Inventory Shrinkage / Write-offs</w:t>
      </w:r>
    </w:p>
    <w:p>
      <w:r>
        <w:t>OPERATING EXPENSES (add to service template):</w:t>
      </w:r>
    </w:p>
    <w:p>
      <w:pPr>
        <w:pStyle w:val="ListBullet"/>
      </w:pPr>
      <w:r>
        <w:t>6210 — Credit Card Processing Fees (Shopify, Square, Stripe)</w:t>
      </w:r>
    </w:p>
    <w:p>
      <w:pPr>
        <w:pStyle w:val="ListBullet"/>
      </w:pPr>
      <w:r>
        <w:t>6220 — Platform Fees (Amazon seller fees, eBay fees)</w:t>
      </w:r>
    </w:p>
    <w:p>
      <w:pPr>
        <w:pStyle w:val="ListBullet"/>
      </w:pPr>
      <w:r>
        <w:t>6230 — Warehouse / Storage Expense</w:t>
      </w:r>
    </w:p>
    <w:p>
      <w:pPr>
        <w:pStyle w:val="Heading1"/>
      </w:pPr>
      <w:r>
        <w:rPr>
          <w:color w:val="0F3460"/>
        </w:rPr>
        <w:t>RESTAURANT CHART OF ACCOUNTS</w:t>
      </w:r>
    </w:p>
    <w:p>
      <w:r>
        <w:t>Restaurants have unique cost structures — use these industry-specific accounts.</w:t>
      </w:r>
    </w:p>
    <w:p>
      <w:r>
        <w:t>COST OF GOODS SOLD:</w:t>
      </w:r>
    </w:p>
    <w:p>
      <w:pPr>
        <w:pStyle w:val="ListBullet"/>
      </w:pPr>
      <w:r>
        <w:t>5000 — Food Cost</w:t>
      </w:r>
    </w:p>
    <w:p>
      <w:pPr>
        <w:pStyle w:val="ListBullet"/>
      </w:pPr>
      <w:r>
        <w:t>5010 — Beverage Cost — Non-Alcoholic</w:t>
      </w:r>
    </w:p>
    <w:p>
      <w:pPr>
        <w:pStyle w:val="ListBullet"/>
      </w:pPr>
      <w:r>
        <w:t>5020 — Beverage Cost — Alcoholic (Beer)</w:t>
      </w:r>
    </w:p>
    <w:p>
      <w:pPr>
        <w:pStyle w:val="ListBullet"/>
      </w:pPr>
      <w:r>
        <w:t>5030 — Beverage Cost — Alcoholic (Wine)</w:t>
      </w:r>
    </w:p>
    <w:p>
      <w:pPr>
        <w:pStyle w:val="ListBullet"/>
      </w:pPr>
      <w:r>
        <w:t>5040 — Beverage Cost — Alcoholic (Spirits)</w:t>
      </w:r>
    </w:p>
    <w:p>
      <w:pPr>
        <w:pStyle w:val="ListBullet"/>
      </w:pPr>
      <w:r>
        <w:t>5050 — Packaging &amp; Supplies (to-go containers, napkins)</w:t>
      </w:r>
    </w:p>
    <w:p>
      <w:r>
        <w:t>INDUSTRY BENCHMARKS FOR P&amp;L ANALYSIS:</w:t>
      </w:r>
    </w:p>
    <w:p>
      <w:pPr>
        <w:pStyle w:val="ListBullet"/>
      </w:pPr>
      <w:r>
        <w:t>Food cost target: 28–35% of food revenue</w:t>
      </w:r>
    </w:p>
    <w:p>
      <w:pPr>
        <w:pStyle w:val="ListBullet"/>
      </w:pPr>
      <w:r>
        <w:t>Beverage cost target: 20–25% of beverage revenue</w:t>
      </w:r>
    </w:p>
    <w:p>
      <w:pPr>
        <w:pStyle w:val="ListBullet"/>
      </w:pPr>
      <w:r>
        <w:t>Labor cost target: 25–35% of total revenue (including taxes and benefits)</w:t>
      </w:r>
    </w:p>
    <w:p>
      <w:pPr>
        <w:pStyle w:val="ListBullet"/>
      </w:pPr>
      <w:r>
        <w:t>Prime cost (food + labor) target: under 60% of revenue</w:t>
      </w:r>
    </w:p>
    <w:p>
      <w:r>
        <w:t>EXPENSE ACCOUNTS (restaurant-specific):</w:t>
      </w:r>
    </w:p>
    <w:p>
      <w:pPr>
        <w:pStyle w:val="ListBullet"/>
      </w:pPr>
      <w:r>
        <w:t>6300 — Direct Labor — Kitchen</w:t>
      </w:r>
    </w:p>
    <w:p>
      <w:pPr>
        <w:pStyle w:val="ListBullet"/>
      </w:pPr>
      <w:r>
        <w:t>6310 — Direct Labor — Front of House</w:t>
      </w:r>
    </w:p>
    <w:p>
      <w:pPr>
        <w:pStyle w:val="ListBullet"/>
      </w:pPr>
      <w:r>
        <w:t>6320 — Management Salaries</w:t>
      </w:r>
    </w:p>
    <w:p>
      <w:pPr>
        <w:pStyle w:val="ListBullet"/>
      </w:pPr>
      <w:r>
        <w:t>6330 — Payroll Taxes — Restaurant Staff</w:t>
      </w:r>
    </w:p>
    <w:p>
      <w:pPr>
        <w:pStyle w:val="ListBullet"/>
      </w:pPr>
      <w:r>
        <w:t>6340 — Smallwares &amp; Kitchen Supplies</w:t>
      </w:r>
    </w:p>
    <w:p>
      <w:pPr>
        <w:pStyle w:val="ListBullet"/>
      </w:pPr>
      <w:r>
        <w:t>6350 — Linen &amp; Uniforms</w:t>
      </w:r>
    </w:p>
    <w:p>
      <w:pPr>
        <w:pStyle w:val="ListBullet"/>
      </w:pPr>
      <w:r>
        <w:t>6360 — Repair &amp; Maintenance — Equipment</w:t>
      </w:r>
    </w:p>
    <w:p>
      <w:pPr>
        <w:pStyle w:val="ListBullet"/>
      </w:pPr>
      <w:r>
        <w:t>6370 — Licenses — Liquor License</w:t>
      </w:r>
    </w:p>
    <w:p>
      <w:pPr>
        <w:pStyle w:val="ListBullet"/>
      </w:pPr>
      <w:r>
        <w:t>6380 — Licenses — Health Permit</w:t>
      </w:r>
    </w:p>
    <w:p>
      <w:pPr>
        <w:pStyle w:val="ListBullet"/>
      </w:pPr>
      <w:r>
        <w:t>6390 — Delivery Platform Fees (Uber Eats, DoorDash — typically 15–30%)</w:t>
      </w:r>
    </w:p>
    <w:p>
      <w:pPr>
        <w:pStyle w:val="ListBullet"/>
      </w:pPr>
      <w:r>
        <w:t>6400 — Music &amp; Entertainment</w:t>
      </w:r>
    </w:p>
    <w:p>
      <w:pPr>
        <w:pStyle w:val="ListBullet"/>
      </w:pPr>
      <w:r>
        <w:t>6410 — POS System Fees</w:t>
      </w:r>
    </w:p>
    <w:p>
      <w:pPr>
        <w:pStyle w:val="Heading1"/>
      </w:pPr>
      <w:r>
        <w:rPr>
          <w:color w:val="0F3460"/>
        </w:rPr>
        <w:t>REAL ESTATE CHART OF ACCOUNTS</w:t>
      </w:r>
    </w:p>
    <w:p>
      <w:r>
        <w:t>For real estate investors, property managers, and real estate agents/brokers.</w:t>
      </w:r>
    </w:p>
    <w:p>
      <w:r>
        <w:t>ASSETS:</w:t>
      </w:r>
    </w:p>
    <w:p>
      <w:pPr>
        <w:pStyle w:val="ListBullet"/>
      </w:pPr>
      <w:r>
        <w:t>1500 — Real Property — Land (at cost)</w:t>
      </w:r>
    </w:p>
    <w:p>
      <w:pPr>
        <w:pStyle w:val="ListBullet"/>
      </w:pPr>
      <w:r>
        <w:t>1510 — Real Property — Buildings (at cost)</w:t>
      </w:r>
    </w:p>
    <w:p>
      <w:pPr>
        <w:pStyle w:val="ListBullet"/>
      </w:pPr>
      <w:r>
        <w:t>1520 — Accumulated Depreciation — Buildings</w:t>
      </w:r>
    </w:p>
    <w:p>
      <w:pPr>
        <w:pStyle w:val="ListBullet"/>
      </w:pPr>
      <w:r>
        <w:t>1530 — Real Property — Improvements</w:t>
      </w:r>
    </w:p>
    <w:p>
      <w:pPr>
        <w:pStyle w:val="ListBullet"/>
      </w:pPr>
      <w:r>
        <w:t>1540 — Escrow Deposits</w:t>
      </w:r>
    </w:p>
    <w:p>
      <w:r>
        <w:t>INCOME:</w:t>
      </w:r>
    </w:p>
    <w:p>
      <w:pPr>
        <w:pStyle w:val="ListBullet"/>
      </w:pPr>
      <w:r>
        <w:t>4000 — Rental Income — Residential</w:t>
      </w:r>
    </w:p>
    <w:p>
      <w:pPr>
        <w:pStyle w:val="ListBullet"/>
      </w:pPr>
      <w:r>
        <w:t>4010 — Rental Income — Commercial</w:t>
      </w:r>
    </w:p>
    <w:p>
      <w:pPr>
        <w:pStyle w:val="ListBullet"/>
      </w:pPr>
      <w:r>
        <w:t>4020 — Laundry &amp; Vending Income</w:t>
      </w:r>
    </w:p>
    <w:p>
      <w:pPr>
        <w:pStyle w:val="ListBullet"/>
      </w:pPr>
      <w:r>
        <w:t>4030 — Late Fee Income</w:t>
      </w:r>
    </w:p>
    <w:p>
      <w:pPr>
        <w:pStyle w:val="ListBullet"/>
      </w:pPr>
      <w:r>
        <w:t>4040 — Pet Rent</w:t>
      </w:r>
    </w:p>
    <w:p>
      <w:pPr>
        <w:pStyle w:val="ListBullet"/>
      </w:pPr>
      <w:r>
        <w:t>4050 — Parking Income</w:t>
      </w:r>
    </w:p>
    <w:p>
      <w:pPr>
        <w:pStyle w:val="ListBullet"/>
      </w:pPr>
      <w:r>
        <w:t>4100 — Commission Income (for agents/brokers)</w:t>
      </w:r>
    </w:p>
    <w:p>
      <w:r>
        <w:t>EXPENSES:</w:t>
      </w:r>
    </w:p>
    <w:p>
      <w:pPr>
        <w:pStyle w:val="ListBullet"/>
      </w:pPr>
      <w:r>
        <w:t>6100 — Mortgage Interest (rental properties — deductible)</w:t>
      </w:r>
    </w:p>
    <w:p>
      <w:pPr>
        <w:pStyle w:val="ListBullet"/>
      </w:pPr>
      <w:r>
        <w:t>6110 — Real Estate Taxes</w:t>
      </w:r>
    </w:p>
    <w:p>
      <w:pPr>
        <w:pStyle w:val="ListBullet"/>
      </w:pPr>
      <w:r>
        <w:t>6120 — Insurance — Property</w:t>
      </w:r>
    </w:p>
    <w:p>
      <w:pPr>
        <w:pStyle w:val="ListBullet"/>
      </w:pPr>
      <w:r>
        <w:t>6130 — HOA Fees</w:t>
      </w:r>
    </w:p>
    <w:p>
      <w:pPr>
        <w:pStyle w:val="ListBullet"/>
      </w:pPr>
      <w:r>
        <w:t>6140 — Property Management Fees</w:t>
      </w:r>
    </w:p>
    <w:p>
      <w:pPr>
        <w:pStyle w:val="ListBullet"/>
      </w:pPr>
      <w:r>
        <w:t>6150 — Repairs &amp; Maintenance</w:t>
      </w:r>
    </w:p>
    <w:p>
      <w:pPr>
        <w:pStyle w:val="ListBullet"/>
      </w:pPr>
      <w:r>
        <w:t>6160 — Landscaping &amp; Groundskeeping</w:t>
      </w:r>
    </w:p>
    <w:p>
      <w:pPr>
        <w:pStyle w:val="ListBullet"/>
      </w:pPr>
      <w:r>
        <w:t>6170 — Utilities — paid by landlord</w:t>
      </w:r>
    </w:p>
    <w:p>
      <w:pPr>
        <w:pStyle w:val="ListBullet"/>
      </w:pPr>
      <w:r>
        <w:t>6180 — Depreciation Expense — Buildings (27.5 years residential; 39 years commercial)</w:t>
      </w:r>
    </w:p>
    <w:p>
      <w:pPr>
        <w:pStyle w:val="ListBullet"/>
      </w:pPr>
      <w:r>
        <w:t>6190 — Advertising — Vacancy / Rental Listings</w:t>
      </w:r>
    </w:p>
    <w:p>
      <w:pPr>
        <w:pStyle w:val="ListBullet"/>
      </w:pPr>
      <w:r>
        <w:t>6200 — Legal Fees — Eviction / Lease</w:t>
      </w:r>
    </w:p>
    <w:p>
      <w:r>
        <w:t>Note: Each rental property should be tracked as a separate Class or Location in QBO/Xero for property-level P&amp;L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