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Tax Prep Document Checklist</w:t>
      </w:r>
    </w:p>
    <w:p>
      <w:pPr/>
      <w:r>
        <w:rPr>
          <w:color w:val="7F8C8D"/>
          <w:sz w:val="20"/>
        </w:rPr>
        <w:t>Bookkeeper Launch System | Year-End Tax Preparation Document Request</w:t>
      </w:r>
    </w:p>
    <w:p/>
    <w:p>
      <w:pPr>
        <w:pStyle w:val="Heading1"/>
      </w:pPr>
      <w:r>
        <w:rPr>
          <w:color w:val="1B4F72"/>
        </w:rPr>
        <w:t>Income Documents</w:t>
      </w:r>
    </w:p>
    <w:p>
      <w:pPr>
        <w:pStyle w:val="ListBullet"/>
      </w:pPr>
      <w:r>
        <w:t>All 1099-NEC forms received (from clients/customers who paid $600+)</w:t>
      </w:r>
    </w:p>
    <w:p>
      <w:pPr>
        <w:pStyle w:val="ListBullet"/>
      </w:pPr>
      <w:r>
        <w:t>All 1099-K forms (from payment processors like PayPal, Stripe, Square)</w:t>
      </w:r>
    </w:p>
    <w:p>
      <w:pPr>
        <w:pStyle w:val="ListBullet"/>
      </w:pPr>
      <w:r>
        <w:t>All 1099-MISC forms</w:t>
      </w:r>
    </w:p>
    <w:p>
      <w:pPr>
        <w:pStyle w:val="ListBullet"/>
      </w:pPr>
      <w:r>
        <w:t>Total cash income not captured in 1099s (if applicable)</w:t>
      </w:r>
    </w:p>
    <w:p>
      <w:pPr>
        <w:pStyle w:val="ListBullet"/>
      </w:pPr>
      <w:r>
        <w:t>Any other income sources: rental income, interest, royalties</w:t>
      </w:r>
    </w:p>
    <w:p>
      <w:pPr>
        <w:pStyle w:val="Heading1"/>
      </w:pPr>
      <w:r>
        <w:rPr>
          <w:color w:val="1B4F72"/>
        </w:rPr>
        <w:t>Expense Documents</w:t>
      </w:r>
    </w:p>
    <w:p>
      <w:pPr>
        <w:pStyle w:val="ListBullet"/>
      </w:pPr>
      <w:r>
        <w:t>Bank statements (all 12 months for all business accounts)</w:t>
      </w:r>
    </w:p>
    <w:p>
      <w:pPr>
        <w:pStyle w:val="ListBullet"/>
      </w:pPr>
      <w:r>
        <w:t>Credit card statements (all 12 months for all business cards)</w:t>
      </w:r>
    </w:p>
    <w:p>
      <w:pPr>
        <w:pStyle w:val="ListBullet"/>
      </w:pPr>
      <w:r>
        <w:t>Receipts for cash purchases over $75</w:t>
      </w:r>
    </w:p>
    <w:p>
      <w:pPr>
        <w:pStyle w:val="ListBullet"/>
      </w:pPr>
      <w:r>
        <w:t>Vehicle mileage log (if deducting vehicle use)</w:t>
      </w:r>
    </w:p>
    <w:p>
      <w:pPr>
        <w:pStyle w:val="ListBullet"/>
      </w:pPr>
      <w:r>
        <w:t>Home office measurements (square footage of office vs. total home)</w:t>
      </w:r>
    </w:p>
    <w:p>
      <w:pPr>
        <w:pStyle w:val="ListBullet"/>
      </w:pPr>
      <w:r>
        <w:t>Health insurance premiums paid (for self-employed deduction)</w:t>
      </w:r>
    </w:p>
    <w:p>
      <w:pPr>
        <w:pStyle w:val="ListBullet"/>
      </w:pPr>
      <w:r>
        <w:t>Retirement contributions (SEP-IRA, Solo 401k, SIMPLE IRA)</w:t>
      </w:r>
    </w:p>
    <w:p>
      <w:pPr>
        <w:pStyle w:val="ListBullet"/>
      </w:pPr>
      <w:r>
        <w:t>Business insurance premiums</w:t>
      </w:r>
    </w:p>
    <w:p>
      <w:pPr>
        <w:pStyle w:val="ListBullet"/>
      </w:pPr>
      <w:r>
        <w:t>Professional development, education, and training receipts</w:t>
      </w:r>
    </w:p>
    <w:p>
      <w:pPr>
        <w:pStyle w:val="Heading1"/>
      </w:pPr>
      <w:r>
        <w:rPr>
          <w:color w:val="1B4F72"/>
        </w:rPr>
        <w:t>Payroll Documents (if applicable)</w:t>
      </w:r>
    </w:p>
    <w:p>
      <w:pPr>
        <w:pStyle w:val="ListBullet"/>
      </w:pPr>
      <w:r>
        <w:t>Annual payroll summary from payroll provider</w:t>
      </w:r>
    </w:p>
    <w:p>
      <w:pPr>
        <w:pStyle w:val="ListBullet"/>
      </w:pPr>
      <w:r>
        <w:t>W-2 forms filed with employees</w:t>
      </w:r>
    </w:p>
    <w:p>
      <w:pPr>
        <w:pStyle w:val="ListBullet"/>
      </w:pPr>
      <w:r>
        <w:t>Copies of all quarterly 941 payroll tax returns</w:t>
      </w:r>
    </w:p>
    <w:p>
      <w:pPr>
        <w:pStyle w:val="ListBullet"/>
      </w:pPr>
      <w:r>
        <w:t>State unemployment tax returns</w:t>
      </w:r>
    </w:p>
    <w:p>
      <w:pPr>
        <w:pStyle w:val="Heading1"/>
      </w:pPr>
      <w:r>
        <w:rPr>
          <w:color w:val="1B4F72"/>
        </w:rPr>
        <w:t>Asset and Loan Information</w:t>
      </w:r>
    </w:p>
    <w:p>
      <w:pPr>
        <w:pStyle w:val="ListBullet"/>
      </w:pPr>
      <w:r>
        <w:t>Purchases of equipment over $2,500 (cost and date purchased)</w:t>
      </w:r>
    </w:p>
    <w:p>
      <w:pPr>
        <w:pStyle w:val="ListBullet"/>
      </w:pPr>
      <w:r>
        <w:t>Sales of any business assets</w:t>
      </w:r>
    </w:p>
    <w:p>
      <w:pPr>
        <w:pStyle w:val="ListBullet"/>
      </w:pPr>
      <w:r>
        <w:t>Year-end loan balances and annual interest statements (1098)</w:t>
      </w:r>
    </w:p>
    <w:p>
      <w:pPr>
        <w:pStyle w:val="ListBullet"/>
      </w:pPr>
      <w:r>
        <w:t>Lease agreements for equipment or vehicles</w:t>
      </w:r>
    </w:p>
    <w:p>
      <w:pPr>
        <w:pStyle w:val="Heading1"/>
      </w:pPr>
      <w:r>
        <w:rPr>
          <w:color w:val="1B4F72"/>
        </w:rPr>
        <w:t>Prior Year Information</w:t>
      </w:r>
    </w:p>
    <w:p>
      <w:pPr>
        <w:pStyle w:val="ListBullet"/>
      </w:pPr>
      <w:r>
        <w:t>Prior year tax return (for reference)</w:t>
      </w:r>
    </w:p>
    <w:p>
      <w:pPr>
        <w:pStyle w:val="ListBullet"/>
      </w:pPr>
      <w:r>
        <w:t>Prior year depreciation schedule</w:t>
      </w:r>
    </w:p>
    <w:p>
      <w:pPr>
        <w:pStyle w:val="ListBullet"/>
      </w:pPr>
      <w:r>
        <w:t>Any carryforward items (NOL, capital loss,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