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18"/>
      </w:tblGrid>
      <w:tr>
        <w:tc>
          <w:tcPr>
            <w:tcW w:type="dxa" w:w="9518"/>
            <w:tcBorders>
              <w:top w:val="none" w:sz="0" w:color="auto"/>
              <w:bottom w:val="none" w:sz="0" w:color="auto"/>
              <w:left w:val="none" w:sz="0" w:color="auto"/>
              <w:right w:val="none" w:sz="0" w:color="auto"/>
              <w:insideH w:val="none" w:sz="0" w:color="auto"/>
              <w:insideV w:val="none" w:sz="0" w:color="auto"/>
            </w:tcBorders>
            <w:shd w:val="clear" w:color="auto" w:fill="0F172A"/>
            <w:tcMar>
              <w:top w:w="0" w:type="dxa"/>
              <w:bottom w:w="0" w:type="dxa"/>
              <w:left w:w="0" w:type="dxa"/>
              <w:right w:w="0" w:type="dxa"/>
            </w:tcMar>
            <w:vAlign w:val="top"/>
          </w:tcPr>
          <w:p>
            <w:pPr>
              <w:shd w:val="clear" w:color="auto" w:fill="0F766E"/>
              <w:spacing w:before="160" w:after="160" w:line="276" w:lineRule="auto"/>
              <w:ind w:left="400"/>
            </w:pPr>
            <w:r>
              <w:rPr>
                <w:rFonts w:ascii="Poppins" w:hAnsi="Poppins" w:eastAsia="Poppins"/>
                <w:b/>
                <w:i w:val="0"/>
                <w:color w:val="FFFFFF"/>
                <w:sz w:val="18"/>
              </w:rPr>
              <w:t>NOVAOPS</w:t>
            </w:r>
            <w:r>
              <w:rPr>
                <w:rFonts w:ascii="Inter" w:hAnsi="Inter" w:eastAsia="Inter"/>
                <w:b w:val="0"/>
                <w:i w:val="0"/>
                <w:color w:val="CCFBF1"/>
                <w:sz w:val="15"/>
              </w:rPr>
              <w:t xml:space="preserve">  ·  Bookkeeper Practice Launch System  ·  v2.0</w:t>
            </w:r>
          </w:p>
          <w:p>
            <w:pPr>
              <w:spacing w:before="1200" w:after="0" w:line="276" w:lineRule="auto"/>
            </w:pPr>
          </w:p>
          <w:p>
            <w:pPr>
              <w:spacing w:before="0" w:after="280" w:line="276" w:lineRule="auto"/>
              <w:ind w:left="400"/>
            </w:pPr>
            <w:r>
              <w:rPr>
                <w:rFonts w:ascii="Inter" w:hAnsi="Inter" w:eastAsia="Inter"/>
                <w:b/>
                <w:i w:val="0"/>
                <w:color w:val="0F766E"/>
                <w:sz w:val="15"/>
              </w:rPr>
              <w:t>00  —  START HERE</w:t>
            </w:r>
          </w:p>
          <w:p>
            <w:pPr>
              <w:spacing w:before="0" w:after="1000" w:line="276" w:lineRule="auto"/>
              <w:ind w:left="400"/>
            </w:pPr>
            <w:r>
              <w:rPr>
                <w:rFonts w:ascii="Poppins" w:hAnsi="Poppins" w:eastAsia="Poppins"/>
                <w:b/>
                <w:i w:val="0"/>
                <w:color w:val="0F766E"/>
                <w:sz w:val="22"/>
              </w:rPr>
              <w:t>NOVAOPS</w:t>
            </w:r>
          </w:p>
          <w:p>
            <w:pPr>
              <w:spacing w:before="0" w:after="80" w:line="276" w:lineRule="auto"/>
              <w:ind w:left="400"/>
            </w:pPr>
            <w:r>
              <w:rPr>
                <w:rFonts w:ascii="Poppins" w:hAnsi="Poppins" w:eastAsia="Poppins"/>
                <w:b/>
                <w:i w:val="0"/>
                <w:color w:val="FFFFFF"/>
                <w:sz w:val="64"/>
              </w:rPr>
              <w:t>Start Here</w:t>
            </w:r>
          </w:p>
          <w:p>
            <w:pPr>
              <w:spacing w:before="160" w:after="560" w:line="276" w:lineRule="auto"/>
              <w:ind w:left="400"/>
            </w:pPr>
            <w:r>
              <w:rPr>
                <w:rFonts w:ascii="Inter" w:hAnsi="Inter" w:eastAsia="Inter"/>
                <w:b w:val="0"/>
                <w:i/>
                <w:color w:val="94A3B8"/>
                <w:sz w:val="24"/>
              </w:rPr>
              <w:t>Your complete 90-minute guide to launching your bookkeeping practice system</w:t>
            </w:r>
          </w:p>
          <w:p>
            <w:pPr>
              <w:pBdr>
                <w:bottom w:val="single" w:sz="12" w:space="1" w:color="0F766E"/>
              </w:pBdr>
              <w:spacing w:before="0" w:after="400" w:line="276" w:lineRule="auto"/>
              <w:ind w:left="400" w:right="400"/>
            </w:pPr>
          </w:p>
          <w:p>
            <w:pPr>
              <w:spacing w:before="0" w:after="80" w:line="276" w:lineRule="auto"/>
              <w:ind w:left="400"/>
            </w:pPr>
            <w:r>
              <w:rPr>
                <w:rFonts w:ascii="Inter" w:hAnsi="Inter" w:eastAsia="Inter"/>
                <w:b w:val="0"/>
                <w:i w:val="0"/>
                <w:color w:val="64748B"/>
                <w:sz w:val="15"/>
              </w:rPr>
              <w:t xml:space="preserve">VERSION       </w:t>
            </w:r>
            <w:r>
              <w:rPr>
                <w:rFonts w:ascii="Inter" w:hAnsi="Inter" w:eastAsia="Inter"/>
                <w:b/>
                <w:i w:val="0"/>
                <w:color w:val="FFFFFF"/>
                <w:sz w:val="15"/>
              </w:rPr>
              <w:t>2.0  —  Premium Consulting Edition</w:t>
            </w:r>
          </w:p>
          <w:p>
            <w:pPr>
              <w:spacing w:before="0" w:after="80" w:line="276" w:lineRule="auto"/>
              <w:ind w:left="400"/>
            </w:pPr>
            <w:r>
              <w:rPr>
                <w:rFonts w:ascii="Inter" w:hAnsi="Inter" w:eastAsia="Inter"/>
                <w:b w:val="0"/>
                <w:i w:val="0"/>
                <w:color w:val="64748B"/>
                <w:sz w:val="15"/>
              </w:rPr>
              <w:t xml:space="preserve">AUDIENCE      </w:t>
            </w:r>
            <w:r>
              <w:rPr>
                <w:rFonts w:ascii="Inter" w:hAnsi="Inter" w:eastAsia="Inter"/>
                <w:b/>
                <w:i w:val="0"/>
                <w:color w:val="FFFFFF"/>
                <w:sz w:val="15"/>
              </w:rPr>
              <w:t>Product Owner / Practice Manager</w:t>
            </w:r>
          </w:p>
          <w:p>
            <w:pPr>
              <w:spacing w:before="0" w:after="80" w:line="276" w:lineRule="auto"/>
              <w:ind w:left="400"/>
            </w:pPr>
            <w:r>
              <w:rPr>
                <w:rFonts w:ascii="Inter" w:hAnsi="Inter" w:eastAsia="Inter"/>
                <w:b w:val="0"/>
                <w:i w:val="0"/>
                <w:color w:val="64748B"/>
                <w:sz w:val="15"/>
              </w:rPr>
              <w:t xml:space="preserve">SETUP TIME    </w:t>
            </w:r>
            <w:r>
              <w:rPr>
                <w:rFonts w:ascii="Inter" w:hAnsi="Inter" w:eastAsia="Inter"/>
                <w:b/>
                <w:i w:val="0"/>
                <w:color w:val="FFFFFF"/>
                <w:sz w:val="15"/>
              </w:rPr>
              <w:t>Approximately 90 minutes</w:t>
            </w:r>
          </w:p>
          <w:p>
            <w:pPr>
              <w:spacing w:before="800" w:after="0" w:line="276" w:lineRule="auto"/>
            </w:pPr>
          </w:p>
          <w:p>
            <w:pPr>
              <w:shd w:val="clear" w:color="auto" w:fill="D97706"/>
              <w:spacing w:before="160" w:after="160" w:line="276" w:lineRule="auto"/>
              <w:ind w:left="400"/>
            </w:pPr>
            <w:r>
              <w:rPr>
                <w:rFonts w:ascii="Poppins" w:hAnsi="Poppins" w:eastAsia="Poppins"/>
                <w:b/>
                <w:i w:val="0"/>
                <w:color w:val="FFFFFF"/>
                <w:sz w:val="15"/>
              </w:rPr>
              <w:t>VERSION 2.0  ·  PREMIUM CONSULTING EDITION  ·  © 2025 NOVAOPS</w:t>
            </w:r>
          </w:p>
        </w:tc>
      </w:tr>
    </w:tbl>
    <w:p>
      <w:r>
        <w:br w:type="page"/>
      </w:r>
    </w:p>
    <w:tbl>
      <w:tblPr>
        <w:tblW w:type="auto" w:w="0"/>
        <w:jc w:val="center"/>
        <w:tblLook w:firstColumn="1" w:firstRow="1" w:lastColumn="0" w:lastRow="0" w:noHBand="0" w:noVBand="1" w:val="04A0"/>
      </w:tblPr>
      <w:tblGrid>
        <w:gridCol w:w="9518"/>
      </w:tblGrid>
      <w:tr>
        <w:tc>
          <w:tcPr>
            <w:tcW w:type="dxa" w:w="9518"/>
            <w:shd w:val="clear" w:color="auto" w:fill="F0FDFA"/>
            <w:tcMar>
              <w:top w:w="120" w:type="dxa"/>
              <w:bottom w:w="120" w:type="dxa"/>
              <w:left w:w="180" w:type="dxa"/>
              <w:right w:w="180" w:type="dxa"/>
            </w:tcMar>
            <w:tcBorders>
              <w:top w:val="single" w:sz="4" w:color="CBD5E1"/>
              <w:bottom w:val="single" w:sz="4" w:color="CBD5E1"/>
              <w:left w:val="single" w:sz="20" w:color="0F766E"/>
              <w:right w:val="single" w:sz="4" w:color="CBD5E1"/>
              <w:insideH w:val="none" w:sz="0" w:color="auto"/>
              <w:insideV w:val="none" w:sz="0" w:color="auto"/>
            </w:tcBorders>
          </w:tcPr>
          <w:p>
            <w:pPr>
              <w:spacing w:before="0" w:after="100" w:line="276" w:lineRule="auto"/>
            </w:pPr>
            <w:r>
              <w:rPr>
                <w:rFonts w:ascii="Poppins" w:hAnsi="Poppins" w:eastAsia="Poppins"/>
                <w:b/>
                <w:i w:val="0"/>
                <w:color w:val="0F766E"/>
                <w:sz w:val="14"/>
              </w:rPr>
              <w:t>START HERE — READ FIRST</w:t>
            </w:r>
          </w:p>
          <w:p>
            <w:pPr>
              <w:spacing w:before="0" w:after="0" w:line="276" w:lineRule="auto"/>
            </w:pPr>
            <w:r>
              <w:rPr>
                <w:rFonts w:ascii="Calibri" w:hAnsi="Calibri" w:eastAsia="Calibri"/>
                <w:b/>
                <w:i w:val="0"/>
                <w:color w:val="0F172A"/>
                <w:sz w:val="19"/>
              </w:rPr>
              <w:t>Read this file before opening anything else. It tells you what you received, how to set it up in 90 minutes, and exactly how every file connects to the next.</w:t>
            </w:r>
          </w:p>
        </w:tc>
      </w:tr>
    </w:tbl>
    <w:p>
      <w:pPr>
        <w:spacing w:before="0" w:after="120" w:line="276" w:lineRule="auto"/>
      </w:pPr>
    </w:p>
    <w:tbl>
      <w:tblPr>
        <w:tblW w:type="auto" w:w="0"/>
        <w:jc w:val="center"/>
        <w:tblLook w:firstColumn="1" w:firstRow="1" w:lastColumn="0" w:lastRow="0" w:noHBand="0" w:noVBand="1" w:val="04A0"/>
      </w:tblPr>
      <w:tblGrid>
        <w:gridCol w:w="2379"/>
        <w:gridCol w:w="2379"/>
        <w:gridCol w:w="2379"/>
        <w:gridCol w:w="2379"/>
      </w:tblGrid>
      <w:tr>
        <w:trPr>
          <w:trHeight w:val="260" w:hRule="atLeast"/>
        </w:trPr>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60" w:type="dxa"/>
              <w:left w:w="120" w:type="dxa"/>
              <w:right w:w="120" w:type="dxa"/>
            </w:tcMar>
          </w:tcPr>
          <w:p>
            <w:pPr>
              <w:jc w:val="center"/>
            </w:pPr>
            <w:r>
              <w:rPr>
                <w:rFonts w:ascii="Inter" w:hAnsi="Inter" w:eastAsia="Inter"/>
                <w:b/>
                <w:i w:val="0"/>
                <w:color w:val="CCFBF1"/>
                <w:sz w:val="13"/>
              </w:rPr>
              <w:t>FOLDERS</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60" w:type="dxa"/>
              <w:left w:w="120" w:type="dxa"/>
              <w:right w:w="120" w:type="dxa"/>
            </w:tcMar>
          </w:tcPr>
          <w:p>
            <w:pPr>
              <w:jc w:val="center"/>
            </w:pPr>
            <w:r>
              <w:rPr>
                <w:rFonts w:ascii="Inter" w:hAnsi="Inter" w:eastAsia="Inter"/>
                <w:b/>
                <w:i w:val="0"/>
                <w:color w:val="CCFBF1"/>
                <w:sz w:val="13"/>
              </w:rPr>
              <w:t>FILES</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60" w:type="dxa"/>
              <w:left w:w="120" w:type="dxa"/>
              <w:right w:w="120" w:type="dxa"/>
            </w:tcMar>
          </w:tcPr>
          <w:p>
            <w:pPr>
              <w:jc w:val="center"/>
            </w:pPr>
            <w:r>
              <w:rPr>
                <w:rFonts w:ascii="Inter" w:hAnsi="Inter" w:eastAsia="Inter"/>
                <w:b/>
                <w:i w:val="0"/>
                <w:color w:val="CCFBF1"/>
                <w:sz w:val="13"/>
              </w:rPr>
              <w:t>SETUP TIME</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60" w:type="dxa"/>
              <w:left w:w="120" w:type="dxa"/>
              <w:right w:w="120" w:type="dxa"/>
            </w:tcMar>
          </w:tcPr>
          <w:p>
            <w:pPr>
              <w:jc w:val="center"/>
            </w:pPr>
            <w:r>
              <w:rPr>
                <w:rFonts w:ascii="Inter" w:hAnsi="Inter" w:eastAsia="Inter"/>
                <w:b/>
                <w:i w:val="0"/>
                <w:color w:val="CCFBF1"/>
                <w:sz w:val="13"/>
              </w:rPr>
              <w:t>LICENCE</w:t>
            </w:r>
          </w:p>
        </w:tc>
      </w:tr>
      <w:tr>
        <w:trPr>
          <w:trHeight w:val="640" w:hRule="atLeast"/>
        </w:trPr>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172A"/>
            <w:tcMar>
              <w:top w:w="60" w:type="dxa"/>
              <w:bottom w:w="60" w:type="dxa"/>
              <w:left w:w="120" w:type="dxa"/>
              <w:right w:w="120" w:type="dxa"/>
            </w:tcMar>
          </w:tcPr>
          <w:p>
            <w:pPr>
              <w:jc w:val="center"/>
            </w:pPr>
            <w:r>
              <w:rPr>
                <w:rFonts w:ascii="Poppins" w:hAnsi="Poppins" w:eastAsia="Poppins"/>
                <w:b/>
                <w:i w:val="0"/>
                <w:color w:val="FFFFFF"/>
                <w:sz w:val="44"/>
              </w:rPr>
              <w:t>5</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172A"/>
            <w:tcMar>
              <w:top w:w="60" w:type="dxa"/>
              <w:bottom w:w="60" w:type="dxa"/>
              <w:left w:w="120" w:type="dxa"/>
              <w:right w:w="120" w:type="dxa"/>
            </w:tcMar>
          </w:tcPr>
          <w:p>
            <w:pPr>
              <w:jc w:val="center"/>
            </w:pPr>
            <w:r>
              <w:rPr>
                <w:rFonts w:ascii="Poppins" w:hAnsi="Poppins" w:eastAsia="Poppins"/>
                <w:b/>
                <w:i w:val="0"/>
                <w:color w:val="FFFFFF"/>
                <w:sz w:val="44"/>
              </w:rPr>
              <w:t>26</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172A"/>
            <w:tcMar>
              <w:top w:w="60" w:type="dxa"/>
              <w:bottom w:w="60" w:type="dxa"/>
              <w:left w:w="120" w:type="dxa"/>
              <w:right w:w="120" w:type="dxa"/>
            </w:tcMar>
          </w:tcPr>
          <w:p>
            <w:pPr>
              <w:jc w:val="center"/>
            </w:pPr>
            <w:r>
              <w:rPr>
                <w:rFonts w:ascii="Poppins" w:hAnsi="Poppins" w:eastAsia="Poppins"/>
                <w:b/>
                <w:i w:val="0"/>
                <w:color w:val="FFFFFF"/>
                <w:sz w:val="44"/>
              </w:rPr>
              <w:t>90m</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0F172A"/>
            <w:tcMar>
              <w:top w:w="60" w:type="dxa"/>
              <w:bottom w:w="60" w:type="dxa"/>
              <w:left w:w="120" w:type="dxa"/>
              <w:right w:w="120" w:type="dxa"/>
            </w:tcMar>
          </w:tcPr>
          <w:p>
            <w:pPr>
              <w:jc w:val="center"/>
            </w:pPr>
            <w:r>
              <w:rPr>
                <w:rFonts w:ascii="Poppins" w:hAnsi="Poppins" w:eastAsia="Poppins"/>
                <w:b/>
                <w:i w:val="0"/>
                <w:color w:val="FFFFFF"/>
                <w:sz w:val="44"/>
              </w:rPr>
              <w:t>1yr</w:t>
            </w:r>
          </w:p>
        </w:tc>
      </w:tr>
      <w:tr>
        <w:trPr>
          <w:trHeight w:val="260" w:hRule="atLeast"/>
        </w:trPr>
        <w:tc>
          <w:tcPr>
            <w:tcW w:type="dxa" w:w="2379"/>
            <w:tcBorders>
              <w:top w:val="none" w:sz="0" w:color="auto"/>
              <w:bottom w:val="none" w:sz="0" w:color="auto"/>
              <w:left w:val="none" w:sz="0" w:color="auto"/>
              <w:right w:val="none" w:sz="0" w:color="auto"/>
              <w:insideH w:val="none" w:sz="0" w:color="auto"/>
              <w:insideV w:val="none" w:sz="0" w:color="auto"/>
            </w:tcBorders>
            <w:shd w:val="clear" w:color="auto" w:fill="F8FAFC"/>
            <w:tcMar>
              <w:top w:w="55" w:type="dxa"/>
              <w:bottom w:w="70" w:type="dxa"/>
              <w:left w:w="120" w:type="dxa"/>
              <w:right w:w="120" w:type="dxa"/>
            </w:tcMar>
          </w:tcPr>
          <w:p>
            <w:pPr>
              <w:jc w:val="center"/>
            </w:pPr>
            <w:r>
              <w:rPr>
                <w:rFonts w:ascii="Calibri" w:hAnsi="Calibri" w:eastAsia="Calibri"/>
                <w:b w:val="0"/>
                <w:i/>
                <w:color w:val="64748B"/>
                <w:sz w:val="15"/>
              </w:rPr>
              <w:t>organised sections</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F8FAFC"/>
            <w:tcMar>
              <w:top w:w="55" w:type="dxa"/>
              <w:bottom w:w="70" w:type="dxa"/>
              <w:left w:w="120" w:type="dxa"/>
              <w:right w:w="120" w:type="dxa"/>
            </w:tcMar>
          </w:tcPr>
          <w:p>
            <w:pPr>
              <w:jc w:val="center"/>
            </w:pPr>
            <w:r>
              <w:rPr>
                <w:rFonts w:ascii="Calibri" w:hAnsi="Calibri" w:eastAsia="Calibri"/>
                <w:b w:val="0"/>
                <w:i/>
                <w:color w:val="64748B"/>
                <w:sz w:val="15"/>
              </w:rPr>
              <w:t>premium assets</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F8FAFC"/>
            <w:tcMar>
              <w:top w:w="55" w:type="dxa"/>
              <w:bottom w:w="70" w:type="dxa"/>
              <w:left w:w="120" w:type="dxa"/>
              <w:right w:w="120" w:type="dxa"/>
            </w:tcMar>
          </w:tcPr>
          <w:p>
            <w:pPr>
              <w:jc w:val="center"/>
            </w:pPr>
            <w:r>
              <w:rPr>
                <w:rFonts w:ascii="Calibri" w:hAnsi="Calibri" w:eastAsia="Calibri"/>
                <w:b w:val="0"/>
                <w:i/>
                <w:color w:val="64748B"/>
                <w:sz w:val="15"/>
              </w:rPr>
              <w:t>to full operation</w:t>
            </w:r>
          </w:p>
        </w:tc>
        <w:tc>
          <w:tcPr>
            <w:tcW w:type="dxa" w:w="2379"/>
            <w:tcBorders>
              <w:top w:val="none" w:sz="0" w:color="auto"/>
              <w:bottom w:val="none" w:sz="0" w:color="auto"/>
              <w:left w:val="none" w:sz="0" w:color="auto"/>
              <w:right w:val="none" w:sz="0" w:color="auto"/>
              <w:insideH w:val="none" w:sz="0" w:color="auto"/>
              <w:insideV w:val="none" w:sz="0" w:color="auto"/>
            </w:tcBorders>
            <w:shd w:val="clear" w:color="auto" w:fill="F8FAFC"/>
            <w:tcMar>
              <w:top w:w="55" w:type="dxa"/>
              <w:bottom w:w="70" w:type="dxa"/>
              <w:left w:w="120" w:type="dxa"/>
              <w:right w:w="120" w:type="dxa"/>
            </w:tcMar>
          </w:tcPr>
          <w:p>
            <w:pPr>
              <w:jc w:val="center"/>
            </w:pPr>
            <w:r>
              <w:rPr>
                <w:rFonts w:ascii="Calibri" w:hAnsi="Calibri" w:eastAsia="Calibri"/>
                <w:b w:val="0"/>
                <w:i/>
                <w:color w:val="64748B"/>
                <w:sz w:val="15"/>
              </w:rPr>
              <w:t>commercial use</w:t>
            </w:r>
          </w:p>
        </w:tc>
      </w:tr>
    </w:tbl>
    <w:p>
      <w:pPr>
        <w:spacing w:before="0" w:after="200" w:line="276" w:lineRule="auto"/>
      </w:pPr>
    </w:p>
    <w:p>
      <w:pPr>
        <w:spacing w:before="200" w:after="0" w:line="276" w:lineRule="auto"/>
      </w:pPr>
    </w:p>
    <w:tbl>
      <w:tblPr>
        <w:tblW w:type="auto" w:w="0"/>
        <w:jc w:val="center"/>
        <w:tblLook w:firstColumn="1" w:firstRow="1" w:lastColumn="0" w:lastRow="0" w:noHBand="0" w:noVBand="1" w:val="04A0"/>
      </w:tblPr>
      <w:tblGrid>
        <w:gridCol w:w="4759"/>
        <w:gridCol w:w="4759"/>
      </w:tblGrid>
      <w:tr>
        <w:trPr>
          <w:trHeight w:val="480" w:hRule="atLeast"/>
        </w:trPr>
        <w:tc>
          <w:tcPr>
            <w:tcW w:type="dxa" w:w="907"/>
            <w:tcBorders>
              <w:top w:val="none" w:sz="0" w:color="auto"/>
              <w:bottom w:val="none" w:sz="0" w:color="auto"/>
              <w:left w:val="none" w:sz="0" w:color="auto"/>
              <w:right w:val="none" w:sz="0" w:color="auto"/>
              <w:insideH w:val="none" w:sz="0" w:color="auto"/>
              <w:insideV w:val="none" w:sz="0" w:color="auto"/>
            </w:tcBorders>
            <w:shd w:val="clear" w:color="auto" w:fill="0F766E"/>
            <w:tcMar>
              <w:top w:w="100" w:type="dxa"/>
              <w:bottom w:w="100" w:type="dxa"/>
              <w:left w:w="140" w:type="dxa"/>
              <w:right w:w="100" w:type="dxa"/>
            </w:tcMar>
            <w:vAlign w:val="center"/>
          </w:tcPr>
          <w:p>
            <w:pPr>
              <w:jc w:val="center"/>
            </w:pPr>
            <w:r>
              <w:rPr>
                <w:rFonts w:ascii="Poppins" w:hAnsi="Poppins" w:eastAsia="Poppins"/>
                <w:b/>
                <w:i w:val="0"/>
                <w:color w:val="FFFFFF"/>
                <w:sz w:val="26"/>
              </w:rPr>
              <w:t>01</w:t>
            </w:r>
          </w:p>
        </w:tc>
        <w:tc>
          <w:tcPr>
            <w:tcW w:type="dxa" w:w="4759"/>
            <w:tcBorders>
              <w:top w:val="none" w:sz="0" w:color="auto"/>
              <w:bottom w:val="none" w:sz="0" w:color="auto"/>
              <w:left w:val="none" w:sz="0" w:color="auto"/>
              <w:right w:val="none" w:sz="0" w:color="auto"/>
              <w:insideH w:val="none" w:sz="0" w:color="auto"/>
              <w:insideV w:val="none" w:sz="0" w:color="auto"/>
            </w:tcBorders>
            <w:shd w:val="clear" w:color="auto" w:fill="0F172A"/>
            <w:tcMar>
              <w:top w:w="100" w:type="dxa"/>
              <w:bottom w:w="100" w:type="dxa"/>
              <w:left w:w="180" w:type="dxa"/>
              <w:right w:w="120" w:type="dxa"/>
            </w:tcMar>
            <w:vAlign w:val="center"/>
          </w:tcPr>
          <w:p>
            <w:r>
              <w:rPr>
                <w:rFonts w:ascii="Poppins" w:hAnsi="Poppins" w:eastAsia="Poppins"/>
                <w:b/>
                <w:i w:val="0"/>
                <w:color w:val="0F766E"/>
                <w:sz w:val="21"/>
              </w:rPr>
              <w:t xml:space="preserve">— </w:t>
            </w:r>
            <w:r>
              <w:rPr>
                <w:rFonts w:ascii="Poppins" w:hAnsi="Poppins" w:eastAsia="Poppins"/>
                <w:b/>
                <w:i w:val="0"/>
                <w:color w:val="FFFFFF"/>
                <w:sz w:val="21"/>
              </w:rPr>
              <w:t>WHAT IS INCLUDED</w:t>
            </w:r>
          </w:p>
        </w:tc>
      </w:tr>
    </w:tbl>
    <w:p>
      <w:pPr>
        <w:spacing w:before="0" w:after="120" w:line="276" w:lineRule="auto"/>
      </w:pPr>
    </w:p>
    <w:tbl>
      <w:tblPr>
        <w:tblStyle w:val="TableGrid"/>
        <w:tblW w:type="auto" w:w="0"/>
        <w:jc w:val="center"/>
        <w:tblLook w:firstColumn="1" w:firstRow="1" w:lastColumn="0" w:lastRow="0" w:noHBand="0" w:noVBand="1" w:val="04A0"/>
      </w:tblPr>
      <w:tblGrid>
        <w:gridCol w:w="3173"/>
        <w:gridCol w:w="3173"/>
        <w:gridCol w:w="3173"/>
      </w:tblGrid>
      <w:tr>
        <w:trPr>
          <w:trHeight w:val="400" w:hRule="atLeast"/>
        </w:trPr>
        <w:tc>
          <w:tcPr>
            <w:tcW w:type="dxa" w:w="2551"/>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Folder</w:t>
            </w:r>
          </w:p>
        </w:tc>
        <w:tc>
          <w:tcPr>
            <w:tcW w:type="dxa" w:w="3402"/>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Contains</w:t>
            </w:r>
          </w:p>
        </w:tc>
        <w:tc>
          <w:tcPr>
            <w:tcW w:type="dxa" w:w="3969"/>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Purpose</w:t>
            </w:r>
          </w:p>
        </w:tc>
      </w:tr>
      <w:tr>
        <w:tc>
          <w:tcPr>
            <w:tcW w:type="dxa" w:w="255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00 — START HERE</w:t>
            </w:r>
          </w:p>
        </w:tc>
        <w:tc>
          <w:tcPr>
            <w:tcW w:type="dxa" w:w="3402"/>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Read Me, Install Guide, Asset Manifest</w:t>
            </w:r>
          </w:p>
        </w:tc>
        <w:tc>
          <w:tcPr>
            <w:tcW w:type="dxa" w:w="3969"/>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Orientation and setup walkthrough</w:t>
            </w:r>
          </w:p>
        </w:tc>
      </w:tr>
      <w:tr>
        <w:tc>
          <w:tcPr>
            <w:tcW w:type="dxa" w:w="255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01 — QUICK REFERENCE</w:t>
            </w:r>
          </w:p>
        </w:tc>
        <w:tc>
          <w:tcPr>
            <w:tcW w:type="dxa" w:w="3402"/>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Licence, FAQ, Version History, Support Guide</w:t>
            </w:r>
          </w:p>
        </w:tc>
        <w:tc>
          <w:tcPr>
            <w:tcW w:type="dxa" w:w="3969"/>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Legal, support, and product reference</w:t>
            </w:r>
          </w:p>
        </w:tc>
      </w:tr>
      <w:tr>
        <w:tc>
          <w:tcPr>
            <w:tcW w:type="dxa" w:w="255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02 — PRACTICE DASHBOARD</w:t>
            </w:r>
          </w:p>
        </w:tc>
        <w:tc>
          <w:tcPr>
            <w:tcW w:type="dxa" w:w="3402"/>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Excel dashboard (10 sheets)</w:t>
            </w:r>
          </w:p>
        </w:tc>
        <w:tc>
          <w:tcPr>
            <w:tcW w:type="dxa" w:w="3969"/>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Your daily operations hub</w:t>
            </w:r>
          </w:p>
        </w:tc>
      </w:tr>
      <w:tr>
        <w:tc>
          <w:tcPr>
            <w:tcW w:type="dxa" w:w="255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03 — CLIENT DOCUMENTS</w:t>
            </w:r>
          </w:p>
        </w:tc>
        <w:tc>
          <w:tcPr>
            <w:tcW w:type="dxa" w:w="3402"/>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Service Guide, Proposal, Agreement, Intake, Deck</w:t>
            </w:r>
          </w:p>
        </w:tc>
        <w:tc>
          <w:tcPr>
            <w:tcW w:type="dxa" w:w="3969"/>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Send-ready client-facing files</w:t>
            </w:r>
          </w:p>
        </w:tc>
      </w:tr>
      <w:tr>
        <w:tc>
          <w:tcPr>
            <w:tcW w:type="dxa" w:w="255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04 — OPERATIONS LIBRARY</w:t>
            </w:r>
          </w:p>
        </w:tc>
        <w:tc>
          <w:tcPr>
            <w:tcW w:type="dxa" w:w="3402"/>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SOPs, Checklists, Communication Scripts</w:t>
            </w:r>
          </w:p>
        </w:tc>
        <w:tc>
          <w:tcPr>
            <w:tcW w:type="dxa" w:w="3969"/>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Internal practice procedures</w:t>
            </w:r>
          </w:p>
        </w:tc>
      </w:tr>
      <w:tr>
        <w:tc>
          <w:tcPr>
            <w:tcW w:type="dxa" w:w="255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05 — NOTION WORKSPACE</w:t>
            </w:r>
          </w:p>
        </w:tc>
        <w:tc>
          <w:tcPr>
            <w:tcW w:type="dxa" w:w="3402"/>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7 CSV databases + Notion Setup Guide</w:t>
            </w:r>
          </w:p>
        </w:tc>
        <w:tc>
          <w:tcPr>
            <w:tcW w:type="dxa" w:w="3969"/>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Importable workspace for Notion</w:t>
            </w:r>
          </w:p>
        </w:tc>
      </w:tr>
    </w:tbl>
    <w:p>
      <w:pPr>
        <w:spacing w:before="0" w:after="160" w:line="276" w:lineRule="auto"/>
      </w:pPr>
    </w:p>
    <w:p>
      <w:pPr>
        <w:spacing w:before="200" w:after="0" w:line="276" w:lineRule="auto"/>
      </w:pPr>
    </w:p>
    <w:tbl>
      <w:tblPr>
        <w:tblW w:type="auto" w:w="0"/>
        <w:jc w:val="center"/>
        <w:tblLook w:firstColumn="1" w:firstRow="1" w:lastColumn="0" w:lastRow="0" w:noHBand="0" w:noVBand="1" w:val="04A0"/>
      </w:tblPr>
      <w:tblGrid>
        <w:gridCol w:w="4759"/>
        <w:gridCol w:w="4759"/>
      </w:tblGrid>
      <w:tr>
        <w:trPr>
          <w:trHeight w:val="480" w:hRule="atLeast"/>
        </w:trPr>
        <w:tc>
          <w:tcPr>
            <w:tcW w:type="dxa" w:w="907"/>
            <w:tcBorders>
              <w:top w:val="none" w:sz="0" w:color="auto"/>
              <w:bottom w:val="none" w:sz="0" w:color="auto"/>
              <w:left w:val="none" w:sz="0" w:color="auto"/>
              <w:right w:val="none" w:sz="0" w:color="auto"/>
              <w:insideH w:val="none" w:sz="0" w:color="auto"/>
              <w:insideV w:val="none" w:sz="0" w:color="auto"/>
            </w:tcBorders>
            <w:shd w:val="clear" w:color="auto" w:fill="0F766E"/>
            <w:tcMar>
              <w:top w:w="100" w:type="dxa"/>
              <w:bottom w:w="100" w:type="dxa"/>
              <w:left w:w="140" w:type="dxa"/>
              <w:right w:w="100" w:type="dxa"/>
            </w:tcMar>
            <w:vAlign w:val="center"/>
          </w:tcPr>
          <w:p>
            <w:pPr>
              <w:jc w:val="center"/>
            </w:pPr>
            <w:r>
              <w:rPr>
                <w:rFonts w:ascii="Poppins" w:hAnsi="Poppins" w:eastAsia="Poppins"/>
                <w:b/>
                <w:i w:val="0"/>
                <w:color w:val="FFFFFF"/>
                <w:sz w:val="26"/>
              </w:rPr>
              <w:t>02</w:t>
            </w:r>
          </w:p>
        </w:tc>
        <w:tc>
          <w:tcPr>
            <w:tcW w:type="dxa" w:w="4759"/>
            <w:tcBorders>
              <w:top w:val="none" w:sz="0" w:color="auto"/>
              <w:bottom w:val="none" w:sz="0" w:color="auto"/>
              <w:left w:val="none" w:sz="0" w:color="auto"/>
              <w:right w:val="none" w:sz="0" w:color="auto"/>
              <w:insideH w:val="none" w:sz="0" w:color="auto"/>
              <w:insideV w:val="none" w:sz="0" w:color="auto"/>
            </w:tcBorders>
            <w:shd w:val="clear" w:color="auto" w:fill="0F172A"/>
            <w:tcMar>
              <w:top w:w="100" w:type="dxa"/>
              <w:bottom w:w="100" w:type="dxa"/>
              <w:left w:w="180" w:type="dxa"/>
              <w:right w:w="120" w:type="dxa"/>
            </w:tcMar>
            <w:vAlign w:val="center"/>
          </w:tcPr>
          <w:p>
            <w:r>
              <w:rPr>
                <w:rFonts w:ascii="Poppins" w:hAnsi="Poppins" w:eastAsia="Poppins"/>
                <w:b/>
                <w:i w:val="0"/>
                <w:color w:val="0F766E"/>
                <w:sz w:val="21"/>
              </w:rPr>
              <w:t xml:space="preserve">— </w:t>
            </w:r>
            <w:r>
              <w:rPr>
                <w:rFonts w:ascii="Poppins" w:hAnsi="Poppins" w:eastAsia="Poppins"/>
                <w:b/>
                <w:i w:val="0"/>
                <w:color w:val="FFFFFF"/>
                <w:sz w:val="21"/>
              </w:rPr>
              <w:t>90-MINUTE SETUP SEQUENCE</w:t>
            </w:r>
          </w:p>
        </w:tc>
      </w:tr>
    </w:tbl>
    <w:p>
      <w:pPr>
        <w:spacing w:before="0" w:after="120" w:line="276" w:lineRule="auto"/>
      </w:pPr>
    </w:p>
    <w:p>
      <w:pPr>
        <w:jc w:val="both"/>
        <w:spacing w:before="0" w:after="80" w:line="276" w:lineRule="auto"/>
      </w:pPr>
      <w:r>
        <w:rPr>
          <w:rFonts w:ascii="Calibri" w:hAnsi="Calibri" w:eastAsia="Calibri"/>
          <w:b w:val="0"/>
          <w:i w:val="0"/>
          <w:color w:val="0F172A"/>
          <w:sz w:val="19"/>
        </w:rPr>
        <w:t>Follow these six steps in order. Do not customise files before reading the guides — the sequence is designed to prevent rework.</w:t>
      </w:r>
    </w:p>
    <w:p/>
    <w:tbl>
      <w:tblPr>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gridCol w:w="865"/>
      </w:tblGrid>
      <w:tr>
        <w:trPr>
          <w:trHeight w:val="480" w:hRule="atLeast"/>
        </w:trPr>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01</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55" w:type="dxa"/>
              <w:left w:w="30" w:type="dxa"/>
              <w:right w:w="30" w:type="dxa"/>
            </w:tcMar>
          </w:tcPr>
          <w:p>
            <w:pPr>
              <w:jc w:val="center"/>
            </w:pPr>
            <w:r>
              <w:rPr>
                <w:rFonts w:ascii="Poppins" w:hAnsi="Poppins" w:eastAsia="Poppins"/>
                <w:b/>
                <w:i w:val="0"/>
                <w:color w:val="0F766E"/>
                <w:sz w:val="28"/>
              </w:rPr>
              <w:t>→</w:t>
            </w:r>
          </w:p>
        </w:tc>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02</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55" w:type="dxa"/>
              <w:left w:w="30" w:type="dxa"/>
              <w:right w:w="30" w:type="dxa"/>
            </w:tcMar>
          </w:tcPr>
          <w:p>
            <w:pPr>
              <w:jc w:val="center"/>
            </w:pPr>
            <w:r>
              <w:rPr>
                <w:rFonts w:ascii="Poppins" w:hAnsi="Poppins" w:eastAsia="Poppins"/>
                <w:b/>
                <w:i w:val="0"/>
                <w:color w:val="0F766E"/>
                <w:sz w:val="28"/>
              </w:rPr>
              <w:t>→</w:t>
            </w:r>
          </w:p>
        </w:tc>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03</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55" w:type="dxa"/>
              <w:left w:w="30" w:type="dxa"/>
              <w:right w:w="30" w:type="dxa"/>
            </w:tcMar>
          </w:tcPr>
          <w:p>
            <w:pPr>
              <w:jc w:val="center"/>
            </w:pPr>
            <w:r>
              <w:rPr>
                <w:rFonts w:ascii="Poppins" w:hAnsi="Poppins" w:eastAsia="Poppins"/>
                <w:b/>
                <w:i w:val="0"/>
                <w:color w:val="0F766E"/>
                <w:sz w:val="28"/>
              </w:rPr>
              <w:t>→</w:t>
            </w:r>
          </w:p>
        </w:tc>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04</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55" w:type="dxa"/>
              <w:left w:w="30" w:type="dxa"/>
              <w:right w:w="30" w:type="dxa"/>
            </w:tcMar>
          </w:tcPr>
          <w:p>
            <w:pPr>
              <w:jc w:val="center"/>
            </w:pPr>
            <w:r>
              <w:rPr>
                <w:rFonts w:ascii="Poppins" w:hAnsi="Poppins" w:eastAsia="Poppins"/>
                <w:b/>
                <w:i w:val="0"/>
                <w:color w:val="0F766E"/>
                <w:sz w:val="28"/>
              </w:rPr>
              <w:t>→</w:t>
            </w:r>
          </w:p>
        </w:tc>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05</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55" w:type="dxa"/>
              <w:left w:w="30" w:type="dxa"/>
              <w:right w:w="30" w:type="dxa"/>
            </w:tcMar>
          </w:tcPr>
          <w:p>
            <w:pPr>
              <w:jc w:val="center"/>
            </w:pPr>
            <w:r>
              <w:rPr>
                <w:rFonts w:ascii="Poppins" w:hAnsi="Poppins" w:eastAsia="Poppins"/>
                <w:b/>
                <w:i w:val="0"/>
                <w:color w:val="0F766E"/>
                <w:sz w:val="28"/>
              </w:rPr>
              <w:t>→</w:t>
            </w:r>
          </w:p>
        </w:tc>
        <w:tc>
          <w:tcPr>
            <w:tcW w:type="dxa" w:w="865"/>
            <w:tcBorders>
              <w:top w:val="none" w:sz="0" w:color="auto"/>
              <w:bottom w:val="none" w:sz="0" w:color="auto"/>
              <w:left w:val="none" w:sz="0" w:color="auto"/>
              <w:right w:val="none" w:sz="0" w:color="auto"/>
              <w:insideH w:val="none" w:sz="0" w:color="auto"/>
              <w:insideV w:val="none" w:sz="0" w:color="auto"/>
            </w:tcBorders>
            <w:shd w:val="clear" w:color="auto" w:fill="0F766E"/>
            <w:tcMar>
              <w:top w:w="80" w:type="dxa"/>
              <w:bottom w:w="55" w:type="dxa"/>
              <w:left w:w="100" w:type="dxa"/>
              <w:right w:w="100" w:type="dxa"/>
            </w:tcMar>
          </w:tcPr>
          <w:p>
            <w:pPr>
              <w:jc w:val="center"/>
            </w:pPr>
            <w:r>
              <w:rPr>
                <w:rFonts w:ascii="Poppins" w:hAnsi="Poppins" w:eastAsia="Poppins"/>
                <w:b/>
                <w:i w:val="0"/>
                <w:color w:val="FFFFFF"/>
                <w:sz w:val="28"/>
              </w:rPr>
              <w:t>06</w:t>
            </w:r>
          </w:p>
        </w:tc>
      </w:tr>
      <w:tr>
        <w:trPr>
          <w:trHeight w:val="560" w:hRule="atLeast"/>
        </w:trPr>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Read Guides</w:t>
            </w:r>
          </w:p>
          <w:p>
            <w:pPr>
              <w:jc w:val="center"/>
            </w:pPr>
            <w:r>
              <w:rPr>
                <w:rFonts w:ascii="Calibri" w:hAnsi="Calibri" w:eastAsia="Calibri"/>
                <w:b w:val="0"/>
                <w:i/>
                <w:color w:val="64748B"/>
                <w:sz w:val="15"/>
              </w:rPr>
              <w:t>10 min</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80" w:type="dxa"/>
              <w:left w:w="30" w:type="dxa"/>
              <w:right w:w="30" w:type="dxa"/>
            </w:tcMar>
          </w:tcPr>
          <w:p/>
        </w:tc>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Customise Dashboard</w:t>
            </w:r>
          </w:p>
          <w:p>
            <w:pPr>
              <w:jc w:val="center"/>
            </w:pPr>
            <w:r>
              <w:rPr>
                <w:rFonts w:ascii="Calibri" w:hAnsi="Calibri" w:eastAsia="Calibri"/>
                <w:b w:val="0"/>
                <w:i/>
                <w:color w:val="64748B"/>
                <w:sz w:val="15"/>
              </w:rPr>
              <w:t>20 min</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80" w:type="dxa"/>
              <w:left w:w="30" w:type="dxa"/>
              <w:right w:w="30" w:type="dxa"/>
            </w:tcMar>
          </w:tcPr>
          <w:p/>
        </w:tc>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Update Client Docs</w:t>
            </w:r>
          </w:p>
          <w:p>
            <w:pPr>
              <w:jc w:val="center"/>
            </w:pPr>
            <w:r>
              <w:rPr>
                <w:rFonts w:ascii="Calibri" w:hAnsi="Calibri" w:eastAsia="Calibri"/>
                <w:b w:val="0"/>
                <w:i/>
                <w:color w:val="64748B"/>
                <w:sz w:val="15"/>
              </w:rPr>
              <w:t>25 min</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80" w:type="dxa"/>
              <w:left w:w="30" w:type="dxa"/>
              <w:right w:w="30" w:type="dxa"/>
            </w:tcMar>
          </w:tcPr>
          <w:p/>
        </w:tc>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Build Notion</w:t>
            </w:r>
          </w:p>
          <w:p>
            <w:pPr>
              <w:jc w:val="center"/>
            </w:pPr>
            <w:r>
              <w:rPr>
                <w:rFonts w:ascii="Calibri" w:hAnsi="Calibri" w:eastAsia="Calibri"/>
                <w:b w:val="0"/>
                <w:i/>
                <w:color w:val="64748B"/>
                <w:sz w:val="15"/>
              </w:rPr>
              <w:t>15 min</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80" w:type="dxa"/>
              <w:left w:w="30" w:type="dxa"/>
              <w:right w:w="30" w:type="dxa"/>
            </w:tcMar>
          </w:tcPr>
          <w:p/>
        </w:tc>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Validate</w:t>
            </w:r>
          </w:p>
          <w:p>
            <w:pPr>
              <w:jc w:val="center"/>
            </w:pPr>
            <w:r>
              <w:rPr>
                <w:rFonts w:ascii="Calibri" w:hAnsi="Calibri" w:eastAsia="Calibri"/>
                <w:b w:val="0"/>
                <w:i/>
                <w:color w:val="64748B"/>
                <w:sz w:val="15"/>
              </w:rPr>
              <w:t>15 min</w:t>
            </w:r>
          </w:p>
        </w:tc>
        <w:tc>
          <w:tcPr>
            <w:tcW w:type="dxa" w:w="865"/>
            <w:tcBorders>
              <w:top w:val="none" w:sz="0" w:color="auto"/>
              <w:bottom w:val="none" w:sz="0" w:color="auto"/>
              <w:left w:val="none" w:sz="0" w:color="auto"/>
              <w:right w:val="none" w:sz="0" w:color="auto"/>
              <w:insideH w:val="none" w:sz="0" w:color="auto"/>
              <w:insideV w:val="none" w:sz="0" w:color="auto"/>
            </w:tcBorders>
            <w:tcMar>
              <w:top w:w="80" w:type="dxa"/>
              <w:bottom w:w="80" w:type="dxa"/>
              <w:left w:w="30" w:type="dxa"/>
              <w:right w:w="30" w:type="dxa"/>
            </w:tcMar>
          </w:tcPr>
          <w:p/>
        </w:tc>
        <w:tc>
          <w:tcPr>
            <w:tcW w:type="dxa" w:w="865"/>
            <w:shd w:val="clear" w:color="auto" w:fill="F8FAFC"/>
            <w:tcBorders>
              <w:top w:val="single" w:sz="8" w:color="0F766E"/>
              <w:bottom w:val="none" w:sz="0" w:color="auto"/>
              <w:left w:val="none" w:sz="0" w:color="auto"/>
              <w:right w:val="none" w:sz="0" w:color="auto"/>
              <w:insideH w:val="none" w:sz="0" w:color="auto"/>
              <w:insideV w:val="none" w:sz="0" w:color="auto"/>
            </w:tcBorders>
            <w:tcMar>
              <w:top w:w="80" w:type="dxa"/>
              <w:bottom w:w="80" w:type="dxa"/>
              <w:left w:w="80" w:type="dxa"/>
              <w:right w:w="80" w:type="dxa"/>
            </w:tcMar>
          </w:tcPr>
          <w:p>
            <w:pPr>
              <w:jc w:val="center"/>
            </w:pPr>
            <w:r>
              <w:rPr>
                <w:rFonts w:ascii="Poppins" w:hAnsi="Poppins" w:eastAsia="Poppins"/>
                <w:b/>
                <w:i w:val="0"/>
                <w:color w:val="0F172A"/>
                <w:sz w:val="16"/>
              </w:rPr>
              <w:t>Review Licence</w:t>
            </w:r>
          </w:p>
          <w:p>
            <w:pPr>
              <w:jc w:val="center"/>
            </w:pPr>
            <w:r>
              <w:rPr>
                <w:rFonts w:ascii="Calibri" w:hAnsi="Calibri" w:eastAsia="Calibri"/>
                <w:b w:val="0"/>
                <w:i/>
                <w:color w:val="64748B"/>
                <w:sz w:val="15"/>
              </w:rPr>
              <w:t>5 min</w:t>
            </w:r>
          </w:p>
        </w:tc>
      </w:tr>
    </w:tbl>
    <w:p>
      <w:pPr>
        <w:spacing w:before="0" w:after="200" w:line="276" w:lineRule="auto"/>
      </w:pPr>
    </w:p>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01</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Read the guides (10 min)</w:t>
            </w:r>
          </w:p>
          <w:p>
            <w:pPr>
              <w:spacing w:before="0" w:after="120" w:line="276" w:lineRule="auto"/>
            </w:pPr>
            <w:r>
              <w:rPr>
                <w:rFonts w:ascii="Calibri" w:hAnsi="Calibri" w:eastAsia="Calibri"/>
                <w:b w:val="0"/>
                <w:i w:val="0"/>
                <w:color w:val="64748B"/>
                <w:sz w:val="18"/>
              </w:rPr>
              <w:t>Read this file, then the Installation-Guide in 00-START-HERE. Understand the full system before customising anything.</w:t>
            </w:r>
          </w:p>
        </w:tc>
      </w:tr>
    </w:tbl>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02</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Customise the Dashboard (20 min)</w:t>
            </w:r>
          </w:p>
          <w:p>
            <w:pPr>
              <w:spacing w:before="0" w:after="120" w:line="276" w:lineRule="auto"/>
            </w:pPr>
            <w:r>
              <w:rPr>
                <w:rFonts w:ascii="Calibri" w:hAnsi="Calibri" w:eastAsia="Calibri"/>
                <w:b w:val="0"/>
                <w:i w:val="0"/>
                <w:color w:val="64748B"/>
                <w:sz w:val="18"/>
              </w:rPr>
              <w:t>Open 02-Practice-Dashboard/Bookkeeper-Practice-Dashboard-v2.xlsx. Fill all amber Setup cells with your practice name, services, and pricing.</w:t>
            </w:r>
          </w:p>
        </w:tc>
      </w:tr>
    </w:tbl>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03</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Update client documents (25 min)</w:t>
            </w:r>
          </w:p>
          <w:p>
            <w:pPr>
              <w:spacing w:before="0" w:after="120" w:line="276" w:lineRule="auto"/>
            </w:pPr>
            <w:r>
              <w:rPr>
                <w:rFonts w:ascii="Calibri" w:hAnsi="Calibri" w:eastAsia="Calibri"/>
                <w:b w:val="0"/>
                <w:i w:val="0"/>
                <w:color w:val="64748B"/>
                <w:sz w:val="18"/>
              </w:rPr>
              <w:t>Replace all [BRACKETED TEXT] in the 5 files in 03-Client-Documents. Use Find &amp; Replace (Ctrl+H or Cmd+H) in Word.</w:t>
            </w:r>
          </w:p>
        </w:tc>
      </w:tr>
    </w:tbl>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04</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Build your Notion workspace (15 min)</w:t>
            </w:r>
          </w:p>
          <w:p>
            <w:pPr>
              <w:spacing w:before="0" w:after="120" w:line="276" w:lineRule="auto"/>
            </w:pPr>
            <w:r>
              <w:rPr>
                <w:rFonts w:ascii="Calibri" w:hAnsi="Calibri" w:eastAsia="Calibri"/>
                <w:b w:val="0"/>
                <w:i w:val="0"/>
                <w:color w:val="64748B"/>
                <w:sz w:val="18"/>
              </w:rPr>
              <w:t>Follow Notion-Setup-Guide.pdf in 05-Notion-Workspace. Import all 7 CSV files and connect them with Relations.</w:t>
            </w:r>
          </w:p>
        </w:tc>
      </w:tr>
    </w:tbl>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05</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Validate and review (15 min)</w:t>
            </w:r>
          </w:p>
          <w:p>
            <w:pPr>
              <w:spacing w:before="0" w:after="120" w:line="276" w:lineRule="auto"/>
            </w:pPr>
            <w:r>
              <w:rPr>
                <w:rFonts w:ascii="Calibri" w:hAnsi="Calibri" w:eastAsia="Calibri"/>
                <w:b w:val="0"/>
                <w:i w:val="0"/>
                <w:color w:val="64748B"/>
                <w:sz w:val="18"/>
              </w:rPr>
              <w:t>Add 2–3 sample clients. Confirm KPI cards populate on the Dashboard. Search every DOCX for remaining brackets.</w:t>
            </w:r>
          </w:p>
        </w:tc>
      </w:tr>
    </w:tbl>
    <w:tbl>
      <w:tblPr>
        <w:tblW w:type="auto" w:w="0"/>
        <w:jc w:val="center"/>
        <w:tblLook w:firstColumn="1" w:firstRow="1" w:lastColumn="0" w:lastRow="0" w:noHBand="0" w:noVBand="1" w:val="04A0"/>
      </w:tblPr>
      <w:tblGrid>
        <w:gridCol w:w="4759"/>
        <w:gridCol w:w="4759"/>
      </w:tblGrid>
      <w:tr>
        <w:trPr>
          <w:trHeight w:val="280" w:hRule="atLeast"/>
        </w:trPr>
        <w:tc>
          <w:tcPr>
            <w:tcW w:type="dxa" w:w="850"/>
            <w:tcBorders>
              <w:top w:val="none" w:sz="0" w:color="auto"/>
              <w:bottom w:val="none" w:sz="0" w:color="auto"/>
              <w:left w:val="none" w:sz="0" w:color="auto"/>
              <w:right w:val="none" w:sz="0" w:color="auto"/>
              <w:insideH w:val="none" w:sz="0" w:color="auto"/>
              <w:insideV w:val="none" w:sz="0" w:color="auto"/>
            </w:tcBorders>
            <w:shd w:val="clear" w:color="auto" w:fill="0F766E"/>
            <w:tcMar>
              <w:top w:w="90" w:type="dxa"/>
              <w:bottom w:w="90" w:type="dxa"/>
              <w:left w:w="120" w:type="dxa"/>
              <w:right w:w="100" w:type="dxa"/>
            </w:tcMar>
            <w:vAlign w:val="center"/>
          </w:tcPr>
          <w:p>
            <w:pPr>
              <w:jc w:val="center"/>
            </w:pPr>
            <w:r>
              <w:rPr>
                <w:rFonts w:ascii="Poppins" w:hAnsi="Poppins" w:eastAsia="Poppins"/>
                <w:b/>
                <w:i w:val="0"/>
                <w:color w:val="FFFFFF"/>
                <w:sz w:val="30"/>
              </w:rPr>
              <w:t>06</w:t>
            </w:r>
          </w:p>
        </w:tc>
        <w:tc>
          <w:tcPr>
            <w:tcW w:type="dxa" w:w="4759"/>
            <w:tcMar>
              <w:top w:w="80" w:type="dxa"/>
              <w:bottom w:w="80" w:type="dxa"/>
              <w:left w:w="160" w:type="dxa"/>
              <w:right w:w="80" w:type="dxa"/>
            </w:tcMar>
            <w:tcBorders>
              <w:top w:val="single" w:sz="4" w:color="CBD5E1"/>
              <w:bottom w:val="none" w:sz="0" w:color="auto"/>
              <w:left w:val="none" w:sz="0" w:color="auto"/>
              <w:right w:val="none" w:sz="0" w:color="auto"/>
              <w:insideH w:val="none" w:sz="0" w:color="auto"/>
              <w:insideV w:val="none" w:sz="0" w:color="auto"/>
            </w:tcBorders>
            <w:vAlign w:val="top"/>
          </w:tcPr>
          <w:p>
            <w:pPr>
              <w:spacing w:before="0" w:after="60" w:line="276" w:lineRule="auto"/>
            </w:pPr>
            <w:r>
              <w:rPr>
                <w:rFonts w:ascii="Poppins" w:hAnsi="Poppins" w:eastAsia="Poppins"/>
                <w:b/>
                <w:i w:val="0"/>
                <w:color w:val="0F172A"/>
                <w:sz w:val="21"/>
              </w:rPr>
              <w:t>Read the Licence (5 min)</w:t>
            </w:r>
          </w:p>
          <w:p>
            <w:pPr>
              <w:spacing w:before="0" w:after="120" w:line="276" w:lineRule="auto"/>
            </w:pPr>
            <w:r>
              <w:rPr>
                <w:rFonts w:ascii="Calibri" w:hAnsi="Calibri" w:eastAsia="Calibri"/>
                <w:b w:val="0"/>
                <w:i w:val="0"/>
                <w:color w:val="64748B"/>
                <w:sz w:val="18"/>
              </w:rPr>
              <w:t>Review 01-Quick-Reference/License.pdf before sending any document to a client.</w:t>
            </w:r>
          </w:p>
        </w:tc>
      </w:tr>
    </w:tbl>
    <w:p>
      <w:pPr>
        <w:spacing w:before="200" w:after="0" w:line="276" w:lineRule="auto"/>
      </w:pPr>
    </w:p>
    <w:tbl>
      <w:tblPr>
        <w:tblW w:type="auto" w:w="0"/>
        <w:jc w:val="center"/>
        <w:tblLook w:firstColumn="1" w:firstRow="1" w:lastColumn="0" w:lastRow="0" w:noHBand="0" w:noVBand="1" w:val="04A0"/>
      </w:tblPr>
      <w:tblGrid>
        <w:gridCol w:w="4759"/>
        <w:gridCol w:w="4759"/>
      </w:tblGrid>
      <w:tr>
        <w:trPr>
          <w:trHeight w:val="480" w:hRule="atLeast"/>
        </w:trPr>
        <w:tc>
          <w:tcPr>
            <w:tcW w:type="dxa" w:w="907"/>
            <w:tcBorders>
              <w:top w:val="none" w:sz="0" w:color="auto"/>
              <w:bottom w:val="none" w:sz="0" w:color="auto"/>
              <w:left w:val="none" w:sz="0" w:color="auto"/>
              <w:right w:val="none" w:sz="0" w:color="auto"/>
              <w:insideH w:val="none" w:sz="0" w:color="auto"/>
              <w:insideV w:val="none" w:sz="0" w:color="auto"/>
            </w:tcBorders>
            <w:shd w:val="clear" w:color="auto" w:fill="0F766E"/>
            <w:tcMar>
              <w:top w:w="100" w:type="dxa"/>
              <w:bottom w:w="100" w:type="dxa"/>
              <w:left w:w="140" w:type="dxa"/>
              <w:right w:w="100" w:type="dxa"/>
            </w:tcMar>
            <w:vAlign w:val="center"/>
          </w:tcPr>
          <w:p>
            <w:pPr>
              <w:jc w:val="center"/>
            </w:pPr>
            <w:r>
              <w:rPr>
                <w:rFonts w:ascii="Poppins" w:hAnsi="Poppins" w:eastAsia="Poppins"/>
                <w:b/>
                <w:i w:val="0"/>
                <w:color w:val="FFFFFF"/>
                <w:sz w:val="26"/>
              </w:rPr>
              <w:t>03</w:t>
            </w:r>
          </w:p>
        </w:tc>
        <w:tc>
          <w:tcPr>
            <w:tcW w:type="dxa" w:w="4759"/>
            <w:tcBorders>
              <w:top w:val="none" w:sz="0" w:color="auto"/>
              <w:bottom w:val="none" w:sz="0" w:color="auto"/>
              <w:left w:val="none" w:sz="0" w:color="auto"/>
              <w:right w:val="none" w:sz="0" w:color="auto"/>
              <w:insideH w:val="none" w:sz="0" w:color="auto"/>
              <w:insideV w:val="none" w:sz="0" w:color="auto"/>
            </w:tcBorders>
            <w:shd w:val="clear" w:color="auto" w:fill="0F172A"/>
            <w:tcMar>
              <w:top w:w="100" w:type="dxa"/>
              <w:bottom w:w="100" w:type="dxa"/>
              <w:left w:w="180" w:type="dxa"/>
              <w:right w:w="120" w:type="dxa"/>
            </w:tcMar>
            <w:vAlign w:val="center"/>
          </w:tcPr>
          <w:p>
            <w:r>
              <w:rPr>
                <w:rFonts w:ascii="Poppins" w:hAnsi="Poppins" w:eastAsia="Poppins"/>
                <w:b/>
                <w:i w:val="0"/>
                <w:color w:val="0F766E"/>
                <w:sz w:val="21"/>
              </w:rPr>
              <w:t xml:space="preserve">— </w:t>
            </w:r>
            <w:r>
              <w:rPr>
                <w:rFonts w:ascii="Poppins" w:hAnsi="Poppins" w:eastAsia="Poppins"/>
                <w:b/>
                <w:i w:val="0"/>
                <w:color w:val="FFFFFF"/>
                <w:sz w:val="21"/>
              </w:rPr>
              <w:t>CORE CLIENT WORKFLOW</w:t>
            </w:r>
          </w:p>
        </w:tc>
      </w:tr>
    </w:tbl>
    <w:p>
      <w:pPr>
        <w:spacing w:before="0" w:after="120" w:line="276" w:lineRule="auto"/>
      </w:pPr>
    </w:p>
    <w:p>
      <w:pPr>
        <w:jc w:val="both"/>
        <w:spacing w:before="0" w:after="80" w:line="276" w:lineRule="auto"/>
      </w:pPr>
      <w:r>
        <w:rPr>
          <w:rFonts w:ascii="Calibri" w:hAnsi="Calibri" w:eastAsia="Calibri"/>
          <w:b w:val="0"/>
          <w:i w:val="0"/>
          <w:color w:val="0F172A"/>
          <w:sz w:val="19"/>
        </w:rPr>
        <w:t>Every client engagement follows this sequence. The system provides a file or tool for every stage.</w:t>
      </w:r>
    </w:p>
    <w:p/>
    <w:tbl>
      <w:tblPr>
        <w:tblStyle w:val="TableGrid"/>
        <w:tblW w:type="auto" w:w="0"/>
        <w:jc w:val="center"/>
        <w:tblLook w:firstColumn="1" w:firstRow="1" w:lastColumn="0" w:lastRow="0" w:noHBand="0" w:noVBand="1" w:val="04A0"/>
      </w:tblPr>
      <w:tblGrid>
        <w:gridCol w:w="3173"/>
        <w:gridCol w:w="3173"/>
        <w:gridCol w:w="3173"/>
      </w:tblGrid>
      <w:tr>
        <w:trPr>
          <w:trHeight w:val="400" w:hRule="atLeast"/>
        </w:trPr>
        <w:tc>
          <w:tcPr>
            <w:tcW w:type="dxa" w:w="1701"/>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Stage</w:t>
            </w:r>
          </w:p>
        </w:tc>
        <w:tc>
          <w:tcPr>
            <w:tcW w:type="dxa" w:w="4535"/>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What Happens</w:t>
            </w:r>
          </w:p>
        </w:tc>
        <w:tc>
          <w:tcPr>
            <w:tcW w:type="dxa" w:w="3685"/>
            <w:shd w:val="clear" w:color="auto" w:fill="0F766E"/>
            <w:tcMar>
              <w:top w:w="70" w:type="dxa"/>
              <w:bottom w:w="70" w:type="dxa"/>
              <w:left w:w="100" w:type="dxa"/>
              <w:right w:w="100" w:type="dxa"/>
            </w:tcMar>
            <w:tcBorders>
              <w:top w:val="single" w:sz="4" w:color="0F766E"/>
              <w:bottom w:val="single" w:sz="8" w:color="0F766E"/>
              <w:left w:val="single" w:sz="4" w:color="0F766E"/>
              <w:right w:val="single" w:sz="4" w:color="0F766E"/>
              <w:insideH w:val="none" w:sz="0" w:color="auto"/>
              <w:insideV w:val="none" w:sz="0" w:color="auto"/>
            </w:tcBorders>
          </w:tcPr>
          <w:p>
            <w:r>
              <w:rPr>
                <w:rFonts w:ascii="Poppins" w:hAnsi="Poppins" w:eastAsia="Poppins"/>
                <w:b/>
                <w:i w:val="0"/>
                <w:color w:val="FFFFFF"/>
                <w:sz w:val="16"/>
              </w:rPr>
              <w:t>System File</w:t>
            </w:r>
          </w:p>
        </w:tc>
      </w:tr>
      <w:tr>
        <w:tc>
          <w:tcPr>
            <w:tcW w:type="dxa" w:w="170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01  Lead</w:t>
            </w:r>
          </w:p>
        </w:tc>
        <w:tc>
          <w:tcPr>
            <w:tcW w:type="dxa" w:w="453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Qualify entity type, volume, software, complexity, and urgency</w:t>
            </w:r>
          </w:p>
        </w:tc>
        <w:tc>
          <w:tcPr>
            <w:tcW w:type="dxa" w:w="368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Dashboard — Lead Pipeline</w:t>
            </w:r>
          </w:p>
        </w:tc>
      </w:tr>
      <w:tr>
        <w:tc>
          <w:tcPr>
            <w:tcW w:type="dxa" w:w="170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02  Diagnostic</w:t>
            </w:r>
          </w:p>
        </w:tc>
        <w:tc>
          <w:tcPr>
            <w:tcW w:type="dxa" w:w="453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Review books, backlog, accounts, and reporting needs</w:t>
            </w:r>
          </w:p>
        </w:tc>
        <w:tc>
          <w:tcPr>
            <w:tcW w:type="dxa" w:w="368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Client-Intake-and-Onboarding-Pack-v2</w:t>
            </w:r>
          </w:p>
        </w:tc>
      </w:tr>
      <w:tr>
        <w:tc>
          <w:tcPr>
            <w:tcW w:type="dxa" w:w="170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03  Proposal</w:t>
            </w:r>
          </w:p>
        </w:tc>
        <w:tc>
          <w:tcPr>
            <w:tcW w:type="dxa" w:w="453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Define scope, assumptions, cleanup, and monthly fee</w:t>
            </w:r>
          </w:p>
        </w:tc>
        <w:tc>
          <w:tcPr>
            <w:tcW w:type="dxa" w:w="368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Bookkeeping-Proposal-Template-v2</w:t>
            </w:r>
          </w:p>
        </w:tc>
      </w:tr>
      <w:tr>
        <w:tc>
          <w:tcPr>
            <w:tcW w:type="dxa" w:w="170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04  Engagement</w:t>
            </w:r>
          </w:p>
        </w:tc>
        <w:tc>
          <w:tcPr>
            <w:tcW w:type="dxa" w:w="453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Sign contract, collect payment, confirm responsibilities</w:t>
            </w:r>
          </w:p>
        </w:tc>
        <w:tc>
          <w:tcPr>
            <w:tcW w:type="dxa" w:w="368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Bookkeeping-Engagement-Agreement-v2</w:t>
            </w:r>
          </w:p>
        </w:tc>
      </w:tr>
      <w:tr>
        <w:tc>
          <w:tcPr>
            <w:tcW w:type="dxa" w:w="170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05  Onboarding</w:t>
            </w:r>
          </w:p>
        </w:tc>
        <w:tc>
          <w:tcPr>
            <w:tcW w:type="dxa" w:w="453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Collect access, COA, documents, deadlines</w:t>
            </w:r>
          </w:p>
        </w:tc>
        <w:tc>
          <w:tcPr>
            <w:tcW w:type="dxa" w:w="368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Client-Intake-and-Onboarding-Pack-v2</w:t>
            </w:r>
          </w:p>
        </w:tc>
      </w:tr>
      <w:tr>
        <w:tc>
          <w:tcPr>
            <w:tcW w:type="dxa" w:w="1701"/>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06  Monthly Close</w:t>
            </w:r>
          </w:p>
        </w:tc>
        <w:tc>
          <w:tcPr>
            <w:tcW w:type="dxa" w:w="453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Reconcile, review, adjust, report, document exceptions</w:t>
            </w:r>
          </w:p>
        </w:tc>
        <w:tc>
          <w:tcPr>
            <w:tcW w:type="dxa" w:w="3685"/>
            <w:shd w:val="clear" w:color="auto" w:fill="F8FAFC"/>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Dashboard + SOPs-and-Checklists-v2</w:t>
            </w:r>
          </w:p>
        </w:tc>
      </w:tr>
      <w:tr>
        <w:tc>
          <w:tcPr>
            <w:tcW w:type="dxa" w:w="1701"/>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07  Delivery</w:t>
            </w:r>
          </w:p>
        </w:tc>
        <w:tc>
          <w:tcPr>
            <w:tcW w:type="dxa" w:w="453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Deliver reports, explain variances, confirm next actions</w:t>
            </w:r>
          </w:p>
        </w:tc>
        <w:tc>
          <w:tcPr>
            <w:tcW w:type="dxa" w:w="3685"/>
            <w:shd w:val="clear" w:color="auto" w:fill="FFFFFF"/>
            <w:tcBorders>
              <w:top w:val="single" w:sz="3" w:color="CBD5E1"/>
              <w:bottom w:val="single" w:sz="3" w:color="CBD5E1"/>
              <w:left w:val="single" w:sz="3" w:color="CBD5E1"/>
              <w:right w:val="single" w:sz="3" w:color="CBD5E1"/>
              <w:insideH w:val="none" w:sz="0" w:color="auto"/>
              <w:insideV w:val="none" w:sz="0" w:color="auto"/>
            </w:tcBorders>
            <w:tcMar>
              <w:top w:w="60" w:type="dxa"/>
              <w:bottom w:w="60" w:type="dxa"/>
              <w:left w:w="100" w:type="dxa"/>
              <w:right w:w="100" w:type="dxa"/>
            </w:tcMar>
          </w:tcPr>
          <w:p>
            <w:r>
              <w:rPr>
                <w:rFonts w:ascii="Calibri" w:hAnsi="Calibri" w:eastAsia="Calibri"/>
                <w:b w:val="0"/>
                <w:i w:val="0"/>
                <w:color w:val="0F172A"/>
                <w:sz w:val="17"/>
              </w:rPr>
              <w:t>Client Portal (Notion) + Scripts</w:t>
            </w:r>
          </w:p>
        </w:tc>
      </w:tr>
    </w:tbl>
    <w:p>
      <w:pPr>
        <w:spacing w:before="0" w:after="160" w:line="276" w:lineRule="auto"/>
      </w:pPr>
    </w:p>
    <w:tbl>
      <w:tblPr>
        <w:tblW w:type="auto" w:w="0"/>
        <w:jc w:val="center"/>
        <w:tblLook w:firstColumn="1" w:firstRow="1" w:lastColumn="0" w:lastRow="0" w:noHBand="0" w:noVBand="1" w:val="04A0"/>
      </w:tblPr>
      <w:tblGrid>
        <w:gridCol w:w="9518"/>
      </w:tblGrid>
      <w:tr>
        <w:tc>
          <w:tcPr>
            <w:tcW w:type="dxa" w:w="9518"/>
            <w:shd w:val="clear" w:color="auto" w:fill="FFFBEB"/>
            <w:tcMar>
              <w:top w:w="110" w:type="dxa"/>
              <w:bottom w:w="110" w:type="dxa"/>
              <w:left w:w="170" w:type="dxa"/>
              <w:right w:w="170" w:type="dxa"/>
            </w:tcMar>
            <w:tcBorders>
              <w:top w:val="single" w:sz="4" w:color="CBD5E1"/>
              <w:bottom w:val="single" w:sz="4" w:color="CBD5E1"/>
              <w:left w:val="single" w:sz="16" w:color="D97706"/>
              <w:right w:val="single" w:sz="4" w:color="CBD5E1"/>
              <w:insideH w:val="none" w:sz="0" w:color="auto"/>
              <w:insideV w:val="none" w:sz="0" w:color="auto"/>
            </w:tcBorders>
          </w:tcPr>
          <w:p>
            <w:pPr>
              <w:spacing w:before="0" w:after="100" w:line="276" w:lineRule="auto"/>
            </w:pPr>
            <w:r>
              <w:rPr>
                <w:rFonts w:ascii="Poppins" w:hAnsi="Poppins" w:eastAsia="Poppins"/>
                <w:b/>
                <w:i w:val="0"/>
                <w:color w:val="D97706"/>
                <w:sz w:val="14"/>
              </w:rPr>
              <w:t>PROFESSIONAL SCOPE — READ BEFORE CLIENT USE</w:t>
            </w:r>
          </w:p>
          <w:p>
            <w:pPr>
              <w:spacing w:before="0" w:after="0" w:line="276" w:lineRule="auto"/>
            </w:pPr>
            <w:r>
              <w:rPr>
                <w:rFonts w:ascii="Calibri" w:hAnsi="Calibri" w:eastAsia="Calibri"/>
                <w:b w:val="0"/>
                <w:i w:val="0"/>
                <w:color w:val="0F172A"/>
                <w:sz w:val="18"/>
              </w:rPr>
              <w:t>This product supports bookkeeping operations only. It does not constitute accounting, tax, legal, audit, assurance, payroll, or regulatory advice. Adapt all files to your credentials, jurisdiction, and permitted professional scope before client use.</w:t>
            </w:r>
          </w:p>
        </w:tc>
      </w:tr>
    </w:tbl>
    <w:p>
      <w:pPr>
        <w:spacing w:before="0" w:after="120" w:line="276" w:lineRule="auto"/>
      </w:pPr>
    </w:p>
    <w:sectPr w:rsidR="00FC693F" w:rsidRPr="0006063C" w:rsidSect="00034616">
      <w:headerReference w:type="default" r:id="rId9"/>
      <w:footerReference w:type="default" r:id="rId10"/>
      <w:pgSz w:w="12240" w:h="15840"/>
      <w:pgMar w:top="1247"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tcBorders>
            <w:top w:val="single" w:sz="4" w:color="CBD5E1"/>
            <w:bottom w:val="none" w:sz="0" w:color="auto"/>
            <w:left w:val="none" w:sz="0" w:color="auto"/>
            <w:right w:val="none" w:sz="0" w:color="auto"/>
            <w:insideH w:val="none" w:sz="0" w:color="auto"/>
            <w:insideV w:val="none" w:sz="0" w:color="auto"/>
          </w:tcBorders>
          <w:tcMar>
            <w:top w:w="55" w:type="dxa"/>
            <w:bottom w:w="55" w:type="dxa"/>
            <w:left w:w="0" w:type="dxa"/>
            <w:right w:w="0" w:type="dxa"/>
          </w:tcMar>
        </w:tcPr>
        <w:p>
          <w:pPr>
            <w:jc w:val="left"/>
          </w:pPr>
          <w:r>
            <w:rPr>
              <w:rFonts w:ascii="Inter" w:hAnsi="Inter" w:eastAsia="Inter"/>
              <w:b w:val="0"/>
              <w:i w:val="0"/>
              <w:color w:val="64748B"/>
              <w:sz w:val="13"/>
            </w:rPr>
            <w:t>© 2025 NovaOps  ·  Commercial Use License  ·  Bookkeeper Practice Launch System</w:t>
          </w:r>
        </w:p>
      </w:tc>
      <w:tc>
        <w:tcPr>
          <w:tcW w:type="dxa" w:w="4536"/>
          <w:tcBorders>
            <w:top w:val="single" w:sz="4" w:color="CBD5E1"/>
            <w:bottom w:val="none" w:sz="0" w:color="auto"/>
            <w:left w:val="none" w:sz="0" w:color="auto"/>
            <w:right w:val="none" w:sz="0" w:color="auto"/>
            <w:insideH w:val="none" w:sz="0" w:color="auto"/>
            <w:insideV w:val="none" w:sz="0" w:color="auto"/>
          </w:tcBorders>
          <w:tcMar>
            <w:top w:w="55" w:type="dxa"/>
            <w:bottom w:w="55" w:type="dxa"/>
            <w:left w:w="0" w:type="dxa"/>
            <w:right w:w="0" w:type="dxa"/>
          </w:tcMar>
        </w:tcPr>
        <w:p>
          <w:pPr>
            <w:jc w:val="right"/>
          </w:pPr>
          <w:r>
            <w:rPr>
              <w:rFonts w:ascii="Inter" w:hAnsi="Inter" w:eastAsia="Inter"/>
              <w:b w:val="0"/>
              <w:i w:val="0"/>
              <w:color w:val="64748B"/>
              <w:sz w:val="15"/>
            </w:rPr>
            <w:t xml:space="preserve">Page </w:t>
          </w:r>
          <w:r>
            <w:rPr>
              <w:rFonts w:ascii="Inter" w:hAnsi="Inter" w:eastAsia="Inter"/>
              <w:b/>
              <w:i w:val="0"/>
              <w:color w:val="0F766E"/>
              <w:sz w:val="15"/>
            </w:rPr>
            <w:fldChar w:fldCharType="begin"/>
            <w:instrText>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6"/>
      <w:gridCol w:w="4536"/>
    </w:tblGrid>
    <w:tr>
      <w:tc>
        <w:tcPr>
          <w:tcW w:type="dxa" w:w="4536"/>
          <w:tcMar>
            <w:top w:w="55" w:type="dxa"/>
            <w:bottom w:w="55" w:type="dxa"/>
            <w:left w:w="0" w:type="dxa"/>
            <w:right w:w="60" w:type="dxa"/>
          </w:tcMar>
          <w:tcBorders>
            <w:top w:val="none" w:sz="0" w:color="auto"/>
            <w:bottom w:val="single" w:sz="8" w:color="0F766E"/>
            <w:left w:val="none" w:sz="0" w:color="auto"/>
            <w:right w:val="none" w:sz="0" w:color="auto"/>
            <w:insideH w:val="none" w:sz="0" w:color="auto"/>
            <w:insideV w:val="none" w:sz="0" w:color="auto"/>
          </w:tcBorders>
        </w:tcPr>
        <w:p>
          <w:pPr>
            <w:jc w:val="left"/>
          </w:pPr>
          <w:r>
            <w:rPr>
              <w:rFonts w:ascii="Poppins" w:hAnsi="Poppins" w:eastAsia="Poppins"/>
              <w:b/>
              <w:i w:val="0"/>
              <w:color w:val="0F766E"/>
              <w:sz w:val="14"/>
            </w:rPr>
            <w:t>NOVAOPS</w:t>
          </w:r>
          <w:r>
            <w:rPr>
              <w:rFonts w:ascii="Inter" w:hAnsi="Inter" w:eastAsia="Inter"/>
              <w:b w:val="0"/>
              <w:i w:val="0"/>
              <w:color w:val="64748B"/>
              <w:sz w:val="13"/>
            </w:rPr>
            <w:t xml:space="preserve">  ·  Bookkeeper Practice Launch System  ·  v2.0</w:t>
          </w:r>
        </w:p>
      </w:tc>
      <w:tc>
        <w:tcPr>
          <w:tcW w:type="dxa" w:w="4536"/>
          <w:tcMar>
            <w:top w:w="55" w:type="dxa"/>
            <w:bottom w:w="55" w:type="dxa"/>
            <w:left w:w="60" w:type="dxa"/>
            <w:right w:w="0" w:type="dxa"/>
          </w:tcMar>
          <w:tcBorders>
            <w:top w:val="none" w:sz="0" w:color="auto"/>
            <w:bottom w:val="single" w:sz="8" w:color="0F766E"/>
            <w:left w:val="none" w:sz="0" w:color="auto"/>
            <w:right w:val="none" w:sz="0" w:color="auto"/>
            <w:insideH w:val="none" w:sz="0" w:color="auto"/>
            <w:insideV w:val="none" w:sz="0" w:color="auto"/>
          </w:tcBorders>
        </w:tcPr>
        <w:p>
          <w:pPr>
            <w:jc w:val="right"/>
          </w:pPr>
          <w:r>
            <w:rPr>
              <w:rFonts w:ascii="Inter" w:hAnsi="Inter" w:eastAsia="Inter"/>
              <w:b/>
              <w:i w:val="0"/>
              <w:color w:val="0F172A"/>
              <w:sz w:val="14"/>
            </w:rPr>
            <w:t>START HERE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