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hd w:val="clear" w:color="auto" w:fill="0F766E"/>
              <w:spacing w:before="160" w:after="160" w:line="276" w:lineRule="auto"/>
              <w:ind w:left="400"/>
            </w:pPr>
            <w:r>
              <w:rPr>
                <w:rFonts w:ascii="Poppins" w:hAnsi="Poppins" w:eastAsia="Poppins"/>
                <w:b/>
                <w:i w:val="0"/>
                <w:color w:val="FFFFFF"/>
                <w:sz w:val="18"/>
              </w:rPr>
              <w:t>NOVAOPS</w:t>
            </w:r>
            <w:r>
              <w:rPr>
                <w:rFonts w:ascii="Inter" w:hAnsi="Inter" w:eastAsia="Inter"/>
                <w:b w:val="0"/>
                <w:i w:val="0"/>
                <w:color w:val="CCFBF1"/>
                <w:sz w:val="15"/>
              </w:rPr>
              <w:t xml:space="preserve">  ·  Bookkeeper Practice Launch System  ·  v2.0</w:t>
            </w:r>
          </w:p>
          <w:p>
            <w:pPr>
              <w:spacing w:before="1200" w:after="0" w:line="276" w:lineRule="auto"/>
            </w:pPr>
          </w:p>
          <w:p>
            <w:pPr>
              <w:spacing w:before="0" w:after="280" w:line="276" w:lineRule="auto"/>
              <w:ind w:left="400"/>
            </w:pPr>
            <w:r>
              <w:rPr>
                <w:rFonts w:ascii="Inter" w:hAnsi="Inter" w:eastAsia="Inter"/>
                <w:b/>
                <w:i w:val="0"/>
                <w:color w:val="0F766E"/>
                <w:sz w:val="15"/>
              </w:rPr>
              <w:t>03  —  CLIENT DOCUMENTS</w:t>
            </w:r>
          </w:p>
          <w:p>
            <w:pPr>
              <w:spacing w:before="0" w:after="1000" w:line="276" w:lineRule="auto"/>
              <w:ind w:left="400"/>
            </w:pPr>
            <w:r>
              <w:rPr>
                <w:rFonts w:ascii="Poppins" w:hAnsi="Poppins" w:eastAsia="Poppins"/>
                <w:b/>
                <w:i w:val="0"/>
                <w:color w:val="0F766E"/>
                <w:sz w:val="22"/>
              </w:rPr>
              <w:t>NOVAOPS</w:t>
            </w:r>
          </w:p>
          <w:p>
            <w:pPr>
              <w:spacing w:before="0" w:after="80" w:line="276" w:lineRule="auto"/>
              <w:ind w:left="400"/>
            </w:pPr>
            <w:r>
              <w:rPr>
                <w:rFonts w:ascii="Poppins" w:hAnsi="Poppins" w:eastAsia="Poppins"/>
                <w:b/>
                <w:i w:val="0"/>
                <w:color w:val="FFFFFF"/>
                <w:sz w:val="64"/>
              </w:rPr>
              <w:t>Bookkeeping</w:t>
            </w:r>
          </w:p>
          <w:p>
            <w:pPr>
              <w:spacing w:before="0" w:after="80" w:line="276" w:lineRule="auto"/>
              <w:ind w:left="400"/>
            </w:pPr>
            <w:r>
              <w:rPr>
                <w:rFonts w:ascii="Poppins" w:hAnsi="Poppins" w:eastAsia="Poppins"/>
                <w:b/>
                <w:i w:val="0"/>
                <w:color w:val="FFFFFF"/>
                <w:sz w:val="64"/>
              </w:rPr>
              <w:t>Service Guide</w:t>
            </w:r>
          </w:p>
          <w:p>
            <w:pPr>
              <w:spacing w:before="160" w:after="560" w:line="276" w:lineRule="auto"/>
              <w:ind w:left="400"/>
            </w:pPr>
            <w:r>
              <w:rPr>
                <w:rFonts w:ascii="Inter" w:hAnsi="Inter" w:eastAsia="Inter"/>
                <w:b w:val="0"/>
                <w:i/>
                <w:color w:val="94A3B8"/>
                <w:sz w:val="24"/>
              </w:rPr>
              <w:t>A clear overview of what we do, how we work, and what to expect every month</w:t>
            </w:r>
          </w:p>
          <w:p>
            <w:pPr>
              <w:pBdr>
                <w:bottom w:val="single" w:sz="12" w:space="1" w:color="0F766E"/>
              </w:pBdr>
              <w:spacing w:before="0" w:after="400" w:line="276" w:lineRule="auto"/>
              <w:ind w:left="400" w:right="400"/>
            </w:pPr>
          </w:p>
          <w:p>
            <w:pPr>
              <w:spacing w:before="0" w:after="80" w:line="276" w:lineRule="auto"/>
              <w:ind w:left="40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PREPARED BY   </w:t>
            </w:r>
            <w:r>
              <w:rPr>
                <w:rFonts w:ascii="Inter" w:hAnsi="Inter" w:eastAsia="Inter"/>
                <w:b/>
                <w:i w:val="0"/>
                <w:color w:val="FFFFFF"/>
                <w:sz w:val="15"/>
              </w:rPr>
              <w:t>[PRACTICE NAME]</w:t>
            </w:r>
          </w:p>
          <w:p>
            <w:pPr>
              <w:spacing w:before="0" w:after="80" w:line="276" w:lineRule="auto"/>
              <w:ind w:left="40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DOCUMENT TYPE </w:t>
            </w:r>
            <w:r>
              <w:rPr>
                <w:rFonts w:ascii="Inter" w:hAnsi="Inter" w:eastAsia="Inter"/>
                <w:b/>
                <w:i w:val="0"/>
                <w:color w:val="FFFFFF"/>
                <w:sz w:val="15"/>
              </w:rPr>
              <w:t>Client-Facing Overview</w:t>
            </w:r>
          </w:p>
          <w:p>
            <w:pPr>
              <w:spacing w:before="0" w:after="80" w:line="276" w:lineRule="auto"/>
              <w:ind w:left="40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LAST UPDATED  </w:t>
            </w:r>
            <w:r>
              <w:rPr>
                <w:rFonts w:ascii="Inter" w:hAnsi="Inter" w:eastAsia="Inter"/>
                <w:b/>
                <w:i w:val="0"/>
                <w:color w:val="FFFFFF"/>
                <w:sz w:val="15"/>
              </w:rPr>
              <w:t>2025</w:t>
            </w:r>
          </w:p>
          <w:p>
            <w:pPr>
              <w:spacing w:before="800" w:after="0" w:line="276" w:lineRule="auto"/>
            </w:pPr>
          </w:p>
          <w:p>
            <w:pPr>
              <w:shd w:val="clear" w:color="auto" w:fill="D97706"/>
              <w:spacing w:before="160" w:after="160" w:line="276" w:lineRule="auto"/>
              <w:ind w:left="400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VERSION 2.0  ·  PREMIUM CONSULTING EDITION  ·  © 2025 NOVAOPS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BEB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color="CBD5E1"/>
              <w:bottom w:val="single" w:sz="4" w:color="CBD5E1"/>
              <w:left w:val="single" w:sz="16" w:color="D97706"/>
              <w:right w:val="single" w:sz="4" w:color="CBD5E1"/>
              <w:insideH w:val="none" w:sz="0" w:color="auto"/>
              <w:insideV w:val="none" w:sz="0" w:color="auto"/>
            </w:tcBorders>
          </w:tcPr>
          <w:p>
            <w:pPr>
              <w:spacing w:before="0" w:after="100" w:line="276" w:lineRule="auto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CUSTOMISATION REQUIRED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Replace all [BRACKETED TEXT] with your practice details before sending to any client.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260" w:hRule="atLeast"/>
        </w:trPr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CCFBF1"/>
                <w:sz w:val="13"/>
              </w:rPr>
              <w:t>SERVICE PACKAGES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CCFBF1"/>
                <w:sz w:val="13"/>
              </w:rPr>
              <w:t>DELIVERABLES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CCFBF1"/>
                <w:sz w:val="13"/>
              </w:rPr>
              <w:t>CLOSE DEADLINE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CCFBF1"/>
                <w:sz w:val="13"/>
              </w:rPr>
              <w:t>RESPONSE SLA</w:t>
            </w:r>
          </w:p>
        </w:tc>
      </w:tr>
      <w:tr>
        <w:trPr>
          <w:trHeight w:val="640" w:hRule="atLeast"/>
        </w:trPr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44"/>
              </w:rPr>
              <w:t>3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44"/>
              </w:rPr>
              <w:t>Monthly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44"/>
              </w:rPr>
              <w:t>Day [X]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44"/>
              </w:rPr>
              <w:t>[X] days</w:t>
            </w:r>
          </w:p>
        </w:tc>
      </w:tr>
      <w:tr>
        <w:trPr>
          <w:trHeight w:val="260" w:hRule="atLeast"/>
        </w:trPr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55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Essentials · Growth · Advanced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55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P&amp;L, Balance Sheet &amp; more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55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of the following month</w:t>
            </w:r>
          </w:p>
        </w:tc>
        <w:tc>
          <w:tcPr>
            <w:tcW w:type="dxa" w:w="237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55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for transaction questions</w:t>
            </w:r>
          </w:p>
        </w:tc>
      </w:tr>
    </w:tbl>
    <w:p>
      <w:pPr>
        <w:spacing w:before="0" w:after="200" w:line="276" w:lineRule="auto"/>
      </w:pP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01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WHAT MONTHLY BOOKKEEPING INCLUDES</w:t>
            </w:r>
          </w:p>
        </w:tc>
      </w:tr>
    </w:tbl>
    <w:p>
      <w:pPr>
        <w:spacing w:before="0" w:after="120" w:line="276" w:lineRule="auto"/>
      </w:pPr>
    </w:p>
    <w:p>
      <w:pPr>
        <w:jc w:val="both"/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0F172A"/>
          <w:sz w:val="19"/>
        </w:rPr>
        <w:t>Every monthly engagement with [PRACTICE NAME] includes the following as standard:</w:t>
      </w:r>
    </w:p>
    <w:p/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Transaction categorisation and ledger review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Bank and credit-card reconciliations for all agreed accounts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Balance-sheet account review and exception documentation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Monthly financial statements — Profit &amp; Loss and Balance Sheet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Consolidated exception log and missing-document requests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Agreed monthly communication cadence and close schedule</w:t>
      </w:r>
    </w:p>
    <w:p>
      <w:pPr>
        <w:spacing w:before="0" w:after="60" w:line="276" w:lineRule="auto"/>
        <w:ind w:left="200" w:hanging="200"/>
      </w:pPr>
      <w:r>
        <w:rPr>
          <w:rFonts w:ascii="Calibri" w:hAnsi="Calibri" w:eastAsia="Calibri"/>
          <w:b/>
          <w:i w:val="0"/>
          <w:color w:val="0F766E"/>
          <w:sz w:val="19"/>
        </w:rPr>
        <w:t xml:space="preserve">→  </w:t>
      </w:r>
      <w:r>
        <w:rPr>
          <w:rFonts w:ascii="Calibri" w:hAnsi="Calibri" w:eastAsia="Calibri"/>
          <w:b w:val="0"/>
          <w:i w:val="0"/>
          <w:color w:val="0F172A"/>
          <w:sz w:val="19"/>
        </w:rPr>
        <w:t>Secure report delivery via client portal — never by ordinary email</w:t>
      </w: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02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SERVICE PACKAGES</w:t>
            </w:r>
          </w:p>
        </w:tc>
      </w:tr>
    </w:tbl>
    <w:p>
      <w:pPr>
        <w:spacing w:before="0"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400" w:hRule="atLeast"/>
        </w:trPr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Package</w:t>
            </w:r>
          </w:p>
        </w:tc>
        <w:tc>
          <w:tcPr>
            <w:tcW w:type="dxa" w:w="311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Typical Scope</w:t>
            </w:r>
          </w:p>
        </w:tc>
        <w:tc>
          <w:tcPr>
            <w:tcW w:type="dxa" w:w="3685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Deliverables</w:t>
            </w:r>
          </w:p>
        </w:tc>
        <w:tc>
          <w:tcPr>
            <w:tcW w:type="dxa" w:w="1417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Starting Price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Essentials</w:t>
            </w:r>
          </w:p>
        </w:tc>
        <w:tc>
          <w:tcPr>
            <w:tcW w:type="dxa" w:w="3118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Up to [X] accounts, [X] transactions/month</w:t>
            </w:r>
          </w:p>
        </w:tc>
        <w:tc>
          <w:tcPr>
            <w:tcW w:type="dxa" w:w="3685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Monthly P&amp;L, Balance Sheet, reconciliations</w:t>
            </w:r>
          </w:p>
        </w:tc>
        <w:tc>
          <w:tcPr>
            <w:tcW w:type="dxa" w:w="1417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Growth</w:t>
            </w:r>
          </w:p>
        </w:tc>
        <w:tc>
          <w:tcPr>
            <w:tcW w:type="dxa" w:w="3118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Higher volume, class or location tracking</w:t>
            </w:r>
          </w:p>
        </w:tc>
        <w:tc>
          <w:tcPr>
            <w:tcW w:type="dxa" w:w="3685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All Essentials + monthly review call, cash summary</w:t>
            </w:r>
          </w:p>
        </w:tc>
        <w:tc>
          <w:tcPr>
            <w:tcW w:type="dxa" w:w="1417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Advanced</w:t>
            </w:r>
          </w:p>
        </w:tc>
        <w:tc>
          <w:tcPr>
            <w:tcW w:type="dxa" w:w="3118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Multi-entity or complex workflows</w:t>
            </w:r>
          </w:p>
        </w:tc>
        <w:tc>
          <w:tcPr>
            <w:tcW w:type="dxa" w:w="3685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All Growth + custom reporting, priority support</w:t>
            </w:r>
          </w:p>
        </w:tc>
        <w:tc>
          <w:tcPr>
            <w:tcW w:type="dxa" w:w="1417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Tax Ready Add-On</w:t>
            </w:r>
          </w:p>
        </w:tc>
        <w:tc>
          <w:tcPr>
            <w:tcW w:type="dxa" w:w="3118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Year-end package preparation</w:t>
            </w:r>
          </w:p>
        </w:tc>
        <w:tc>
          <w:tcPr>
            <w:tcW w:type="dxa" w:w="3685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Tax document checklist + preparer coordination</w:t>
            </w:r>
          </w:p>
        </w:tc>
        <w:tc>
          <w:tcPr>
            <w:tcW w:type="dxa" w:w="1417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€[ ] / year</w:t>
            </w:r>
          </w:p>
        </w:tc>
      </w:tr>
    </w:tbl>
    <w:p>
      <w:pPr>
        <w:spacing w:before="0" w:after="160" w:line="276" w:lineRule="auto"/>
      </w:pP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03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OPTIONAL PROJECT SERVICES</w:t>
            </w:r>
          </w:p>
        </w:tc>
      </w:tr>
    </w:tbl>
    <w:p>
      <w:pPr>
        <w:spacing w:before="0"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400" w:hRule="atLeast"/>
        </w:trPr>
        <w:tc>
          <w:tcPr>
            <w:tcW w:type="dxa" w:w="255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4252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311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Pricing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Catch-up / Cleanup</w:t>
            </w:r>
          </w:p>
        </w:tc>
        <w:tc>
          <w:tcPr>
            <w:tcW w:type="dxa" w:w="4252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Bring overdue or disorganised books current</w:t>
            </w:r>
          </w:p>
        </w:tc>
        <w:tc>
          <w:tcPr>
            <w:tcW w:type="dxa" w:w="3118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Quote after diagnostic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Historical Reconciliations</w:t>
            </w:r>
          </w:p>
        </w:tc>
        <w:tc>
          <w:tcPr>
            <w:tcW w:type="dxa" w:w="4252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Reconcile prior months or years</w:t>
            </w:r>
          </w:p>
        </w:tc>
        <w:tc>
          <w:tcPr>
            <w:tcW w:type="dxa" w:w="3118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Quote after diagnostic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Chart-of-Accounts Redesign</w:t>
            </w:r>
          </w:p>
        </w:tc>
        <w:tc>
          <w:tcPr>
            <w:tcW w:type="dxa" w:w="4252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Rebuild account structure for clarity and reporting</w:t>
            </w:r>
          </w:p>
        </w:tc>
        <w:tc>
          <w:tcPr>
            <w:tcW w:type="dxa" w:w="3118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Fixed fee: €[ ]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Software Migration &amp; Setup</w:t>
            </w:r>
          </w:p>
        </w:tc>
        <w:tc>
          <w:tcPr>
            <w:tcW w:type="dxa" w:w="4252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Move from one platform to another</w:t>
            </w:r>
          </w:p>
        </w:tc>
        <w:tc>
          <w:tcPr>
            <w:tcW w:type="dxa" w:w="3118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Quote per project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Accounts Payable/Receivable</w:t>
            </w:r>
          </w:p>
        </w:tc>
        <w:tc>
          <w:tcPr>
            <w:tcW w:type="dxa" w:w="4252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Invoice management and payment tracking support</w:t>
            </w:r>
          </w:p>
        </w:tc>
        <w:tc>
          <w:tcPr>
            <w:tcW w:type="dxa" w:w="3118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€[ ]/month add-on</w:t>
            </w:r>
          </w:p>
        </w:tc>
      </w:tr>
    </w:tbl>
    <w:p>
      <w:pPr>
        <w:spacing w:before="0" w:after="160" w:line="276" w:lineRule="auto"/>
      </w:pP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04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MONTHLY CLOSE TIMELINE</w:t>
            </w:r>
          </w:p>
        </w:tc>
      </w:tr>
    </w:tbl>
    <w:p>
      <w:pPr>
        <w:spacing w:before="0" w:after="120" w:line="276" w:lineRule="auto"/>
      </w:pPr>
    </w:p>
    <w:p>
      <w:pPr>
        <w:jc w:val="both"/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0F172A"/>
          <w:sz w:val="19"/>
        </w:rPr>
        <w:t>Every month follows a structured, predictable process. You will always know where things stand.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rHeight w:val="480" w:hRule="atLeast"/>
        </w:trPr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5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8"/>
              </w:rPr>
              <w:t>01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5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766E"/>
                <w:sz w:val="28"/>
              </w:rPr>
              <w:t>→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5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8"/>
              </w:rPr>
              <w:t>02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5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766E"/>
                <w:sz w:val="28"/>
              </w:rPr>
              <w:t>→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5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8"/>
              </w:rPr>
              <w:t>03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5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766E"/>
                <w:sz w:val="28"/>
              </w:rPr>
              <w:t>→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5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8"/>
              </w:rPr>
              <w:t>04</w:t>
            </w:r>
          </w:p>
        </w:tc>
      </w:tr>
      <w:tr>
        <w:trPr>
          <w:trHeight w:val="560" w:hRule="atLeast"/>
        </w:trPr>
        <w:tc>
          <w:tcPr>
            <w:tcW w:type="dxa" w:w="1360"/>
            <w:shd w:val="clear" w:color="auto" w:fill="F8FAFC"/>
            <w:tcBorders>
              <w:top w:val="single" w:sz="8" w:color="0F766E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172A"/>
                <w:sz w:val="16"/>
              </w:rPr>
              <w:t>Records Ready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Days 1–5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30" w:type="dxa"/>
              <w:right w:w="30" w:type="dxa"/>
            </w:tcMar>
          </w:tcPr>
          <w:p/>
        </w:tc>
        <w:tc>
          <w:tcPr>
            <w:tcW w:type="dxa" w:w="1360"/>
            <w:shd w:val="clear" w:color="auto" w:fill="F8FAFC"/>
            <w:tcBorders>
              <w:top w:val="single" w:sz="8" w:color="0F766E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172A"/>
                <w:sz w:val="16"/>
              </w:rPr>
              <w:t>Bookkeeping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Days 5–12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30" w:type="dxa"/>
              <w:right w:w="30" w:type="dxa"/>
            </w:tcMar>
          </w:tcPr>
          <w:p/>
        </w:tc>
        <w:tc>
          <w:tcPr>
            <w:tcW w:type="dxa" w:w="1360"/>
            <w:shd w:val="clear" w:color="auto" w:fill="F8FAFC"/>
            <w:tcBorders>
              <w:top w:val="single" w:sz="8" w:color="0F766E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172A"/>
                <w:sz w:val="16"/>
              </w:rPr>
              <w:t>Q&amp;A Round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Days 12–18</w:t>
            </w:r>
          </w:p>
        </w:tc>
        <w:tc>
          <w:tcPr>
            <w:tcW w:type="dxa" w:w="136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30" w:type="dxa"/>
              <w:right w:w="30" w:type="dxa"/>
            </w:tcMar>
          </w:tcPr>
          <w:p/>
        </w:tc>
        <w:tc>
          <w:tcPr>
            <w:tcW w:type="dxa" w:w="1360"/>
            <w:shd w:val="clear" w:color="auto" w:fill="F8FAFC"/>
            <w:tcBorders>
              <w:top w:val="single" w:sz="8" w:color="0F766E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0F172A"/>
                <w:sz w:val="16"/>
              </w:rPr>
              <w:t>Reports Delivered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4748B"/>
                <w:sz w:val="15"/>
              </w:rPr>
              <w:t>By Day [X]</w:t>
            </w:r>
          </w:p>
        </w:tc>
      </w:tr>
    </w:tbl>
    <w:p>
      <w:pPr>
        <w:spacing w:before="0" w:after="20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400" w:hRule="atLeast"/>
        </w:trPr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Days</w:t>
            </w:r>
          </w:p>
        </w:tc>
        <w:tc>
          <w:tcPr>
            <w:tcW w:type="dxa" w:w="6236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Activity</w:t>
            </w:r>
          </w:p>
        </w:tc>
        <w:tc>
          <w:tcPr>
            <w:tcW w:type="dxa" w:w="1984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0F766E"/>
              <w:bottom w:val="single" w:sz="8" w:color="0F766E"/>
              <w:left w:val="single" w:sz="4" w:color="0F766E"/>
              <w:right w:val="single" w:sz="4" w:color="0F766E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Responsible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Days 1–5</w:t>
            </w:r>
          </w:p>
        </w:tc>
        <w:tc>
          <w:tcPr>
            <w:tcW w:type="dxa" w:w="6236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Client provides bank statements, payroll reports, loan records, and missing documents</w:t>
            </w:r>
          </w:p>
        </w:tc>
        <w:tc>
          <w:tcPr>
            <w:tcW w:type="dxa" w:w="1984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Client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Days 5–12</w:t>
            </w:r>
          </w:p>
        </w:tc>
        <w:tc>
          <w:tcPr>
            <w:tcW w:type="dxa" w:w="6236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Bookkeeper imports transactions, categorises, reconciles, and raises questions</w:t>
            </w:r>
          </w:p>
        </w:tc>
        <w:tc>
          <w:tcPr>
            <w:tcW w:type="dxa" w:w="1984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Bookkeeper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Days 12–18</w:t>
            </w:r>
          </w:p>
        </w:tc>
        <w:tc>
          <w:tcPr>
            <w:tcW w:type="dxa" w:w="6236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Client answers questions; bookkeeper posts adjustments and finalises</w:t>
            </w:r>
          </w:p>
        </w:tc>
        <w:tc>
          <w:tcPr>
            <w:tcW w:type="dxa" w:w="1984"/>
            <w:shd w:val="clear" w:color="auto" w:fill="FFFFFF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Both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By Day [X]</w:t>
            </w:r>
          </w:p>
        </w:tc>
        <w:tc>
          <w:tcPr>
            <w:tcW w:type="dxa" w:w="6236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Reports and action summary delivered through the secure portal</w:t>
            </w:r>
          </w:p>
        </w:tc>
        <w:tc>
          <w:tcPr>
            <w:tcW w:type="dxa" w:w="1984"/>
            <w:shd w:val="clear" w:color="auto" w:fill="F8FAFC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  <w:insideH w:val="none" w:sz="0" w:color="auto"/>
              <w:insideV w:val="none" w:sz="0" w:color="auto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Bookkeeper</w:t>
            </w:r>
          </w:p>
        </w:tc>
      </w:tr>
    </w:tbl>
    <w:p>
      <w:pPr>
        <w:spacing w:before="0" w:after="160" w:line="276" w:lineRule="auto"/>
      </w:pP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05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SERVICE BOUNDARIES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BEB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color="CBD5E1"/>
              <w:bottom w:val="single" w:sz="4" w:color="CBD5E1"/>
              <w:left w:val="single" w:sz="16" w:color="D97706"/>
              <w:right w:val="single" w:sz="4" w:color="CBD5E1"/>
              <w:insideH w:val="none" w:sz="0" w:color="auto"/>
              <w:insideV w:val="none" w:sz="0" w:color="auto"/>
            </w:tcBorders>
          </w:tcPr>
          <w:p>
            <w:pPr>
              <w:spacing w:before="0" w:after="100" w:line="276" w:lineRule="auto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WHAT IS NOT INCLUDED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The following are outside the scope of bookkeeping unless separately contracted and legally permitted: tax advice and return preparation, audit and assurance services, payroll processing, legal advice, regulatory compliance, CFO services.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480" w:hRule="atLeast"/>
        </w:trPr>
        <w:tc>
          <w:tcPr>
            <w:tcW w:type="dxa" w:w="9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00" w:type="dxa"/>
              <w:bottom w:w="100" w:type="dxa"/>
              <w:left w:w="14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/>
                <w:i w:val="0"/>
                <w:color w:val="FFFFFF"/>
                <w:sz w:val="26"/>
              </w:rPr>
              <w:t>06</w:t>
            </w:r>
          </w:p>
        </w:tc>
        <w:tc>
          <w:tcPr>
            <w:tcW w:type="dxa" w:w="4759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00" w:type="dxa"/>
              <w:bottom w:w="100" w:type="dxa"/>
              <w:left w:w="180" w:type="dxa"/>
              <w:right w:w="12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0F766E"/>
                <w:sz w:val="21"/>
              </w:rPr>
              <w:t xml:space="preserve">— </w:t>
            </w:r>
            <w:r>
              <w:rPr>
                <w:rFonts w:ascii="Poppins" w:hAnsi="Poppins" w:eastAsia="Poppins"/>
                <w:b/>
                <w:i w:val="0"/>
                <w:color w:val="FFFFFF"/>
                <w:sz w:val="21"/>
              </w:rPr>
              <w:t>CLIENT RESPONSIBILITIES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F0FD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color="auto"/>
              <w:bottom w:val="none" w:sz="0" w:color="auto"/>
              <w:left w:val="single" w:sz="16" w:color="0F766E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0" w:after="160" w:line="276" w:lineRule="auto"/>
            </w:pPr>
            <w:r>
              <w:rPr>
                <w:rFonts w:ascii="Poppins" w:hAnsi="Poppins" w:eastAsia="Poppins"/>
                <w:b/>
                <w:i w:val="0"/>
                <w:color w:val="0F766E"/>
                <w:sz w:val="17"/>
              </w:rPr>
              <w:t>WHAT WE DO FOR YOU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✓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Clean, accurate books delivered on schedule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✓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One consolidated question list — no ad-hoc interruptions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✓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Secure report delivery to your portal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✓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Proactive exception and variance flagging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✓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Single point of contact who knows your business</w:t>
            </w:r>
          </w:p>
        </w:tc>
        <w:tc>
          <w:tcPr>
            <w:tcW w:type="dxa" w:w="4759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color="auto"/>
              <w:bottom w:val="none" w:sz="0" w:color="auto"/>
              <w:left w:val="single" w:sz="16" w:color="64748B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0" w:after="160" w:line="276" w:lineRule="auto"/>
            </w:pPr>
            <w:r>
              <w:rPr>
                <w:rFonts w:ascii="Poppins" w:hAnsi="Poppins" w:eastAsia="Poppins"/>
                <w:b/>
                <w:i w:val="0"/>
                <w:color w:val="64748B"/>
                <w:sz w:val="17"/>
              </w:rPr>
              <w:t>WHAT WE NEED FROM YOU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64748B"/>
                <w:sz w:val="19"/>
              </w:rPr>
              <w:t xml:space="preserve">→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Source documents by the agreed monthly deadline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64748B"/>
                <w:sz w:val="19"/>
              </w:rPr>
              <w:t xml:space="preserve">→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Role-based software access (no email passwords)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64748B"/>
                <w:sz w:val="19"/>
              </w:rPr>
              <w:t xml:space="preserve">→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Answers to questions within [X] business days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64748B"/>
                <w:sz w:val="19"/>
              </w:rPr>
              <w:t xml:space="preserve">→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Review and acknowledgement of monthly reports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64748B"/>
                <w:sz w:val="19"/>
              </w:rPr>
              <w:t xml:space="preserve">→  </w:t>
            </w: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Engagement of a qualified tax professional for tax matters</w:t>
            </w:r>
          </w:p>
        </w:tc>
      </w:tr>
    </w:tbl>
    <w:p>
      <w:pPr>
        <w:spacing w:before="0" w:after="2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1F5F9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color="CBD5E1"/>
              <w:bottom w:val="single" w:sz="4" w:color="CBD5E1"/>
              <w:left w:val="single" w:sz="16" w:color="64748B"/>
              <w:right w:val="single" w:sz="4" w:color="CBD5E1"/>
              <w:insideH w:val="none" w:sz="0" w:color="auto"/>
              <w:insideV w:val="none" w:sz="0" w:color="auto"/>
            </w:tcBorders>
          </w:tcPr>
          <w:p>
            <w:pPr>
              <w:spacing w:before="0" w:after="100" w:line="276" w:lineRule="auto"/>
            </w:pPr>
            <w:r>
              <w:rPr>
                <w:rFonts w:ascii="Poppins" w:hAnsi="Poppins" w:eastAsia="Poppins"/>
                <w:b/>
                <w:i w:val="0"/>
                <w:color w:val="64748B"/>
                <w:sz w:val="14"/>
              </w:rPr>
              <w:t>SECURITY &amp; DATA PROTECTION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F172A"/>
                <w:sz w:val="18"/>
              </w:rPr>
              <w:t>We use secure client portals, read-only accountant access, and approved password managers. We will never ask you to share banking credentials by ordinary email. All document exchange happens through your secure portal at [PORTAL LINK].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5" w:type="dxa"/>
            <w:bottom w:w="55" w:type="dxa"/>
            <w:left w:w="0" w:type="dxa"/>
            <w:right w:w="0" w:type="dxa"/>
          </w:tcMar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3"/>
            </w:rPr>
            <w:t>© 2025 NovaOps  ·  Commercial Use License  ·  Bookkeeper Practice Launch System</w:t>
          </w:r>
        </w:p>
      </w:tc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5" w:type="dxa"/>
            <w:bottom w:w="55" w:type="dxa"/>
            <w:left w:w="0" w:type="dxa"/>
            <w:right w:w="0" w:type="dxa"/>
          </w:tcMar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 xml:space="preserve">Page </w:t>
          </w:r>
          <w:r>
            <w:rPr>
              <w:rFonts w:ascii="Inter" w:hAnsi="Inter" w:eastAsia="Inter"/>
              <w:b/>
              <w:i w:val="0"/>
              <w:color w:val="0F766E"/>
              <w:sz w:val="15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Mar>
            <w:top w:w="55" w:type="dxa"/>
            <w:bottom w:w="55" w:type="dxa"/>
            <w:left w:w="0" w:type="dxa"/>
            <w:right w:w="60" w:type="dxa"/>
          </w:tcMar>
          <w:tcBorders>
            <w:top w:val="none" w:sz="0" w:color="auto"/>
            <w:bottom w:val="single" w:sz="8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0F766E"/>
              <w:sz w:val="14"/>
            </w:rPr>
            <w:t>NOVAOPS</w:t>
          </w:r>
          <w:r>
            <w:rPr>
              <w:rFonts w:ascii="Inter" w:hAnsi="Inter" w:eastAsia="Inter"/>
              <w:b w:val="0"/>
              <w:i w:val="0"/>
              <w:color w:val="64748B"/>
              <w:sz w:val="13"/>
            </w:rPr>
            <w:t xml:space="preserve">  ·  Bookkeeper Practice Launch System  ·  v2.0</w:t>
          </w:r>
        </w:p>
      </w:tc>
      <w:tc>
        <w:tcPr>
          <w:tcW w:type="dxa" w:w="4536"/>
          <w:tcMar>
            <w:top w:w="55" w:type="dxa"/>
            <w:bottom w:w="55" w:type="dxa"/>
            <w:left w:w="60" w:type="dxa"/>
            <w:right w:w="0" w:type="dxa"/>
          </w:tcMar>
          <w:tcBorders>
            <w:top w:val="none" w:sz="0" w:color="auto"/>
            <w:bottom w:val="single" w:sz="8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172A"/>
              <w:sz w:val="14"/>
            </w:rPr>
            <w:t>BOOKKEEPING SERVICE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