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shd w:val="clear" w:color="auto" w:fill="0F766E"/>
              <w:spacing w:before="160" w:after="160" w:line="276" w:lineRule="auto"/>
              <w:ind w:left="400"/>
            </w:pPr>
            <w:r>
              <w:rPr>
                <w:rFonts w:ascii="Poppins" w:hAnsi="Poppins" w:eastAsia="Poppins"/>
                <w:b/>
                <w:i w:val="0"/>
                <w:color w:val="FFFFFF"/>
                <w:sz w:val="18"/>
              </w:rPr>
              <w:t>NOVAOPS</w:t>
            </w:r>
            <w:r>
              <w:rPr>
                <w:rFonts w:ascii="Inter" w:hAnsi="Inter" w:eastAsia="Inter"/>
                <w:b w:val="0"/>
                <w:i w:val="0"/>
                <w:color w:val="CCFBF1"/>
                <w:sz w:val="15"/>
              </w:rPr>
              <w:t xml:space="preserve">  ·  Bookkeeper Practice Launch System  ·  v2.0</w:t>
            </w:r>
          </w:p>
          <w:p>
            <w:pPr>
              <w:spacing w:before="1200" w:after="0" w:line="276" w:lineRule="auto"/>
            </w:pPr>
          </w:p>
          <w:p>
            <w:pPr>
              <w:spacing w:before="0" w:after="280" w:line="276" w:lineRule="auto"/>
              <w:ind w:left="400"/>
            </w:pPr>
            <w:r>
              <w:rPr>
                <w:rFonts w:ascii="Inter" w:hAnsi="Inter" w:eastAsia="Inter"/>
                <w:b/>
                <w:i w:val="0"/>
                <w:color w:val="0F766E"/>
                <w:sz w:val="15"/>
              </w:rPr>
              <w:t>03  —  CLIENT DOCUMENTS</w:t>
            </w:r>
          </w:p>
          <w:p>
            <w:pPr>
              <w:spacing w:before="0" w:after="1000" w:line="276" w:lineRule="auto"/>
              <w:ind w:left="400"/>
            </w:pPr>
            <w:r>
              <w:rPr>
                <w:rFonts w:ascii="Poppins" w:hAnsi="Poppins" w:eastAsia="Poppins"/>
                <w:b/>
                <w:i w:val="0"/>
                <w:color w:val="0F766E"/>
                <w:sz w:val="22"/>
              </w:rPr>
              <w:t>NOVAOPS</w:t>
            </w:r>
          </w:p>
          <w:p>
            <w:pPr>
              <w:spacing w:before="0" w:after="80" w:line="276" w:lineRule="auto"/>
              <w:ind w:left="400"/>
            </w:pPr>
            <w:r>
              <w:rPr>
                <w:rFonts w:ascii="Poppins" w:hAnsi="Poppins" w:eastAsia="Poppins"/>
                <w:b/>
                <w:i w:val="0"/>
                <w:color w:val="FFFFFF"/>
                <w:sz w:val="64"/>
              </w:rPr>
              <w:t>Client Intake &amp;</w:t>
            </w:r>
          </w:p>
          <w:p>
            <w:pPr>
              <w:spacing w:before="0" w:after="80" w:line="276" w:lineRule="auto"/>
              <w:ind w:left="400"/>
            </w:pPr>
            <w:r>
              <w:rPr>
                <w:rFonts w:ascii="Poppins" w:hAnsi="Poppins" w:eastAsia="Poppins"/>
                <w:b/>
                <w:i w:val="0"/>
                <w:color w:val="FFFFFF"/>
                <w:sz w:val="64"/>
              </w:rPr>
              <w:t>Onboarding Pack</w:t>
            </w:r>
          </w:p>
          <w:p>
            <w:pPr>
              <w:spacing w:before="160" w:after="560" w:line="276" w:lineRule="auto"/>
              <w:ind w:left="400"/>
            </w:pPr>
            <w:r>
              <w:rPr>
                <w:rFonts w:ascii="Inter" w:hAnsi="Inter" w:eastAsia="Inter"/>
                <w:b w:val="0"/>
                <w:i/>
                <w:color w:val="94A3B8"/>
                <w:sz w:val="24"/>
              </w:rPr>
              <w:t>Everything needed to start a clean, confident bookkeeping engagement</w:t>
            </w:r>
          </w:p>
          <w:p>
            <w:pPr>
              <w:pBdr>
                <w:bottom w:val="single" w:sz="12" w:space="1" w:color="0F766E"/>
              </w:pBdr>
              <w:spacing w:before="0" w:after="400" w:line="276" w:lineRule="auto"/>
              <w:ind w:left="400" w:right="400"/>
            </w:pPr>
          </w:p>
          <w:p>
            <w:pPr>
              <w:spacing w:before="0" w:after="80" w:line="276" w:lineRule="auto"/>
              <w:ind w:left="400"/>
            </w:pPr>
            <w:r>
              <w:rPr>
                <w:rFonts w:ascii="Inter" w:hAnsi="Inter" w:eastAsia="Inter"/>
                <w:b w:val="0"/>
                <w:i w:val="0"/>
                <w:color w:val="64748B"/>
                <w:sz w:val="15"/>
              </w:rPr>
              <w:t xml:space="preserve">PREPARED BY   </w:t>
            </w:r>
            <w:r>
              <w:rPr>
                <w:rFonts w:ascii="Inter" w:hAnsi="Inter" w:eastAsia="Inter"/>
                <w:b/>
                <w:i w:val="0"/>
                <w:color w:val="FFFFFF"/>
                <w:sz w:val="15"/>
              </w:rPr>
              <w:t>[PRACTICE NAME]</w:t>
            </w:r>
          </w:p>
          <w:p>
            <w:pPr>
              <w:spacing w:before="0" w:after="80" w:line="276" w:lineRule="auto"/>
              <w:ind w:left="400"/>
            </w:pPr>
            <w:r>
              <w:rPr>
                <w:rFonts w:ascii="Inter" w:hAnsi="Inter" w:eastAsia="Inter"/>
                <w:b w:val="0"/>
                <w:i w:val="0"/>
                <w:color w:val="64748B"/>
                <w:sz w:val="15"/>
              </w:rPr>
              <w:t xml:space="preserve">CLIENT        </w:t>
            </w:r>
            <w:r>
              <w:rPr>
                <w:rFonts w:ascii="Inter" w:hAnsi="Inter" w:eastAsia="Inter"/>
                <w:b/>
                <w:i w:val="0"/>
                <w:color w:val="FFFFFF"/>
                <w:sz w:val="15"/>
              </w:rPr>
              <w:t>[CLIENT COMPANY]</w:t>
            </w:r>
          </w:p>
          <w:p>
            <w:pPr>
              <w:spacing w:before="0" w:after="80" w:line="276" w:lineRule="auto"/>
              <w:ind w:left="400"/>
            </w:pPr>
            <w:r>
              <w:rPr>
                <w:rFonts w:ascii="Inter" w:hAnsi="Inter" w:eastAsia="Inter"/>
                <w:b w:val="0"/>
                <w:i w:val="0"/>
                <w:color w:val="64748B"/>
                <w:sz w:val="15"/>
              </w:rPr>
              <w:t xml:space="preserve">KICKOFF DATE  </w:t>
            </w:r>
            <w:r>
              <w:rPr>
                <w:rFonts w:ascii="Inter" w:hAnsi="Inter" w:eastAsia="Inter"/>
                <w:b/>
                <w:i w:val="0"/>
                <w:color w:val="FFFFFF"/>
                <w:sz w:val="15"/>
              </w:rPr>
              <w:t>[DATE]</w:t>
            </w:r>
          </w:p>
          <w:p>
            <w:pPr>
              <w:spacing w:before="800" w:after="0" w:line="276" w:lineRule="auto"/>
            </w:pPr>
          </w:p>
          <w:p>
            <w:pPr>
              <w:shd w:val="clear" w:color="auto" w:fill="D97706"/>
              <w:spacing w:before="160" w:after="160" w:line="276" w:lineRule="auto"/>
              <w:ind w:left="400"/>
            </w:pPr>
            <w:r>
              <w:rPr>
                <w:rFonts w:ascii="Poppins" w:hAnsi="Poppins" w:eastAsia="Poppins"/>
                <w:b/>
                <w:i w:val="0"/>
                <w:color w:val="FFFFFF"/>
                <w:sz w:val="15"/>
              </w:rPr>
              <w:t>VERSION 2.0  ·  PREMIUM CONSULTING EDITION  ·  © 2025 NOVAOPS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FFBEB"/>
            <w:tcMar>
              <w:top w:w="110" w:type="dxa"/>
              <w:bottom w:w="110" w:type="dxa"/>
              <w:left w:w="170" w:type="dxa"/>
              <w:right w:w="170" w:type="dxa"/>
            </w:tcMar>
            <w:tcBorders>
              <w:top w:val="single" w:sz="4" w:color="CBD5E1"/>
              <w:bottom w:val="single" w:sz="4" w:color="CBD5E1"/>
              <w:left w:val="single" w:sz="16" w:color="D97706"/>
              <w:right w:val="single" w:sz="4" w:color="CBD5E1"/>
              <w:insideH w:val="none" w:sz="0" w:color="auto"/>
              <w:insideV w:val="none" w:sz="0" w:color="auto"/>
            </w:tcBorders>
          </w:tcPr>
          <w:p>
            <w:pPr>
              <w:spacing w:before="0" w:after="100" w:line="276" w:lineRule="auto"/>
            </w:pPr>
            <w:r>
              <w:rPr>
                <w:rFonts w:ascii="Poppins" w:hAnsi="Poppins" w:eastAsia="Poppins"/>
                <w:b/>
                <w:i w:val="0"/>
                <w:color w:val="D97706"/>
                <w:sz w:val="14"/>
              </w:rPr>
              <w:t>INSTRUCTIONS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8"/>
              </w:rPr>
              <w:t>Complete Sections 1–5 with the client during or before the kickoff call. Replace all [BRACKETED TEXT] before sending.</w:t>
            </w:r>
          </w:p>
        </w:tc>
      </w:tr>
    </w:tbl>
    <w:p>
      <w:pPr>
        <w:spacing w:before="0" w:after="12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rPr>
          <w:trHeight w:val="260" w:hRule="atLeast"/>
        </w:trPr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80" w:type="dxa"/>
              <w:bottom w:w="6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Inter" w:hAnsi="Inter" w:eastAsia="Inter"/>
                <w:b/>
                <w:i w:val="0"/>
                <w:color w:val="CCFBF1"/>
                <w:sz w:val="13"/>
              </w:rPr>
              <w:t>SECTIONS</w:t>
            </w:r>
          </w:p>
        </w:tc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80" w:type="dxa"/>
              <w:bottom w:w="6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Inter" w:hAnsi="Inter" w:eastAsia="Inter"/>
                <w:b/>
                <w:i w:val="0"/>
                <w:color w:val="CCFBF1"/>
                <w:sz w:val="13"/>
              </w:rPr>
              <w:t>FORM FIELDS</w:t>
            </w:r>
          </w:p>
        </w:tc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80" w:type="dxa"/>
              <w:bottom w:w="6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Inter" w:hAnsi="Inter" w:eastAsia="Inter"/>
                <w:b/>
                <w:i w:val="0"/>
                <w:color w:val="CCFBF1"/>
                <w:sz w:val="13"/>
              </w:rPr>
              <w:t>DOCUMENTS</w:t>
            </w:r>
          </w:p>
        </w:tc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80" w:type="dxa"/>
              <w:bottom w:w="6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Inter" w:hAnsi="Inter" w:eastAsia="Inter"/>
                <w:b/>
                <w:i w:val="0"/>
                <w:color w:val="CCFBF1"/>
                <w:sz w:val="13"/>
              </w:rPr>
              <w:t>ACCESS ITEMS</w:t>
            </w:r>
          </w:p>
        </w:tc>
      </w:tr>
      <w:tr>
        <w:trPr>
          <w:trHeight w:val="640" w:hRule="atLeast"/>
        </w:trPr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44"/>
              </w:rPr>
              <w:t>5</w:t>
            </w:r>
          </w:p>
        </w:tc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44"/>
              </w:rPr>
              <w:t>22+</w:t>
            </w:r>
          </w:p>
        </w:tc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44"/>
              </w:rPr>
              <w:t>9+</w:t>
            </w:r>
          </w:p>
        </w:tc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44"/>
              </w:rPr>
              <w:t>6</w:t>
            </w:r>
          </w:p>
        </w:tc>
      </w:tr>
      <w:tr>
        <w:trPr>
          <w:trHeight w:val="260" w:hRule="atLeast"/>
        </w:trPr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F8FAFC"/>
            <w:tcMar>
              <w:top w:w="55" w:type="dxa"/>
              <w:bottom w:w="7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/>
                <w:color w:val="64748B"/>
                <w:sz w:val="15"/>
              </w:rPr>
              <w:t>intake to access</w:t>
            </w:r>
          </w:p>
        </w:tc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F8FAFC"/>
            <w:tcMar>
              <w:top w:w="55" w:type="dxa"/>
              <w:bottom w:w="7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/>
                <w:color w:val="64748B"/>
                <w:sz w:val="15"/>
              </w:rPr>
              <w:t>business + volume</w:t>
            </w:r>
          </w:p>
        </w:tc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F8FAFC"/>
            <w:tcMar>
              <w:top w:w="55" w:type="dxa"/>
              <w:bottom w:w="7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/>
                <w:color w:val="64748B"/>
                <w:sz w:val="15"/>
              </w:rPr>
              <w:t>to collect upfront</w:t>
            </w:r>
          </w:p>
        </w:tc>
        <w:tc>
          <w:tcPr>
            <w:tcW w:type="dxa" w:w="237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F8FAFC"/>
            <w:tcMar>
              <w:top w:w="55" w:type="dxa"/>
              <w:bottom w:w="7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i/>
                <w:color w:val="64748B"/>
                <w:sz w:val="15"/>
              </w:rPr>
              <w:t>to grant before close</w:t>
            </w:r>
          </w:p>
        </w:tc>
      </w:tr>
    </w:tbl>
    <w:p>
      <w:pPr>
        <w:spacing w:before="0" w:after="200" w:line="276" w:lineRule="auto"/>
      </w:pPr>
    </w:p>
    <w:p>
      <w:pPr>
        <w:spacing w:before="200" w:after="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rHeight w:val="480" w:hRule="atLeast"/>
        </w:trPr>
        <w:tc>
          <w:tcPr>
            <w:tcW w:type="dxa" w:w="907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100" w:type="dxa"/>
              <w:bottom w:w="100" w:type="dxa"/>
              <w:left w:w="14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26"/>
              </w:rPr>
              <w:t>01</w:t>
            </w:r>
          </w:p>
        </w:tc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100" w:type="dxa"/>
              <w:bottom w:w="100" w:type="dxa"/>
              <w:left w:w="180" w:type="dxa"/>
              <w:right w:w="120" w:type="dxa"/>
            </w:tcMar>
            <w:vAlign w:val="center"/>
          </w:tcPr>
          <w:p>
            <w:r>
              <w:rPr>
                <w:rFonts w:ascii="Poppins" w:hAnsi="Poppins" w:eastAsia="Poppins"/>
                <w:b/>
                <w:i w:val="0"/>
                <w:color w:val="0F766E"/>
                <w:sz w:val="21"/>
              </w:rPr>
              <w:t xml:space="preserve">— </w:t>
            </w:r>
            <w:r>
              <w:rPr>
                <w:rFonts w:ascii="Poppins" w:hAnsi="Poppins" w:eastAsia="Poppins"/>
                <w:b/>
                <w:i w:val="0"/>
                <w:color w:val="FFFFFF"/>
                <w:sz w:val="21"/>
              </w:rPr>
              <w:t>BUSINESS PROFILE</w:t>
            </w:r>
          </w:p>
        </w:tc>
      </w:tr>
    </w:tbl>
    <w:p>
      <w:pPr>
        <w:spacing w:before="0" w:after="120" w:line="276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rHeight w:val="400" w:hRule="atLeast"/>
        </w:trPr>
        <w:tc>
          <w:tcPr>
            <w:tcW w:type="dxa" w:w="4252"/>
            <w:shd w:val="clear" w:color="auto" w:fill="0F766E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0F766E"/>
              <w:bottom w:val="single" w:sz="8" w:color="0F766E"/>
              <w:left w:val="single" w:sz="4" w:color="0F766E"/>
              <w:right w:val="single" w:sz="4" w:color="0F766E"/>
              <w:insideH w:val="none" w:sz="0" w:color="auto"/>
              <w:insideV w:val="none" w:sz="0" w:color="auto"/>
            </w:tcBorders>
          </w:tcPr>
          <w:p>
            <w:r>
              <w:rPr>
                <w:rFonts w:ascii="Poppins" w:hAnsi="Poppins" w:eastAsia="Poppins"/>
                <w:b/>
                <w:i w:val="0"/>
                <w:color w:val="FFFFFF"/>
                <w:sz w:val="16"/>
              </w:rPr>
              <w:t>Field</w:t>
            </w:r>
          </w:p>
        </w:tc>
        <w:tc>
          <w:tcPr>
            <w:tcW w:type="dxa" w:w="5669"/>
            <w:shd w:val="clear" w:color="auto" w:fill="0F766E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0F766E"/>
              <w:bottom w:val="single" w:sz="8" w:color="0F766E"/>
              <w:left w:val="single" w:sz="4" w:color="0F766E"/>
              <w:right w:val="single" w:sz="4" w:color="0F766E"/>
              <w:insideH w:val="none" w:sz="0" w:color="auto"/>
              <w:insideV w:val="none" w:sz="0" w:color="auto"/>
            </w:tcBorders>
          </w:tcPr>
          <w:p>
            <w:r>
              <w:rPr>
                <w:rFonts w:ascii="Poppins" w:hAnsi="Poppins" w:eastAsia="Poppins"/>
                <w:b/>
                <w:i w:val="0"/>
                <w:color w:val="FFFFFF"/>
                <w:sz w:val="16"/>
              </w:rPr>
              <w:t>Client Response</w:t>
            </w:r>
          </w:p>
        </w:tc>
      </w:tr>
      <w:tr>
        <w:tc>
          <w:tcPr>
            <w:tcW w:type="dxa" w:w="4252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Legal Business Name</w:t>
            </w:r>
          </w:p>
        </w:tc>
        <w:tc>
          <w:tcPr>
            <w:tcW w:type="dxa" w:w="5669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  <w:tr>
        <w:tc>
          <w:tcPr>
            <w:tcW w:type="dxa" w:w="4252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Trading Name (if different)</w:t>
            </w:r>
          </w:p>
        </w:tc>
        <w:tc>
          <w:tcPr>
            <w:tcW w:type="dxa" w:w="5669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  <w:tr>
        <w:tc>
          <w:tcPr>
            <w:tcW w:type="dxa" w:w="4252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Entity Type &amp; Jurisdiction</w:t>
            </w:r>
          </w:p>
        </w:tc>
        <w:tc>
          <w:tcPr>
            <w:tcW w:type="dxa" w:w="5669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  <w:tr>
        <w:tc>
          <w:tcPr>
            <w:tcW w:type="dxa" w:w="4252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Business Address</w:t>
            </w:r>
          </w:p>
        </w:tc>
        <w:tc>
          <w:tcPr>
            <w:tcW w:type="dxa" w:w="5669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  <w:tr>
        <w:tc>
          <w:tcPr>
            <w:tcW w:type="dxa" w:w="4252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Primary Contact &amp; Approver</w:t>
            </w:r>
          </w:p>
        </w:tc>
        <w:tc>
          <w:tcPr>
            <w:tcW w:type="dxa" w:w="5669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  <w:tr>
        <w:tc>
          <w:tcPr>
            <w:tcW w:type="dxa" w:w="4252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Fiscal Year End</w:t>
            </w:r>
          </w:p>
        </w:tc>
        <w:tc>
          <w:tcPr>
            <w:tcW w:type="dxa" w:w="5669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  <w:tr>
        <w:tc>
          <w:tcPr>
            <w:tcW w:type="dxa" w:w="4252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Industry &amp; Business Model</w:t>
            </w:r>
          </w:p>
        </w:tc>
        <w:tc>
          <w:tcPr>
            <w:tcW w:type="dxa" w:w="5669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  <w:tr>
        <w:tc>
          <w:tcPr>
            <w:tcW w:type="dxa" w:w="4252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Number of Entities / Locations</w:t>
            </w:r>
          </w:p>
        </w:tc>
        <w:tc>
          <w:tcPr>
            <w:tcW w:type="dxa" w:w="5669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  <w:tr>
        <w:tc>
          <w:tcPr>
            <w:tcW w:type="dxa" w:w="4252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Current Accounting Basis (Cash / Accrual)</w:t>
            </w:r>
          </w:p>
        </w:tc>
        <w:tc>
          <w:tcPr>
            <w:tcW w:type="dxa" w:w="5669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  <w:tr>
        <w:tc>
          <w:tcPr>
            <w:tcW w:type="dxa" w:w="4252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Current Bookkeeping Software &amp; Subscription</w:t>
            </w:r>
          </w:p>
        </w:tc>
        <w:tc>
          <w:tcPr>
            <w:tcW w:type="dxa" w:w="5669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</w:tbl>
    <w:p>
      <w:pPr>
        <w:spacing w:before="0" w:after="160" w:line="276" w:lineRule="auto"/>
      </w:pPr>
    </w:p>
    <w:p>
      <w:pPr>
        <w:spacing w:before="200" w:after="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rHeight w:val="480" w:hRule="atLeast"/>
        </w:trPr>
        <w:tc>
          <w:tcPr>
            <w:tcW w:type="dxa" w:w="907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100" w:type="dxa"/>
              <w:bottom w:w="100" w:type="dxa"/>
              <w:left w:w="14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26"/>
              </w:rPr>
              <w:t>02</w:t>
            </w:r>
          </w:p>
        </w:tc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100" w:type="dxa"/>
              <w:bottom w:w="100" w:type="dxa"/>
              <w:left w:w="180" w:type="dxa"/>
              <w:right w:w="120" w:type="dxa"/>
            </w:tcMar>
            <w:vAlign w:val="center"/>
          </w:tcPr>
          <w:p>
            <w:r>
              <w:rPr>
                <w:rFonts w:ascii="Poppins" w:hAnsi="Poppins" w:eastAsia="Poppins"/>
                <w:b/>
                <w:i w:val="0"/>
                <w:color w:val="0F766E"/>
                <w:sz w:val="21"/>
              </w:rPr>
              <w:t xml:space="preserve">— </w:t>
            </w:r>
            <w:r>
              <w:rPr>
                <w:rFonts w:ascii="Poppins" w:hAnsi="Poppins" w:eastAsia="Poppins"/>
                <w:b/>
                <w:i w:val="0"/>
                <w:color w:val="FFFFFF"/>
                <w:sz w:val="21"/>
              </w:rPr>
              <w:t>VOLUME &amp; COMPLEXITY ASSESSMENT</w:t>
            </w:r>
          </w:p>
        </w:tc>
      </w:tr>
    </w:tbl>
    <w:p>
      <w:pPr>
        <w:spacing w:before="0" w:after="120" w:line="276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rHeight w:val="400" w:hRule="atLeast"/>
        </w:trPr>
        <w:tc>
          <w:tcPr>
            <w:tcW w:type="dxa" w:w="4819"/>
            <w:shd w:val="clear" w:color="auto" w:fill="0F766E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0F766E"/>
              <w:bottom w:val="single" w:sz="8" w:color="0F766E"/>
              <w:left w:val="single" w:sz="4" w:color="0F766E"/>
              <w:right w:val="single" w:sz="4" w:color="0F766E"/>
              <w:insideH w:val="none" w:sz="0" w:color="auto"/>
              <w:insideV w:val="none" w:sz="0" w:color="auto"/>
            </w:tcBorders>
          </w:tcPr>
          <w:p>
            <w:r>
              <w:rPr>
                <w:rFonts w:ascii="Poppins" w:hAnsi="Poppins" w:eastAsia="Poppins"/>
                <w:b/>
                <w:i w:val="0"/>
                <w:color w:val="FFFFFF"/>
                <w:sz w:val="16"/>
              </w:rPr>
              <w:t>Assessment Question</w:t>
            </w:r>
          </w:p>
        </w:tc>
        <w:tc>
          <w:tcPr>
            <w:tcW w:type="dxa" w:w="5102"/>
            <w:shd w:val="clear" w:color="auto" w:fill="0F766E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0F766E"/>
              <w:bottom w:val="single" w:sz="8" w:color="0F766E"/>
              <w:left w:val="single" w:sz="4" w:color="0F766E"/>
              <w:right w:val="single" w:sz="4" w:color="0F766E"/>
              <w:insideH w:val="none" w:sz="0" w:color="auto"/>
              <w:insideV w:val="none" w:sz="0" w:color="auto"/>
            </w:tcBorders>
          </w:tcPr>
          <w:p>
            <w:r>
              <w:rPr>
                <w:rFonts w:ascii="Poppins" w:hAnsi="Poppins" w:eastAsia="Poppins"/>
                <w:b/>
                <w:i w:val="0"/>
                <w:color w:val="FFFFFF"/>
                <w:sz w:val="16"/>
              </w:rPr>
              <w:t>Response</w:t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Average monthly bank and card transactions</w:t>
            </w:r>
          </w:p>
        </w:tc>
        <w:tc>
          <w:tcPr>
            <w:tcW w:type="dxa" w:w="5102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  <w:tr>
        <w:tc>
          <w:tcPr>
            <w:tcW w:type="dxa" w:w="4819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Number of bank accounts</w:t>
            </w:r>
          </w:p>
        </w:tc>
        <w:tc>
          <w:tcPr>
            <w:tcW w:type="dxa" w:w="5102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Number of credit cards</w:t>
            </w:r>
          </w:p>
        </w:tc>
        <w:tc>
          <w:tcPr>
            <w:tcW w:type="dxa" w:w="5102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  <w:tr>
        <w:tc>
          <w:tcPr>
            <w:tcW w:type="dxa" w:w="4819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Payroll provider and employee count</w:t>
            </w:r>
          </w:p>
        </w:tc>
        <w:tc>
          <w:tcPr>
            <w:tcW w:type="dxa" w:w="5102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Loans / lines of credit outstanding</w:t>
            </w:r>
          </w:p>
        </w:tc>
        <w:tc>
          <w:tcPr>
            <w:tcW w:type="dxa" w:w="5102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  <w:tr>
        <w:tc>
          <w:tcPr>
            <w:tcW w:type="dxa" w:w="4819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Inventory (Yes/No + brief description)</w:t>
            </w:r>
          </w:p>
        </w:tc>
        <w:tc>
          <w:tcPr>
            <w:tcW w:type="dxa" w:w="5102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Sales channels and payment processors</w:t>
            </w:r>
          </w:p>
        </w:tc>
        <w:tc>
          <w:tcPr>
            <w:tcW w:type="dxa" w:w="5102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  <w:tr>
        <w:tc>
          <w:tcPr>
            <w:tcW w:type="dxa" w:w="4819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Foreign currency or cross-border activity</w:t>
            </w:r>
          </w:p>
        </w:tc>
        <w:tc>
          <w:tcPr>
            <w:tcW w:type="dxa" w:w="5102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Class, project, or location tracking required</w:t>
            </w:r>
          </w:p>
        </w:tc>
        <w:tc>
          <w:tcPr>
            <w:tcW w:type="dxa" w:w="5102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  <w:tr>
        <w:tc>
          <w:tcPr>
            <w:tcW w:type="dxa" w:w="4819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Last fully reconciled month</w:t>
            </w:r>
          </w:p>
        </w:tc>
        <w:tc>
          <w:tcPr>
            <w:tcW w:type="dxa" w:w="5102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  <w:tr>
        <w:tc>
          <w:tcPr>
            <w:tcW w:type="dxa" w:w="4819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Known backlogs, issues, or prior-year adjustments</w:t>
            </w:r>
          </w:p>
        </w:tc>
        <w:tc>
          <w:tcPr>
            <w:tcW w:type="dxa" w:w="5102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</w:tbl>
    <w:p>
      <w:pPr>
        <w:spacing w:before="0" w:after="160" w:line="276" w:lineRule="auto"/>
      </w:pPr>
    </w:p>
    <w:p>
      <w:pPr>
        <w:spacing w:before="200" w:after="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rHeight w:val="480" w:hRule="atLeast"/>
        </w:trPr>
        <w:tc>
          <w:tcPr>
            <w:tcW w:type="dxa" w:w="907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100" w:type="dxa"/>
              <w:bottom w:w="100" w:type="dxa"/>
              <w:left w:w="14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26"/>
              </w:rPr>
              <w:t>03</w:t>
            </w:r>
          </w:p>
        </w:tc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100" w:type="dxa"/>
              <w:bottom w:w="100" w:type="dxa"/>
              <w:left w:w="180" w:type="dxa"/>
              <w:right w:w="120" w:type="dxa"/>
            </w:tcMar>
            <w:vAlign w:val="center"/>
          </w:tcPr>
          <w:p>
            <w:r>
              <w:rPr>
                <w:rFonts w:ascii="Poppins" w:hAnsi="Poppins" w:eastAsia="Poppins"/>
                <w:b/>
                <w:i w:val="0"/>
                <w:color w:val="0F766E"/>
                <w:sz w:val="21"/>
              </w:rPr>
              <w:t xml:space="preserve">— </w:t>
            </w:r>
            <w:r>
              <w:rPr>
                <w:rFonts w:ascii="Poppins" w:hAnsi="Poppins" w:eastAsia="Poppins"/>
                <w:b/>
                <w:i w:val="0"/>
                <w:color w:val="FFFFFF"/>
                <w:sz w:val="21"/>
              </w:rPr>
              <w:t>DOCUMENTS REQUIRED BEFORE KICKOFF</w:t>
            </w:r>
          </w:p>
        </w:tc>
      </w:tr>
    </w:tbl>
    <w:p>
      <w:pPr>
        <w:spacing w:before="0" w:after="120" w:line="276" w:lineRule="auto"/>
      </w:pPr>
    </w:p>
    <w:p>
      <w:pPr>
        <w:jc w:val="both"/>
        <w:spacing w:before="0" w:after="80" w:line="276" w:lineRule="auto"/>
      </w:pPr>
      <w:r>
        <w:rPr>
          <w:rFonts w:ascii="Calibri" w:hAnsi="Calibri" w:eastAsia="Calibri"/>
          <w:b w:val="0"/>
          <w:i w:val="0"/>
          <w:color w:val="0F172A"/>
          <w:sz w:val="19"/>
        </w:rPr>
        <w:t>Please upload the following to your secure portal at [PORTAL LINK] before the kickoff call:</w:t>
      </w:r>
    </w:p>
    <w:p/>
    <w:p>
      <w:pPr>
        <w:spacing w:before="0" w:after="80" w:line="276" w:lineRule="auto"/>
        <w:ind w:left="180" w:hanging="180"/>
      </w:pPr>
      <w:r>
        <w:rPr>
          <w:rFonts w:ascii="Calibri" w:hAnsi="Calibri" w:eastAsia="Calibri"/>
          <w:b/>
          <w:i w:val="0"/>
          <w:color w:val="0F172A"/>
          <w:sz w:val="20"/>
        </w:rPr>
        <w:t xml:space="preserve">☐  </w:t>
      </w:r>
      <w:r>
        <w:rPr>
          <w:rFonts w:ascii="Calibri" w:hAnsi="Calibri" w:eastAsia="Calibri"/>
          <w:b w:val="0"/>
          <w:i w:val="0"/>
          <w:color w:val="0F172A"/>
          <w:sz w:val="19"/>
        </w:rPr>
        <w:t>Prior-year financial statements and trial balance</w:t>
      </w:r>
    </w:p>
    <w:p>
      <w:pPr>
        <w:spacing w:before="0" w:after="80" w:line="276" w:lineRule="auto"/>
        <w:ind w:left="180" w:hanging="180"/>
      </w:pPr>
      <w:r>
        <w:rPr>
          <w:rFonts w:ascii="Calibri" w:hAnsi="Calibri" w:eastAsia="Calibri"/>
          <w:b/>
          <w:i w:val="0"/>
          <w:color w:val="0F172A"/>
          <w:sz w:val="20"/>
        </w:rPr>
        <w:t xml:space="preserve">☐  </w:t>
      </w:r>
      <w:r>
        <w:rPr>
          <w:rFonts w:ascii="Calibri" w:hAnsi="Calibri" w:eastAsia="Calibri"/>
          <w:b w:val="0"/>
          <w:i w:val="0"/>
          <w:color w:val="0F172A"/>
          <w:sz w:val="19"/>
        </w:rPr>
        <w:t>Bank and credit-card statements from the agreed engagement start date</w:t>
      </w:r>
    </w:p>
    <w:p>
      <w:pPr>
        <w:spacing w:before="0" w:after="80" w:line="276" w:lineRule="auto"/>
        <w:ind w:left="180" w:hanging="180"/>
      </w:pPr>
      <w:r>
        <w:rPr>
          <w:rFonts w:ascii="Calibri" w:hAnsi="Calibri" w:eastAsia="Calibri"/>
          <w:b/>
          <w:i w:val="0"/>
          <w:color w:val="0F172A"/>
          <w:sz w:val="20"/>
        </w:rPr>
        <w:t xml:space="preserve">☐  </w:t>
      </w:r>
      <w:r>
        <w:rPr>
          <w:rFonts w:ascii="Calibri" w:hAnsi="Calibri" w:eastAsia="Calibri"/>
          <w:b w:val="0"/>
          <w:i w:val="0"/>
          <w:color w:val="0F172A"/>
          <w:sz w:val="19"/>
        </w:rPr>
        <w:t>Loan statements and amortisation schedules</w:t>
      </w:r>
    </w:p>
    <w:p>
      <w:pPr>
        <w:spacing w:before="0" w:after="80" w:line="276" w:lineRule="auto"/>
        <w:ind w:left="180" w:hanging="180"/>
      </w:pPr>
      <w:r>
        <w:rPr>
          <w:rFonts w:ascii="Calibri" w:hAnsi="Calibri" w:eastAsia="Calibri"/>
          <w:b/>
          <w:i w:val="0"/>
          <w:color w:val="0F172A"/>
          <w:sz w:val="20"/>
        </w:rPr>
        <w:t xml:space="preserve">☐  </w:t>
      </w:r>
      <w:r>
        <w:rPr>
          <w:rFonts w:ascii="Calibri" w:hAnsi="Calibri" w:eastAsia="Calibri"/>
          <w:b w:val="0"/>
          <w:i w:val="0"/>
          <w:color w:val="0F172A"/>
          <w:sz w:val="19"/>
        </w:rPr>
        <w:t>Payroll summaries and payroll tax liability reports</w:t>
      </w:r>
    </w:p>
    <w:p>
      <w:pPr>
        <w:spacing w:before="0" w:after="80" w:line="276" w:lineRule="auto"/>
        <w:ind w:left="180" w:hanging="180"/>
      </w:pPr>
      <w:r>
        <w:rPr>
          <w:rFonts w:ascii="Calibri" w:hAnsi="Calibri" w:eastAsia="Calibri"/>
          <w:b/>
          <w:i w:val="0"/>
          <w:color w:val="0F172A"/>
          <w:sz w:val="20"/>
        </w:rPr>
        <w:t xml:space="preserve">☐  </w:t>
      </w:r>
      <w:r>
        <w:rPr>
          <w:rFonts w:ascii="Calibri" w:hAnsi="Calibri" w:eastAsia="Calibri"/>
          <w:b w:val="0"/>
          <w:i w:val="0"/>
          <w:color w:val="0F172A"/>
          <w:sz w:val="19"/>
        </w:rPr>
        <w:t>Sales-tax / VAT filings and any outstanding notices</w:t>
      </w:r>
    </w:p>
    <w:p>
      <w:pPr>
        <w:spacing w:before="0" w:after="80" w:line="276" w:lineRule="auto"/>
        <w:ind w:left="180" w:hanging="180"/>
      </w:pPr>
      <w:r>
        <w:rPr>
          <w:rFonts w:ascii="Calibri" w:hAnsi="Calibri" w:eastAsia="Calibri"/>
          <w:b/>
          <w:i w:val="0"/>
          <w:color w:val="0F172A"/>
          <w:sz w:val="20"/>
        </w:rPr>
        <w:t xml:space="preserve">☐  </w:t>
      </w:r>
      <w:r>
        <w:rPr>
          <w:rFonts w:ascii="Calibri" w:hAnsi="Calibri" w:eastAsia="Calibri"/>
          <w:b w:val="0"/>
          <w:i w:val="0"/>
          <w:color w:val="0F172A"/>
          <w:sz w:val="19"/>
        </w:rPr>
        <w:t>Merchant processor and e-commerce platform reports</w:t>
      </w:r>
    </w:p>
    <w:p>
      <w:pPr>
        <w:spacing w:before="0" w:after="80" w:line="276" w:lineRule="auto"/>
        <w:ind w:left="180" w:hanging="180"/>
      </w:pPr>
      <w:r>
        <w:rPr>
          <w:rFonts w:ascii="Calibri" w:hAnsi="Calibri" w:eastAsia="Calibri"/>
          <w:b/>
          <w:i w:val="0"/>
          <w:color w:val="0F172A"/>
          <w:sz w:val="20"/>
        </w:rPr>
        <w:t xml:space="preserve">☐  </w:t>
      </w:r>
      <w:r>
        <w:rPr>
          <w:rFonts w:ascii="Calibri" w:hAnsi="Calibri" w:eastAsia="Calibri"/>
          <w:b w:val="0"/>
          <w:i w:val="0"/>
          <w:color w:val="0F172A"/>
          <w:sz w:val="19"/>
        </w:rPr>
        <w:t>Fixed-asset list with purchase dates and costs</w:t>
      </w:r>
    </w:p>
    <w:p>
      <w:pPr>
        <w:spacing w:before="0" w:after="80" w:line="276" w:lineRule="auto"/>
        <w:ind w:left="180" w:hanging="180"/>
      </w:pPr>
      <w:r>
        <w:rPr>
          <w:rFonts w:ascii="Calibri" w:hAnsi="Calibri" w:eastAsia="Calibri"/>
          <w:b/>
          <w:i w:val="0"/>
          <w:color w:val="0F172A"/>
          <w:sz w:val="20"/>
        </w:rPr>
        <w:t xml:space="preserve">☐  </w:t>
      </w:r>
      <w:r>
        <w:rPr>
          <w:rFonts w:ascii="Calibri" w:hAnsi="Calibri" w:eastAsia="Calibri"/>
          <w:b w:val="0"/>
          <w:i w:val="0"/>
          <w:color w:val="0F172A"/>
          <w:sz w:val="19"/>
        </w:rPr>
        <w:t>Outstanding accounts receivable and payable ageing reports</w:t>
      </w:r>
    </w:p>
    <w:p>
      <w:pPr>
        <w:spacing w:before="0" w:after="80" w:line="276" w:lineRule="auto"/>
        <w:ind w:left="180" w:hanging="180"/>
      </w:pPr>
      <w:r>
        <w:rPr>
          <w:rFonts w:ascii="Calibri" w:hAnsi="Calibri" w:eastAsia="Calibri"/>
          <w:b/>
          <w:i w:val="0"/>
          <w:color w:val="0F172A"/>
          <w:sz w:val="20"/>
        </w:rPr>
        <w:t xml:space="preserve">☐  </w:t>
      </w:r>
      <w:r>
        <w:rPr>
          <w:rFonts w:ascii="Calibri" w:hAnsi="Calibri" w:eastAsia="Calibri"/>
          <w:b w:val="0"/>
          <w:i w:val="0"/>
          <w:color w:val="0F172A"/>
          <w:sz w:val="19"/>
        </w:rPr>
        <w:t>Tax return or tax-preparer adjusting entries (where appropriate)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FFBEB"/>
            <w:tcMar>
              <w:top w:w="110" w:type="dxa"/>
              <w:bottom w:w="110" w:type="dxa"/>
              <w:left w:w="170" w:type="dxa"/>
              <w:right w:w="170" w:type="dxa"/>
            </w:tcMar>
            <w:tcBorders>
              <w:top w:val="single" w:sz="4" w:color="CBD5E1"/>
              <w:bottom w:val="single" w:sz="4" w:color="CBD5E1"/>
              <w:left w:val="single" w:sz="16" w:color="D97706"/>
              <w:right w:val="single" w:sz="4" w:color="CBD5E1"/>
              <w:insideH w:val="none" w:sz="0" w:color="auto"/>
              <w:insideV w:val="none" w:sz="0" w:color="auto"/>
            </w:tcBorders>
          </w:tcPr>
          <w:p>
            <w:pPr>
              <w:spacing w:before="0" w:after="100" w:line="276" w:lineRule="auto"/>
            </w:pPr>
            <w:r>
              <w:rPr>
                <w:rFonts w:ascii="Poppins" w:hAnsi="Poppins" w:eastAsia="Poppins"/>
                <w:b/>
                <w:i w:val="0"/>
                <w:color w:val="D97706"/>
                <w:sz w:val="14"/>
              </w:rPr>
              <w:t>SECURITY NOTICE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F172A"/>
                <w:sz w:val="18"/>
              </w:rPr>
              <w:t>Never share banking passwords by email. Use secure portals, read-only accountant access, or an approved password manager. We will never request passwords by ordinary email.</w:t>
            </w:r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rHeight w:val="480" w:hRule="atLeast"/>
        </w:trPr>
        <w:tc>
          <w:tcPr>
            <w:tcW w:type="dxa" w:w="907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100" w:type="dxa"/>
              <w:bottom w:w="100" w:type="dxa"/>
              <w:left w:w="14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26"/>
              </w:rPr>
              <w:t>04</w:t>
            </w:r>
          </w:p>
        </w:tc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100" w:type="dxa"/>
              <w:bottom w:w="100" w:type="dxa"/>
              <w:left w:w="180" w:type="dxa"/>
              <w:right w:w="120" w:type="dxa"/>
            </w:tcMar>
            <w:vAlign w:val="center"/>
          </w:tcPr>
          <w:p>
            <w:r>
              <w:rPr>
                <w:rFonts w:ascii="Poppins" w:hAnsi="Poppins" w:eastAsia="Poppins"/>
                <w:b/>
                <w:i w:val="0"/>
                <w:color w:val="0F766E"/>
                <w:sz w:val="21"/>
              </w:rPr>
              <w:t xml:space="preserve">— </w:t>
            </w:r>
            <w:r>
              <w:rPr>
                <w:rFonts w:ascii="Poppins" w:hAnsi="Poppins" w:eastAsia="Poppins"/>
                <w:b/>
                <w:i w:val="0"/>
                <w:color w:val="FFFFFF"/>
                <w:sz w:val="21"/>
              </w:rPr>
              <w:t>KICKOFF DECISIONS</w:t>
            </w:r>
          </w:p>
        </w:tc>
      </w:tr>
    </w:tbl>
    <w:p>
      <w:pPr>
        <w:spacing w:before="0" w:after="120" w:line="276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rHeight w:val="400" w:hRule="atLeast"/>
        </w:trPr>
        <w:tc>
          <w:tcPr>
            <w:tcW w:type="dxa" w:w="4252"/>
            <w:shd w:val="clear" w:color="auto" w:fill="0F766E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0F766E"/>
              <w:bottom w:val="single" w:sz="8" w:color="0F766E"/>
              <w:left w:val="single" w:sz="4" w:color="0F766E"/>
              <w:right w:val="single" w:sz="4" w:color="0F766E"/>
              <w:insideH w:val="none" w:sz="0" w:color="auto"/>
              <w:insideV w:val="none" w:sz="0" w:color="auto"/>
            </w:tcBorders>
          </w:tcPr>
          <w:p>
            <w:r>
              <w:rPr>
                <w:rFonts w:ascii="Poppins" w:hAnsi="Poppins" w:eastAsia="Poppins"/>
                <w:b/>
                <w:i w:val="0"/>
                <w:color w:val="FFFFFF"/>
                <w:sz w:val="16"/>
              </w:rPr>
              <w:t>Decision</w:t>
            </w:r>
          </w:p>
        </w:tc>
        <w:tc>
          <w:tcPr>
            <w:tcW w:type="dxa" w:w="5669"/>
            <w:shd w:val="clear" w:color="auto" w:fill="0F766E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0F766E"/>
              <w:bottom w:val="single" w:sz="8" w:color="0F766E"/>
              <w:left w:val="single" w:sz="4" w:color="0F766E"/>
              <w:right w:val="single" w:sz="4" w:color="0F766E"/>
              <w:insideH w:val="none" w:sz="0" w:color="auto"/>
              <w:insideV w:val="none" w:sz="0" w:color="auto"/>
            </w:tcBorders>
          </w:tcPr>
          <w:p>
            <w:r>
              <w:rPr>
                <w:rFonts w:ascii="Poppins" w:hAnsi="Poppins" w:eastAsia="Poppins"/>
                <w:b/>
                <w:i w:val="0"/>
                <w:color w:val="FFFFFF"/>
                <w:sz w:val="16"/>
              </w:rPr>
              <w:t>Agreed Approach</w:t>
            </w:r>
          </w:p>
        </w:tc>
      </w:tr>
      <w:tr>
        <w:tc>
          <w:tcPr>
            <w:tcW w:type="dxa" w:w="4252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Monthly close deadline</w:t>
            </w:r>
          </w:p>
        </w:tc>
        <w:tc>
          <w:tcPr>
            <w:tcW w:type="dxa" w:w="5669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  <w:tr>
        <w:tc>
          <w:tcPr>
            <w:tcW w:type="dxa" w:w="4252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Document cutoff day (when statements are available)</w:t>
            </w:r>
          </w:p>
        </w:tc>
        <w:tc>
          <w:tcPr>
            <w:tcW w:type="dxa" w:w="5669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  <w:tr>
        <w:tc>
          <w:tcPr>
            <w:tcW w:type="dxa" w:w="4252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Primary question and approval contact</w:t>
            </w:r>
          </w:p>
        </w:tc>
        <w:tc>
          <w:tcPr>
            <w:tcW w:type="dxa" w:w="5669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  <w:tr>
        <w:tc>
          <w:tcPr>
            <w:tcW w:type="dxa" w:w="4252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Preferred communication channel</w:t>
            </w:r>
          </w:p>
        </w:tc>
        <w:tc>
          <w:tcPr>
            <w:tcW w:type="dxa" w:w="5669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  <w:tr>
        <w:tc>
          <w:tcPr>
            <w:tcW w:type="dxa" w:w="4252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Report package (P&amp;L, Balance Sheet, Cash, Custom)</w:t>
            </w:r>
          </w:p>
        </w:tc>
        <w:tc>
          <w:tcPr>
            <w:tcW w:type="dxa" w:w="5669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  <w:tr>
        <w:tc>
          <w:tcPr>
            <w:tcW w:type="dxa" w:w="4252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Escalation process for urgent items</w:t>
            </w:r>
          </w:p>
        </w:tc>
        <w:tc>
          <w:tcPr>
            <w:tcW w:type="dxa" w:w="5669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  <w:tr>
        <w:tc>
          <w:tcPr>
            <w:tcW w:type="dxa" w:w="4252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First close period</w:t>
            </w:r>
          </w:p>
        </w:tc>
        <w:tc>
          <w:tcPr>
            <w:tcW w:type="dxa" w:w="5669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  <w:tr>
        <w:tc>
          <w:tcPr>
            <w:tcW w:type="dxa" w:w="4252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Cleanup scope and start date (if applicable)</w:t>
            </w:r>
          </w:p>
        </w:tc>
        <w:tc>
          <w:tcPr>
            <w:tcW w:type="dxa" w:w="5669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</w:tbl>
    <w:p>
      <w:pPr>
        <w:spacing w:before="0" w:after="160" w:line="276" w:lineRule="auto"/>
      </w:pPr>
    </w:p>
    <w:p>
      <w:pPr>
        <w:spacing w:before="200" w:after="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rHeight w:val="480" w:hRule="atLeast"/>
        </w:trPr>
        <w:tc>
          <w:tcPr>
            <w:tcW w:type="dxa" w:w="907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766E"/>
            <w:tcMar>
              <w:top w:w="100" w:type="dxa"/>
              <w:bottom w:w="100" w:type="dxa"/>
              <w:left w:w="14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Poppins" w:hAnsi="Poppins" w:eastAsia="Poppins"/>
                <w:b/>
                <w:i w:val="0"/>
                <w:color w:val="FFFFFF"/>
                <w:sz w:val="26"/>
              </w:rPr>
              <w:t>05</w:t>
            </w:r>
          </w:p>
        </w:tc>
        <w:tc>
          <w:tcPr>
            <w:tcW w:type="dxa" w:w="4759"/>
            <w:tcBorders>
              <w:top w:val="none" w:sz="0" w:color="auto"/>
              <w:bottom w:val="none" w:sz="0" w:color="auto"/>
              <w:left w:val="none" w:sz="0" w:color="auto"/>
              <w:right w:val="none" w:sz="0" w:color="auto"/>
              <w:insideH w:val="none" w:sz="0" w:color="auto"/>
              <w:insideV w:val="none" w:sz="0" w:color="auto"/>
            </w:tcBorders>
            <w:shd w:val="clear" w:color="auto" w:fill="0F172A"/>
            <w:tcMar>
              <w:top w:w="100" w:type="dxa"/>
              <w:bottom w:w="100" w:type="dxa"/>
              <w:left w:w="180" w:type="dxa"/>
              <w:right w:w="120" w:type="dxa"/>
            </w:tcMar>
            <w:vAlign w:val="center"/>
          </w:tcPr>
          <w:p>
            <w:r>
              <w:rPr>
                <w:rFonts w:ascii="Poppins" w:hAnsi="Poppins" w:eastAsia="Poppins"/>
                <w:b/>
                <w:i w:val="0"/>
                <w:color w:val="0F766E"/>
                <w:sz w:val="21"/>
              </w:rPr>
              <w:t xml:space="preserve">— </w:t>
            </w:r>
            <w:r>
              <w:rPr>
                <w:rFonts w:ascii="Poppins" w:hAnsi="Poppins" w:eastAsia="Poppins"/>
                <w:b/>
                <w:i w:val="0"/>
                <w:color w:val="FFFFFF"/>
                <w:sz w:val="21"/>
              </w:rPr>
              <w:t>ACCESS &amp; INTEGRATION CHECKLIST</w:t>
            </w:r>
          </w:p>
        </w:tc>
      </w:tr>
    </w:tbl>
    <w:p>
      <w:pPr>
        <w:spacing w:before="0" w:after="120" w:line="276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rHeight w:val="400" w:hRule="atLeast"/>
        </w:trPr>
        <w:tc>
          <w:tcPr>
            <w:tcW w:type="dxa" w:w="4535"/>
            <w:shd w:val="clear" w:color="auto" w:fill="0F766E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0F766E"/>
              <w:bottom w:val="single" w:sz="8" w:color="0F766E"/>
              <w:left w:val="single" w:sz="4" w:color="0F766E"/>
              <w:right w:val="single" w:sz="4" w:color="0F766E"/>
              <w:insideH w:val="none" w:sz="0" w:color="auto"/>
              <w:insideV w:val="none" w:sz="0" w:color="auto"/>
            </w:tcBorders>
          </w:tcPr>
          <w:p>
            <w:r>
              <w:rPr>
                <w:rFonts w:ascii="Poppins" w:hAnsi="Poppins" w:eastAsia="Poppins"/>
                <w:b/>
                <w:i w:val="0"/>
                <w:color w:val="FFFFFF"/>
                <w:sz w:val="16"/>
              </w:rPr>
              <w:t>Access Item</w:t>
            </w:r>
          </w:p>
        </w:tc>
        <w:tc>
          <w:tcPr>
            <w:tcW w:type="dxa" w:w="1984"/>
            <w:shd w:val="clear" w:color="auto" w:fill="0F766E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0F766E"/>
              <w:bottom w:val="single" w:sz="8" w:color="0F766E"/>
              <w:left w:val="single" w:sz="4" w:color="0F766E"/>
              <w:right w:val="single" w:sz="4" w:color="0F766E"/>
              <w:insideH w:val="none" w:sz="0" w:color="auto"/>
              <w:insideV w:val="none" w:sz="0" w:color="auto"/>
            </w:tcBorders>
          </w:tcPr>
          <w:p>
            <w:r>
              <w:rPr>
                <w:rFonts w:ascii="Poppins" w:hAnsi="Poppins" w:eastAsia="Poppins"/>
                <w:b/>
                <w:i w:val="0"/>
                <w:color w:val="FFFFFF"/>
                <w:sz w:val="16"/>
              </w:rPr>
              <w:t>Status</w:t>
            </w:r>
          </w:p>
        </w:tc>
        <w:tc>
          <w:tcPr>
            <w:tcW w:type="dxa" w:w="3402"/>
            <w:shd w:val="clear" w:color="auto" w:fill="0F766E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single" w:sz="4" w:color="0F766E"/>
              <w:bottom w:val="single" w:sz="8" w:color="0F766E"/>
              <w:left w:val="single" w:sz="4" w:color="0F766E"/>
              <w:right w:val="single" w:sz="4" w:color="0F766E"/>
              <w:insideH w:val="none" w:sz="0" w:color="auto"/>
              <w:insideV w:val="none" w:sz="0" w:color="auto"/>
            </w:tcBorders>
          </w:tcPr>
          <w:p>
            <w:r>
              <w:rPr>
                <w:rFonts w:ascii="Poppins" w:hAnsi="Poppins" w:eastAsia="Poppins"/>
                <w:b/>
                <w:i w:val="0"/>
                <w:color w:val="FFFFFF"/>
                <w:sz w:val="16"/>
              </w:rPr>
              <w:t>Notes</w:t>
            </w:r>
          </w:p>
        </w:tc>
      </w:tr>
      <w:tr>
        <w:tc>
          <w:tcPr>
            <w:tcW w:type="dxa" w:w="4535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Bookkeeping software — accountant/adviser role</w:t>
            </w:r>
          </w:p>
        </w:tc>
        <w:tc>
          <w:tcPr>
            <w:tcW w:type="dxa" w:w="1984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☐  Granted</w:t>
            </w:r>
          </w:p>
        </w:tc>
        <w:tc>
          <w:tcPr>
            <w:tcW w:type="dxa" w:w="3402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  <w:tr>
        <w:tc>
          <w:tcPr>
            <w:tcW w:type="dxa" w:w="4535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Bank feed connection or read-only bank access</w:t>
            </w:r>
          </w:p>
        </w:tc>
        <w:tc>
          <w:tcPr>
            <w:tcW w:type="dxa" w:w="1984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☐  Granted</w:t>
            </w:r>
          </w:p>
        </w:tc>
        <w:tc>
          <w:tcPr>
            <w:tcW w:type="dxa" w:w="3402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  <w:tr>
        <w:tc>
          <w:tcPr>
            <w:tcW w:type="dxa" w:w="4535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Payroll platform — read-only access</w:t>
            </w:r>
          </w:p>
        </w:tc>
        <w:tc>
          <w:tcPr>
            <w:tcW w:type="dxa" w:w="1984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☐  Granted</w:t>
            </w:r>
          </w:p>
        </w:tc>
        <w:tc>
          <w:tcPr>
            <w:tcW w:type="dxa" w:w="3402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  <w:tr>
        <w:tc>
          <w:tcPr>
            <w:tcW w:type="dxa" w:w="4535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Payment processor / e-commerce reports</w:t>
            </w:r>
          </w:p>
        </w:tc>
        <w:tc>
          <w:tcPr>
            <w:tcW w:type="dxa" w:w="1984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☐  Granted</w:t>
            </w:r>
          </w:p>
        </w:tc>
        <w:tc>
          <w:tcPr>
            <w:tcW w:type="dxa" w:w="3402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  <w:tr>
        <w:tc>
          <w:tcPr>
            <w:tcW w:type="dxa" w:w="4535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Client portal invitation accepted</w:t>
            </w:r>
          </w:p>
        </w:tc>
        <w:tc>
          <w:tcPr>
            <w:tcW w:type="dxa" w:w="1984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☐  Accepted</w:t>
            </w:r>
          </w:p>
        </w:tc>
        <w:tc>
          <w:tcPr>
            <w:tcW w:type="dxa" w:w="3402"/>
            <w:shd w:val="clear" w:color="auto" w:fill="FFFFFF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  <w:tr>
        <w:tc>
          <w:tcPr>
            <w:tcW w:type="dxa" w:w="4535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Document upload folder shared and accessible</w:t>
            </w:r>
          </w:p>
        </w:tc>
        <w:tc>
          <w:tcPr>
            <w:tcW w:type="dxa" w:w="1984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  <w:t>☐  Confirmed</w:t>
            </w:r>
          </w:p>
        </w:tc>
        <w:tc>
          <w:tcPr>
            <w:tcW w:type="dxa" w:w="3402"/>
            <w:shd w:val="clear" w:color="auto" w:fill="F8FAFC"/>
            <w:tcBorders>
              <w:top w:val="single" w:sz="3" w:color="CBD5E1"/>
              <w:bottom w:val="single" w:sz="3" w:color="CBD5E1"/>
              <w:left w:val="single" w:sz="3" w:color="CBD5E1"/>
              <w:right w:val="single" w:sz="3" w:color="CBD5E1"/>
              <w:insideH w:val="none" w:sz="0" w:color="auto"/>
              <w:insideV w:val="none" w:sz="0" w:color="auto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Calibri" w:hAnsi="Calibri" w:eastAsia="Calibri"/>
                <w:b w:val="0"/>
                <w:i w:val="0"/>
                <w:color w:val="0F172A"/>
                <w:sz w:val="17"/>
              </w:rPr>
            </w:r>
          </w:p>
        </w:tc>
      </w:tr>
    </w:tbl>
    <w:p>
      <w:pPr>
        <w:spacing w:before="0" w:after="160" w:line="276" w:lineRule="auto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247" w:left="136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536"/>
      <w:gridCol w:w="4536"/>
    </w:tblGrid>
    <w:tr>
      <w:tc>
        <w:tcPr>
          <w:tcW w:type="dxa" w:w="4536"/>
          <w:tcBorders>
            <w:top w:val="single" w:sz="4" w:color="CBD5E1"/>
            <w:bottom w:val="none" w:sz="0" w:color="auto"/>
            <w:left w:val="none" w:sz="0" w:color="auto"/>
            <w:right w:val="none" w:sz="0" w:color="auto"/>
            <w:insideH w:val="none" w:sz="0" w:color="auto"/>
            <w:insideV w:val="none" w:sz="0" w:color="auto"/>
          </w:tcBorders>
          <w:tcMar>
            <w:top w:w="55" w:type="dxa"/>
            <w:bottom w:w="55" w:type="dxa"/>
            <w:left w:w="0" w:type="dxa"/>
            <w:right w:w="0" w:type="dxa"/>
          </w:tcMar>
        </w:tcPr>
        <w:p>
          <w:pPr>
            <w:jc w:val="left"/>
          </w:pPr>
          <w:r>
            <w:rPr>
              <w:rFonts w:ascii="Inter" w:hAnsi="Inter" w:eastAsia="Inter"/>
              <w:b w:val="0"/>
              <w:i w:val="0"/>
              <w:color w:val="64748B"/>
              <w:sz w:val="13"/>
            </w:rPr>
            <w:t>© 2025 NovaOps  ·  Commercial Use License  ·  Bookkeeper Practice Launch System</w:t>
          </w:r>
        </w:p>
      </w:tc>
      <w:tc>
        <w:tcPr>
          <w:tcW w:type="dxa" w:w="4536"/>
          <w:tcBorders>
            <w:top w:val="single" w:sz="4" w:color="CBD5E1"/>
            <w:bottom w:val="none" w:sz="0" w:color="auto"/>
            <w:left w:val="none" w:sz="0" w:color="auto"/>
            <w:right w:val="none" w:sz="0" w:color="auto"/>
            <w:insideH w:val="none" w:sz="0" w:color="auto"/>
            <w:insideV w:val="none" w:sz="0" w:color="auto"/>
          </w:tcBorders>
          <w:tcMar>
            <w:top w:w="55" w:type="dxa"/>
            <w:bottom w:w="55" w:type="dxa"/>
            <w:left w:w="0" w:type="dxa"/>
            <w:right w:w="0" w:type="dxa"/>
          </w:tcMar>
        </w:tcPr>
        <w:p>
          <w:pPr>
            <w:jc w:val="right"/>
          </w:pPr>
          <w:r>
            <w:rPr>
              <w:rFonts w:ascii="Inter" w:hAnsi="Inter" w:eastAsia="Inter"/>
              <w:b w:val="0"/>
              <w:i w:val="0"/>
              <w:color w:val="64748B"/>
              <w:sz w:val="15"/>
            </w:rPr>
            <w:t xml:space="preserve">Page </w:t>
          </w:r>
          <w:r>
            <w:rPr>
              <w:rFonts w:ascii="Inter" w:hAnsi="Inter" w:eastAsia="Inter"/>
              <w:b/>
              <w:i w:val="0"/>
              <w:color w:val="0F766E"/>
              <w:sz w:val="15"/>
            </w:rPr>
            <w:fldChar w:fldCharType="begin"/>
            <w:instrText>PAGE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536"/>
      <w:gridCol w:w="4536"/>
    </w:tblGrid>
    <w:tr>
      <w:tc>
        <w:tcPr>
          <w:tcW w:type="dxa" w:w="4536"/>
          <w:tcMar>
            <w:top w:w="55" w:type="dxa"/>
            <w:bottom w:w="55" w:type="dxa"/>
            <w:left w:w="0" w:type="dxa"/>
            <w:right w:w="60" w:type="dxa"/>
          </w:tcMar>
          <w:tcBorders>
            <w:top w:val="none" w:sz="0" w:color="auto"/>
            <w:bottom w:val="single" w:sz="8" w:color="0F766E"/>
            <w:left w:val="none" w:sz="0" w:color="auto"/>
            <w:right w:val="none" w:sz="0" w:color="auto"/>
            <w:insideH w:val="none" w:sz="0" w:color="auto"/>
            <w:insideV w:val="none" w:sz="0" w:color="auto"/>
          </w:tcBorders>
        </w:tcPr>
        <w:p>
          <w:pPr>
            <w:jc w:val="left"/>
          </w:pPr>
          <w:r>
            <w:rPr>
              <w:rFonts w:ascii="Poppins" w:hAnsi="Poppins" w:eastAsia="Poppins"/>
              <w:b/>
              <w:i w:val="0"/>
              <w:color w:val="0F766E"/>
              <w:sz w:val="14"/>
            </w:rPr>
            <w:t>NOVAOPS</w:t>
          </w:r>
          <w:r>
            <w:rPr>
              <w:rFonts w:ascii="Inter" w:hAnsi="Inter" w:eastAsia="Inter"/>
              <w:b w:val="0"/>
              <w:i w:val="0"/>
              <w:color w:val="64748B"/>
              <w:sz w:val="13"/>
            </w:rPr>
            <w:t xml:space="preserve">  ·  Bookkeeper Practice Launch System  ·  v2.0</w:t>
          </w:r>
        </w:p>
      </w:tc>
      <w:tc>
        <w:tcPr>
          <w:tcW w:type="dxa" w:w="4536"/>
          <w:tcMar>
            <w:top w:w="55" w:type="dxa"/>
            <w:bottom w:w="55" w:type="dxa"/>
            <w:left w:w="60" w:type="dxa"/>
            <w:right w:w="0" w:type="dxa"/>
          </w:tcMar>
          <w:tcBorders>
            <w:top w:val="none" w:sz="0" w:color="auto"/>
            <w:bottom w:val="single" w:sz="8" w:color="0F766E"/>
            <w:left w:val="none" w:sz="0" w:color="auto"/>
            <w:right w:val="none" w:sz="0" w:color="auto"/>
            <w:insideH w:val="none" w:sz="0" w:color="auto"/>
            <w:insideV w:val="none" w:sz="0" w:color="auto"/>
          </w:tcBorders>
        </w:tcPr>
        <w:p>
          <w:pPr>
            <w:jc w:val="right"/>
          </w:pPr>
          <w:r>
            <w:rPr>
              <w:rFonts w:ascii="Inter" w:hAnsi="Inter" w:eastAsia="Inter"/>
              <w:b/>
              <w:i w:val="0"/>
              <w:color w:val="0F172A"/>
              <w:sz w:val="14"/>
            </w:rPr>
            <w:t>CLIENT INTAKE &amp; ONBOARDING PACK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