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518"/>
      </w:tblGrid>
      <w:tr>
        <w:tc>
          <w:tcPr>
            <w:tcW w:type="dxa" w:w="9518"/>
            <w:tcBorders>
              <w:top w:val="none" w:sz="0" w:color="auto"/>
              <w:bottom w:val="none" w:sz="0" w:color="auto"/>
              <w:left w:val="none" w:sz="0" w:color="auto"/>
              <w:right w:val="none" w:sz="0" w:color="auto"/>
              <w:insideH w:val="none" w:sz="0" w:color="auto"/>
              <w:insideV w:val="none" w:sz="0" w:color="auto"/>
            </w:tcBorders>
            <w:shd w:val="clear" w:color="auto" w:fill="0F172A"/>
            <w:tcMar>
              <w:top w:w="0" w:type="dxa"/>
              <w:bottom w:w="0" w:type="dxa"/>
              <w:left w:w="0" w:type="dxa"/>
              <w:right w:w="0" w:type="dxa"/>
            </w:tcMar>
            <w:vAlign w:val="top"/>
          </w:tcPr>
          <w:p>
            <w:pPr>
              <w:shd w:val="clear" w:color="auto" w:fill="0F766E"/>
              <w:spacing w:before="160" w:after="160" w:line="276" w:lineRule="auto"/>
              <w:ind w:left="400"/>
            </w:pPr>
            <w:r>
              <w:rPr>
                <w:rFonts w:ascii="Poppins" w:hAnsi="Poppins" w:eastAsia="Poppins"/>
                <w:b/>
                <w:i w:val="0"/>
                <w:color w:val="FFFFFF"/>
                <w:sz w:val="18"/>
              </w:rPr>
              <w:t>NOVAOPS</w:t>
            </w:r>
            <w:r>
              <w:rPr>
                <w:rFonts w:ascii="Inter" w:hAnsi="Inter" w:eastAsia="Inter"/>
                <w:b w:val="0"/>
                <w:i w:val="0"/>
                <w:color w:val="CCFBF1"/>
                <w:sz w:val="15"/>
              </w:rPr>
              <w:t xml:space="preserve">  ·  Bookkeeper Practice Launch System  ·  v2.0</w:t>
            </w:r>
          </w:p>
          <w:p>
            <w:pPr>
              <w:spacing w:before="1200" w:after="0" w:line="276" w:lineRule="auto"/>
            </w:pPr>
          </w:p>
          <w:p>
            <w:pPr>
              <w:spacing w:before="0" w:after="280" w:line="276" w:lineRule="auto"/>
              <w:ind w:left="400"/>
            </w:pPr>
            <w:r>
              <w:rPr>
                <w:rFonts w:ascii="Inter" w:hAnsi="Inter" w:eastAsia="Inter"/>
                <w:b/>
                <w:i w:val="0"/>
                <w:color w:val="0F766E"/>
                <w:sz w:val="15"/>
              </w:rPr>
              <w:t>04  —  OPERATIONS LIBRARY</w:t>
            </w:r>
          </w:p>
          <w:p>
            <w:pPr>
              <w:spacing w:before="0" w:after="1000" w:line="276" w:lineRule="auto"/>
              <w:ind w:left="400"/>
            </w:pPr>
            <w:r>
              <w:rPr>
                <w:rFonts w:ascii="Poppins" w:hAnsi="Poppins" w:eastAsia="Poppins"/>
                <w:b/>
                <w:i w:val="0"/>
                <w:color w:val="0F766E"/>
                <w:sz w:val="22"/>
              </w:rPr>
              <w:t>NOVAOPS</w:t>
            </w:r>
          </w:p>
          <w:p>
            <w:pPr>
              <w:spacing w:before="0" w:after="80" w:line="276" w:lineRule="auto"/>
              <w:ind w:left="400"/>
            </w:pPr>
            <w:r>
              <w:rPr>
                <w:rFonts w:ascii="Poppins" w:hAnsi="Poppins" w:eastAsia="Poppins"/>
                <w:b/>
                <w:i w:val="0"/>
                <w:color w:val="FFFFFF"/>
                <w:sz w:val="64"/>
              </w:rPr>
              <w:t>Annual Tax Prep</w:t>
            </w:r>
          </w:p>
          <w:p>
            <w:pPr>
              <w:spacing w:before="0" w:after="80" w:line="276" w:lineRule="auto"/>
              <w:ind w:left="400"/>
            </w:pPr>
            <w:r>
              <w:rPr>
                <w:rFonts w:ascii="Poppins" w:hAnsi="Poppins" w:eastAsia="Poppins"/>
                <w:b/>
                <w:i w:val="0"/>
                <w:color w:val="FFFFFF"/>
                <w:sz w:val="64"/>
              </w:rPr>
              <w:t>Checklist</w:t>
            </w:r>
          </w:p>
          <w:p>
            <w:pPr>
              <w:spacing w:before="160" w:after="560" w:line="276" w:lineRule="auto"/>
              <w:ind w:left="400"/>
            </w:pPr>
            <w:r>
              <w:rPr>
                <w:rFonts w:ascii="Inter" w:hAnsi="Inter" w:eastAsia="Inter"/>
                <w:b w:val="0"/>
                <w:i/>
                <w:color w:val="94A3B8"/>
                <w:sz w:val="24"/>
              </w:rPr>
              <w:t>A four-phase year-end guide for bookkeepers preparing the tax package</w:t>
            </w:r>
          </w:p>
          <w:p>
            <w:pPr>
              <w:pBdr>
                <w:bottom w:val="single" w:sz="12" w:space="1" w:color="0F766E"/>
              </w:pBdr>
              <w:spacing w:before="0" w:after="400" w:line="276" w:lineRule="auto"/>
              <w:ind w:left="400" w:right="400"/>
            </w:pPr>
          </w:p>
          <w:p>
            <w:pPr>
              <w:spacing w:before="0" w:after="80" w:line="276" w:lineRule="auto"/>
              <w:ind w:left="400"/>
            </w:pPr>
            <w:r>
              <w:rPr>
                <w:rFonts w:ascii="Inter" w:hAnsi="Inter" w:eastAsia="Inter"/>
                <w:b w:val="0"/>
                <w:i w:val="0"/>
                <w:color w:val="64748B"/>
                <w:sz w:val="15"/>
              </w:rPr>
              <w:t xml:space="preserve">DOCUMENT TYPE </w:t>
            </w:r>
            <w:r>
              <w:rPr>
                <w:rFonts w:ascii="Inter" w:hAnsi="Inter" w:eastAsia="Inter"/>
                <w:b/>
                <w:i w:val="0"/>
                <w:color w:val="FFFFFF"/>
                <w:sz w:val="15"/>
              </w:rPr>
              <w:t>Operational Checklist — Internal Use</w:t>
            </w:r>
          </w:p>
          <w:p>
            <w:pPr>
              <w:spacing w:before="0" w:after="80" w:line="276" w:lineRule="auto"/>
              <w:ind w:left="400"/>
            </w:pPr>
            <w:r>
              <w:rPr>
                <w:rFonts w:ascii="Inter" w:hAnsi="Inter" w:eastAsia="Inter"/>
                <w:b w:val="0"/>
                <w:i w:val="0"/>
                <w:color w:val="64748B"/>
                <w:sz w:val="15"/>
              </w:rPr>
              <w:t xml:space="preserve">PHASES        </w:t>
            </w:r>
            <w:r>
              <w:rPr>
                <w:rFonts w:ascii="Inter" w:hAnsi="Inter" w:eastAsia="Inter"/>
                <w:b/>
                <w:i w:val="0"/>
                <w:color w:val="FFFFFF"/>
                <w:sz w:val="15"/>
              </w:rPr>
              <w:t>4  ·  Close · Adjust · Collect · Assemble</w:t>
            </w:r>
          </w:p>
          <w:p>
            <w:pPr>
              <w:spacing w:before="0" w:after="80" w:line="276" w:lineRule="auto"/>
              <w:ind w:left="400"/>
            </w:pPr>
            <w:r>
              <w:rPr>
                <w:rFonts w:ascii="Inter" w:hAnsi="Inter" w:eastAsia="Inter"/>
                <w:b w:val="0"/>
                <w:i w:val="0"/>
                <w:color w:val="64748B"/>
                <w:sz w:val="15"/>
              </w:rPr>
              <w:t xml:space="preserve">LAST UPDATED  </w:t>
            </w:r>
            <w:r>
              <w:rPr>
                <w:rFonts w:ascii="Inter" w:hAnsi="Inter" w:eastAsia="Inter"/>
                <w:b/>
                <w:i w:val="0"/>
                <w:color w:val="FFFFFF"/>
                <w:sz w:val="15"/>
              </w:rPr>
              <w:t>2025</w:t>
            </w:r>
          </w:p>
          <w:p>
            <w:pPr>
              <w:spacing w:before="800" w:after="0" w:line="276" w:lineRule="auto"/>
            </w:pPr>
          </w:p>
          <w:p>
            <w:pPr>
              <w:shd w:val="clear" w:color="auto" w:fill="D97706"/>
              <w:spacing w:before="160" w:after="160" w:line="276" w:lineRule="auto"/>
              <w:ind w:left="400"/>
            </w:pPr>
            <w:r>
              <w:rPr>
                <w:rFonts w:ascii="Poppins" w:hAnsi="Poppins" w:eastAsia="Poppins"/>
                <w:b/>
                <w:i w:val="0"/>
                <w:color w:val="FFFFFF"/>
                <w:sz w:val="15"/>
              </w:rPr>
              <w:t>VERSION 2.0  ·  PREMIUM CONSULTING EDITION  ·  © 2025 NOVAOPS</w:t>
            </w:r>
          </w:p>
        </w:tc>
      </w:tr>
    </w:tbl>
    <w:p>
      <w:r>
        <w:br w:type="page"/>
      </w:r>
    </w:p>
    <w:tbl>
      <w:tblPr>
        <w:tblW w:type="auto" w:w="0"/>
        <w:jc w:val="center"/>
        <w:tblLook w:firstColumn="1" w:firstRow="1" w:lastColumn="0" w:lastRow="0" w:noHBand="0" w:noVBand="1" w:val="04A0"/>
      </w:tblPr>
      <w:tblGrid>
        <w:gridCol w:w="9518"/>
      </w:tblGrid>
      <w:tr>
        <w:tc>
          <w:tcPr>
            <w:tcW w:type="dxa" w:w="9518"/>
            <w:shd w:val="clear" w:color="auto" w:fill="F1F5F9"/>
            <w:tcMar>
              <w:top w:w="110" w:type="dxa"/>
              <w:bottom w:w="110" w:type="dxa"/>
              <w:left w:w="170" w:type="dxa"/>
              <w:right w:w="170" w:type="dxa"/>
            </w:tcMar>
            <w:tcBorders>
              <w:top w:val="single" w:sz="4" w:color="CBD5E1"/>
              <w:bottom w:val="single" w:sz="4" w:color="CBD5E1"/>
              <w:left w:val="single" w:sz="16" w:color="64748B"/>
              <w:right w:val="single" w:sz="4" w:color="CBD5E1"/>
              <w:insideH w:val="none" w:sz="0" w:color="auto"/>
              <w:insideV w:val="none" w:sz="0" w:color="auto"/>
            </w:tcBorders>
          </w:tcPr>
          <w:p>
            <w:pPr>
              <w:spacing w:before="0" w:after="100" w:line="276" w:lineRule="auto"/>
            </w:pPr>
            <w:r>
              <w:rPr>
                <w:rFonts w:ascii="Poppins" w:hAnsi="Poppins" w:eastAsia="Poppins"/>
                <w:b/>
                <w:i w:val="0"/>
                <w:color w:val="64748B"/>
                <w:sz w:val="14"/>
              </w:rPr>
              <w:t>SCOPE NOTICE</w:t>
            </w:r>
          </w:p>
          <w:p>
            <w:pPr>
              <w:spacing w:before="0" w:after="0" w:line="276" w:lineRule="auto"/>
            </w:pPr>
            <w:r>
              <w:rPr>
                <w:rFonts w:ascii="Calibri" w:hAnsi="Calibri" w:eastAsia="Calibri"/>
                <w:b w:val="0"/>
                <w:i w:val="0"/>
                <w:color w:val="0F172A"/>
                <w:sz w:val="18"/>
              </w:rPr>
              <w:t>This checklist supports year-end bookkeeping package preparation only. It is not tax advice. The tax preparer is responsible for all tax judgments and filings.</w:t>
            </w:r>
          </w:p>
        </w:tc>
      </w:tr>
    </w:tbl>
    <w:p>
      <w:pPr>
        <w:spacing w:before="0" w:after="120" w:line="276" w:lineRule="auto"/>
      </w:pPr>
    </w:p>
    <w:tbl>
      <w:tblPr>
        <w:tblW w:type="auto" w:w="0"/>
        <w:jc w:val="center"/>
        <w:tblLook w:firstColumn="1" w:firstRow="1" w:lastColumn="0" w:lastRow="0" w:noHBand="0" w:noVBand="1" w:val="04A0"/>
      </w:tblPr>
      <w:tblGrid>
        <w:gridCol w:w="2379"/>
        <w:gridCol w:w="2379"/>
        <w:gridCol w:w="2379"/>
        <w:gridCol w:w="2379"/>
      </w:tblGrid>
      <w:tr>
        <w:trPr>
          <w:trHeight w:val="260" w:hRule="atLeast"/>
        </w:trPr>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60" w:type="dxa"/>
              <w:left w:w="120" w:type="dxa"/>
              <w:right w:w="120" w:type="dxa"/>
            </w:tcMar>
          </w:tcPr>
          <w:p>
            <w:pPr>
              <w:jc w:val="center"/>
            </w:pPr>
            <w:r>
              <w:rPr>
                <w:rFonts w:ascii="Inter" w:hAnsi="Inter" w:eastAsia="Inter"/>
                <w:b/>
                <w:i w:val="0"/>
                <w:color w:val="CCFBF1"/>
                <w:sz w:val="13"/>
              </w:rPr>
              <w:t>PHASES</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60" w:type="dxa"/>
              <w:left w:w="120" w:type="dxa"/>
              <w:right w:w="120" w:type="dxa"/>
            </w:tcMar>
          </w:tcPr>
          <w:p>
            <w:pPr>
              <w:jc w:val="center"/>
            </w:pPr>
            <w:r>
              <w:rPr>
                <w:rFonts w:ascii="Inter" w:hAnsi="Inter" w:eastAsia="Inter"/>
                <w:b/>
                <w:i w:val="0"/>
                <w:color w:val="CCFBF1"/>
                <w:sz w:val="13"/>
              </w:rPr>
              <w:t>CATEGORIES</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60" w:type="dxa"/>
              <w:left w:w="120" w:type="dxa"/>
              <w:right w:w="120" w:type="dxa"/>
            </w:tcMar>
          </w:tcPr>
          <w:p>
            <w:pPr>
              <w:jc w:val="center"/>
            </w:pPr>
            <w:r>
              <w:rPr>
                <w:rFonts w:ascii="Inter" w:hAnsi="Inter" w:eastAsia="Inter"/>
                <w:b/>
                <w:i w:val="0"/>
                <w:color w:val="CCFBF1"/>
                <w:sz w:val="13"/>
              </w:rPr>
              <w:t>QC STEPS</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60" w:type="dxa"/>
              <w:left w:w="120" w:type="dxa"/>
              <w:right w:w="120" w:type="dxa"/>
            </w:tcMar>
          </w:tcPr>
          <w:p>
            <w:pPr>
              <w:jc w:val="center"/>
            </w:pPr>
            <w:r>
              <w:rPr>
                <w:rFonts w:ascii="Inter" w:hAnsi="Inter" w:eastAsia="Inter"/>
                <w:b/>
                <w:i w:val="0"/>
                <w:color w:val="CCFBF1"/>
                <w:sz w:val="13"/>
              </w:rPr>
              <w:t>DELIVERABLES</w:t>
            </w:r>
          </w:p>
        </w:tc>
      </w:tr>
      <w:tr>
        <w:trPr>
          <w:trHeight w:val="640" w:hRule="atLeast"/>
        </w:trPr>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172A"/>
            <w:tcMar>
              <w:top w:w="60" w:type="dxa"/>
              <w:bottom w:w="60" w:type="dxa"/>
              <w:left w:w="120" w:type="dxa"/>
              <w:right w:w="120" w:type="dxa"/>
            </w:tcMar>
          </w:tcPr>
          <w:p>
            <w:pPr>
              <w:jc w:val="center"/>
            </w:pPr>
            <w:r>
              <w:rPr>
                <w:rFonts w:ascii="Poppins" w:hAnsi="Poppins" w:eastAsia="Poppins"/>
                <w:b/>
                <w:i w:val="0"/>
                <w:color w:val="FFFFFF"/>
                <w:sz w:val="44"/>
              </w:rPr>
              <w:t>4</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172A"/>
            <w:tcMar>
              <w:top w:w="60" w:type="dxa"/>
              <w:bottom w:w="60" w:type="dxa"/>
              <w:left w:w="120" w:type="dxa"/>
              <w:right w:w="120" w:type="dxa"/>
            </w:tcMar>
          </w:tcPr>
          <w:p>
            <w:pPr>
              <w:jc w:val="center"/>
            </w:pPr>
            <w:r>
              <w:rPr>
                <w:rFonts w:ascii="Poppins" w:hAnsi="Poppins" w:eastAsia="Poppins"/>
                <w:b/>
                <w:i w:val="0"/>
                <w:color w:val="FFFFFF"/>
                <w:sz w:val="44"/>
              </w:rPr>
              <w:t>8</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172A"/>
            <w:tcMar>
              <w:top w:w="60" w:type="dxa"/>
              <w:bottom w:w="60" w:type="dxa"/>
              <w:left w:w="120" w:type="dxa"/>
              <w:right w:w="120" w:type="dxa"/>
            </w:tcMar>
          </w:tcPr>
          <w:p>
            <w:pPr>
              <w:jc w:val="center"/>
            </w:pPr>
            <w:r>
              <w:rPr>
                <w:rFonts w:ascii="Poppins" w:hAnsi="Poppins" w:eastAsia="Poppins"/>
                <w:b/>
                <w:i w:val="0"/>
                <w:color w:val="FFFFFF"/>
                <w:sz w:val="44"/>
              </w:rPr>
              <w:t>8+</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172A"/>
            <w:tcMar>
              <w:top w:w="60" w:type="dxa"/>
              <w:bottom w:w="60" w:type="dxa"/>
              <w:left w:w="120" w:type="dxa"/>
              <w:right w:w="120" w:type="dxa"/>
            </w:tcMar>
          </w:tcPr>
          <w:p>
            <w:pPr>
              <w:jc w:val="center"/>
            </w:pPr>
            <w:r>
              <w:rPr>
                <w:rFonts w:ascii="Poppins" w:hAnsi="Poppins" w:eastAsia="Poppins"/>
                <w:b/>
                <w:i w:val="0"/>
                <w:color w:val="FFFFFF"/>
                <w:sz w:val="44"/>
              </w:rPr>
              <w:t>8</w:t>
            </w:r>
          </w:p>
        </w:tc>
      </w:tr>
      <w:tr>
        <w:trPr>
          <w:trHeight w:val="260" w:hRule="atLeast"/>
        </w:trPr>
        <w:tc>
          <w:tcPr>
            <w:tcW w:type="dxa" w:w="2379"/>
            <w:tcBorders>
              <w:top w:val="none" w:sz="0" w:color="auto"/>
              <w:bottom w:val="none" w:sz="0" w:color="auto"/>
              <w:left w:val="none" w:sz="0" w:color="auto"/>
              <w:right w:val="none" w:sz="0" w:color="auto"/>
              <w:insideH w:val="none" w:sz="0" w:color="auto"/>
              <w:insideV w:val="none" w:sz="0" w:color="auto"/>
            </w:tcBorders>
            <w:shd w:val="clear" w:color="auto" w:fill="F8FAFC"/>
            <w:tcMar>
              <w:top w:w="55" w:type="dxa"/>
              <w:bottom w:w="70" w:type="dxa"/>
              <w:left w:w="120" w:type="dxa"/>
              <w:right w:w="120" w:type="dxa"/>
            </w:tcMar>
          </w:tcPr>
          <w:p>
            <w:pPr>
              <w:jc w:val="center"/>
            </w:pPr>
            <w:r>
              <w:rPr>
                <w:rFonts w:ascii="Calibri" w:hAnsi="Calibri" w:eastAsia="Calibri"/>
                <w:b w:val="0"/>
                <w:i/>
                <w:color w:val="64748B"/>
                <w:sz w:val="15"/>
              </w:rPr>
              <w:t>structured sequence</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F8FAFC"/>
            <w:tcMar>
              <w:top w:w="55" w:type="dxa"/>
              <w:bottom w:w="70" w:type="dxa"/>
              <w:left w:w="120" w:type="dxa"/>
              <w:right w:w="120" w:type="dxa"/>
            </w:tcMar>
          </w:tcPr>
          <w:p>
            <w:pPr>
              <w:jc w:val="center"/>
            </w:pPr>
            <w:r>
              <w:rPr>
                <w:rFonts w:ascii="Calibri" w:hAnsi="Calibri" w:eastAsia="Calibri"/>
                <w:b w:val="0"/>
                <w:i/>
                <w:color w:val="64748B"/>
                <w:sz w:val="15"/>
              </w:rPr>
              <w:t>document collection</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F8FAFC"/>
            <w:tcMar>
              <w:top w:w="55" w:type="dxa"/>
              <w:bottom w:w="70" w:type="dxa"/>
              <w:left w:w="120" w:type="dxa"/>
              <w:right w:w="120" w:type="dxa"/>
            </w:tcMar>
          </w:tcPr>
          <w:p>
            <w:pPr>
              <w:jc w:val="center"/>
            </w:pPr>
            <w:r>
              <w:rPr>
                <w:rFonts w:ascii="Calibri" w:hAnsi="Calibri" w:eastAsia="Calibri"/>
                <w:b w:val="0"/>
                <w:i/>
                <w:color w:val="64748B"/>
                <w:sz w:val="15"/>
              </w:rPr>
              <w:t>before delivery</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F8FAFC"/>
            <w:tcMar>
              <w:top w:w="55" w:type="dxa"/>
              <w:bottom w:w="70" w:type="dxa"/>
              <w:left w:w="120" w:type="dxa"/>
              <w:right w:w="120" w:type="dxa"/>
            </w:tcMar>
          </w:tcPr>
          <w:p>
            <w:pPr>
              <w:jc w:val="center"/>
            </w:pPr>
            <w:r>
              <w:rPr>
                <w:rFonts w:ascii="Calibri" w:hAnsi="Calibri" w:eastAsia="Calibri"/>
                <w:b w:val="0"/>
                <w:i/>
                <w:color w:val="64748B"/>
                <w:sz w:val="15"/>
              </w:rPr>
              <w:t>report package items</w:t>
            </w:r>
          </w:p>
        </w:tc>
      </w:tr>
    </w:tbl>
    <w:p>
      <w:pPr>
        <w:spacing w:before="0" w:after="200" w:line="276" w:lineRule="auto"/>
      </w:pPr>
    </w:p>
    <w:tbl>
      <w:tblPr>
        <w:tblW w:type="auto" w:w="0"/>
        <w:jc w:val="center"/>
        <w:tblLook w:firstColumn="1" w:firstRow="1" w:lastColumn="0" w:lastRow="0" w:noHBand="0" w:noVBand="1" w:val="04A0"/>
      </w:tblPr>
      <w:tblGrid>
        <w:gridCol w:w="1360"/>
        <w:gridCol w:w="1360"/>
        <w:gridCol w:w="1360"/>
        <w:gridCol w:w="1360"/>
        <w:gridCol w:w="1360"/>
        <w:gridCol w:w="1360"/>
        <w:gridCol w:w="1360"/>
      </w:tblGrid>
      <w:tr>
        <w:trPr>
          <w:trHeight w:val="480" w:hRule="atLeast"/>
        </w:trPr>
        <w:tc>
          <w:tcPr>
            <w:tcW w:type="dxa" w:w="1360"/>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55" w:type="dxa"/>
              <w:left w:w="100" w:type="dxa"/>
              <w:right w:w="100" w:type="dxa"/>
            </w:tcMar>
          </w:tcPr>
          <w:p>
            <w:pPr>
              <w:jc w:val="center"/>
            </w:pPr>
            <w:r>
              <w:rPr>
                <w:rFonts w:ascii="Poppins" w:hAnsi="Poppins" w:eastAsia="Poppins"/>
                <w:b/>
                <w:i w:val="0"/>
                <w:color w:val="FFFFFF"/>
                <w:sz w:val="28"/>
              </w:rPr>
              <w:t>01</w:t>
            </w:r>
          </w:p>
        </w:tc>
        <w:tc>
          <w:tcPr>
            <w:tcW w:type="dxa" w:w="1360"/>
            <w:tcBorders>
              <w:top w:val="none" w:sz="0" w:color="auto"/>
              <w:bottom w:val="none" w:sz="0" w:color="auto"/>
              <w:left w:val="none" w:sz="0" w:color="auto"/>
              <w:right w:val="none" w:sz="0" w:color="auto"/>
              <w:insideH w:val="none" w:sz="0" w:color="auto"/>
              <w:insideV w:val="none" w:sz="0" w:color="auto"/>
            </w:tcBorders>
            <w:tcMar>
              <w:top w:w="80" w:type="dxa"/>
              <w:bottom w:w="55" w:type="dxa"/>
              <w:left w:w="30" w:type="dxa"/>
              <w:right w:w="30" w:type="dxa"/>
            </w:tcMar>
          </w:tcPr>
          <w:p>
            <w:pPr>
              <w:jc w:val="center"/>
            </w:pPr>
            <w:r>
              <w:rPr>
                <w:rFonts w:ascii="Poppins" w:hAnsi="Poppins" w:eastAsia="Poppins"/>
                <w:b/>
                <w:i w:val="0"/>
                <w:color w:val="0F766E"/>
                <w:sz w:val="28"/>
              </w:rPr>
              <w:t>→</w:t>
            </w:r>
          </w:p>
        </w:tc>
        <w:tc>
          <w:tcPr>
            <w:tcW w:type="dxa" w:w="1360"/>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55" w:type="dxa"/>
              <w:left w:w="100" w:type="dxa"/>
              <w:right w:w="100" w:type="dxa"/>
            </w:tcMar>
          </w:tcPr>
          <w:p>
            <w:pPr>
              <w:jc w:val="center"/>
            </w:pPr>
            <w:r>
              <w:rPr>
                <w:rFonts w:ascii="Poppins" w:hAnsi="Poppins" w:eastAsia="Poppins"/>
                <w:b/>
                <w:i w:val="0"/>
                <w:color w:val="FFFFFF"/>
                <w:sz w:val="28"/>
              </w:rPr>
              <w:t>02</w:t>
            </w:r>
          </w:p>
        </w:tc>
        <w:tc>
          <w:tcPr>
            <w:tcW w:type="dxa" w:w="1360"/>
            <w:tcBorders>
              <w:top w:val="none" w:sz="0" w:color="auto"/>
              <w:bottom w:val="none" w:sz="0" w:color="auto"/>
              <w:left w:val="none" w:sz="0" w:color="auto"/>
              <w:right w:val="none" w:sz="0" w:color="auto"/>
              <w:insideH w:val="none" w:sz="0" w:color="auto"/>
              <w:insideV w:val="none" w:sz="0" w:color="auto"/>
            </w:tcBorders>
            <w:tcMar>
              <w:top w:w="80" w:type="dxa"/>
              <w:bottom w:w="55" w:type="dxa"/>
              <w:left w:w="30" w:type="dxa"/>
              <w:right w:w="30" w:type="dxa"/>
            </w:tcMar>
          </w:tcPr>
          <w:p>
            <w:pPr>
              <w:jc w:val="center"/>
            </w:pPr>
            <w:r>
              <w:rPr>
                <w:rFonts w:ascii="Poppins" w:hAnsi="Poppins" w:eastAsia="Poppins"/>
                <w:b/>
                <w:i w:val="0"/>
                <w:color w:val="0F766E"/>
                <w:sz w:val="28"/>
              </w:rPr>
              <w:t>→</w:t>
            </w:r>
          </w:p>
        </w:tc>
        <w:tc>
          <w:tcPr>
            <w:tcW w:type="dxa" w:w="1360"/>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55" w:type="dxa"/>
              <w:left w:w="100" w:type="dxa"/>
              <w:right w:w="100" w:type="dxa"/>
            </w:tcMar>
          </w:tcPr>
          <w:p>
            <w:pPr>
              <w:jc w:val="center"/>
            </w:pPr>
            <w:r>
              <w:rPr>
                <w:rFonts w:ascii="Poppins" w:hAnsi="Poppins" w:eastAsia="Poppins"/>
                <w:b/>
                <w:i w:val="0"/>
                <w:color w:val="FFFFFF"/>
                <w:sz w:val="28"/>
              </w:rPr>
              <w:t>03</w:t>
            </w:r>
          </w:p>
        </w:tc>
        <w:tc>
          <w:tcPr>
            <w:tcW w:type="dxa" w:w="1360"/>
            <w:tcBorders>
              <w:top w:val="none" w:sz="0" w:color="auto"/>
              <w:bottom w:val="none" w:sz="0" w:color="auto"/>
              <w:left w:val="none" w:sz="0" w:color="auto"/>
              <w:right w:val="none" w:sz="0" w:color="auto"/>
              <w:insideH w:val="none" w:sz="0" w:color="auto"/>
              <w:insideV w:val="none" w:sz="0" w:color="auto"/>
            </w:tcBorders>
            <w:tcMar>
              <w:top w:w="80" w:type="dxa"/>
              <w:bottom w:w="55" w:type="dxa"/>
              <w:left w:w="30" w:type="dxa"/>
              <w:right w:w="30" w:type="dxa"/>
            </w:tcMar>
          </w:tcPr>
          <w:p>
            <w:pPr>
              <w:jc w:val="center"/>
            </w:pPr>
            <w:r>
              <w:rPr>
                <w:rFonts w:ascii="Poppins" w:hAnsi="Poppins" w:eastAsia="Poppins"/>
                <w:b/>
                <w:i w:val="0"/>
                <w:color w:val="0F766E"/>
                <w:sz w:val="28"/>
              </w:rPr>
              <w:t>→</w:t>
            </w:r>
          </w:p>
        </w:tc>
        <w:tc>
          <w:tcPr>
            <w:tcW w:type="dxa" w:w="1360"/>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55" w:type="dxa"/>
              <w:left w:w="100" w:type="dxa"/>
              <w:right w:w="100" w:type="dxa"/>
            </w:tcMar>
          </w:tcPr>
          <w:p>
            <w:pPr>
              <w:jc w:val="center"/>
            </w:pPr>
            <w:r>
              <w:rPr>
                <w:rFonts w:ascii="Poppins" w:hAnsi="Poppins" w:eastAsia="Poppins"/>
                <w:b/>
                <w:i w:val="0"/>
                <w:color w:val="FFFFFF"/>
                <w:sz w:val="28"/>
              </w:rPr>
              <w:t>04</w:t>
            </w:r>
          </w:p>
        </w:tc>
      </w:tr>
      <w:tr>
        <w:trPr>
          <w:trHeight w:val="560" w:hRule="atLeast"/>
        </w:trPr>
        <w:tc>
          <w:tcPr>
            <w:tcW w:type="dxa" w:w="1360"/>
            <w:shd w:val="clear" w:color="auto" w:fill="F8FAFC"/>
            <w:tcBorders>
              <w:top w:val="single" w:sz="8" w:color="0F766E"/>
              <w:bottom w:val="none" w:sz="0" w:color="auto"/>
              <w:left w:val="none" w:sz="0" w:color="auto"/>
              <w:right w:val="none" w:sz="0" w:color="auto"/>
              <w:insideH w:val="none" w:sz="0" w:color="auto"/>
              <w:insideV w:val="none" w:sz="0" w:color="auto"/>
            </w:tcBorders>
            <w:tcMar>
              <w:top w:w="80" w:type="dxa"/>
              <w:bottom w:w="80" w:type="dxa"/>
              <w:left w:w="80" w:type="dxa"/>
              <w:right w:w="80" w:type="dxa"/>
            </w:tcMar>
          </w:tcPr>
          <w:p>
            <w:pPr>
              <w:jc w:val="center"/>
            </w:pPr>
            <w:r>
              <w:rPr>
                <w:rFonts w:ascii="Poppins" w:hAnsi="Poppins" w:eastAsia="Poppins"/>
                <w:b/>
                <w:i w:val="0"/>
                <w:color w:val="0F172A"/>
                <w:sz w:val="16"/>
              </w:rPr>
              <w:t>Phase 1</w:t>
            </w:r>
          </w:p>
          <w:p>
            <w:pPr>
              <w:jc w:val="center"/>
            </w:pPr>
            <w:r>
              <w:rPr>
                <w:rFonts w:ascii="Calibri" w:hAnsi="Calibri" w:eastAsia="Calibri"/>
                <w:b w:val="0"/>
                <w:i/>
                <w:color w:val="64748B"/>
                <w:sz w:val="15"/>
              </w:rPr>
              <w:t>Final Close</w:t>
            </w:r>
          </w:p>
        </w:tc>
        <w:tc>
          <w:tcPr>
            <w:tcW w:type="dxa" w:w="1360"/>
            <w:tcBorders>
              <w:top w:val="none" w:sz="0" w:color="auto"/>
              <w:bottom w:val="none" w:sz="0" w:color="auto"/>
              <w:left w:val="none" w:sz="0" w:color="auto"/>
              <w:right w:val="none" w:sz="0" w:color="auto"/>
              <w:insideH w:val="none" w:sz="0" w:color="auto"/>
              <w:insideV w:val="none" w:sz="0" w:color="auto"/>
            </w:tcBorders>
            <w:tcMar>
              <w:top w:w="80" w:type="dxa"/>
              <w:bottom w:w="80" w:type="dxa"/>
              <w:left w:w="30" w:type="dxa"/>
              <w:right w:w="30" w:type="dxa"/>
            </w:tcMar>
          </w:tcPr>
          <w:p/>
        </w:tc>
        <w:tc>
          <w:tcPr>
            <w:tcW w:type="dxa" w:w="1360"/>
            <w:shd w:val="clear" w:color="auto" w:fill="F8FAFC"/>
            <w:tcBorders>
              <w:top w:val="single" w:sz="8" w:color="0F766E"/>
              <w:bottom w:val="none" w:sz="0" w:color="auto"/>
              <w:left w:val="none" w:sz="0" w:color="auto"/>
              <w:right w:val="none" w:sz="0" w:color="auto"/>
              <w:insideH w:val="none" w:sz="0" w:color="auto"/>
              <w:insideV w:val="none" w:sz="0" w:color="auto"/>
            </w:tcBorders>
            <w:tcMar>
              <w:top w:w="80" w:type="dxa"/>
              <w:bottom w:w="80" w:type="dxa"/>
              <w:left w:w="80" w:type="dxa"/>
              <w:right w:w="80" w:type="dxa"/>
            </w:tcMar>
          </w:tcPr>
          <w:p>
            <w:pPr>
              <w:jc w:val="center"/>
            </w:pPr>
            <w:r>
              <w:rPr>
                <w:rFonts w:ascii="Poppins" w:hAnsi="Poppins" w:eastAsia="Poppins"/>
                <w:b/>
                <w:i w:val="0"/>
                <w:color w:val="0F172A"/>
                <w:sz w:val="16"/>
              </w:rPr>
              <w:t>Phase 2</w:t>
            </w:r>
          </w:p>
          <w:p>
            <w:pPr>
              <w:jc w:val="center"/>
            </w:pPr>
            <w:r>
              <w:rPr>
                <w:rFonts w:ascii="Calibri" w:hAnsi="Calibri" w:eastAsia="Calibri"/>
                <w:b w:val="0"/>
                <w:i/>
                <w:color w:val="64748B"/>
                <w:sz w:val="15"/>
              </w:rPr>
              <w:t>Adjustments</w:t>
            </w:r>
          </w:p>
        </w:tc>
        <w:tc>
          <w:tcPr>
            <w:tcW w:type="dxa" w:w="1360"/>
            <w:tcBorders>
              <w:top w:val="none" w:sz="0" w:color="auto"/>
              <w:bottom w:val="none" w:sz="0" w:color="auto"/>
              <w:left w:val="none" w:sz="0" w:color="auto"/>
              <w:right w:val="none" w:sz="0" w:color="auto"/>
              <w:insideH w:val="none" w:sz="0" w:color="auto"/>
              <w:insideV w:val="none" w:sz="0" w:color="auto"/>
            </w:tcBorders>
            <w:tcMar>
              <w:top w:w="80" w:type="dxa"/>
              <w:bottom w:w="80" w:type="dxa"/>
              <w:left w:w="30" w:type="dxa"/>
              <w:right w:w="30" w:type="dxa"/>
            </w:tcMar>
          </w:tcPr>
          <w:p/>
        </w:tc>
        <w:tc>
          <w:tcPr>
            <w:tcW w:type="dxa" w:w="1360"/>
            <w:shd w:val="clear" w:color="auto" w:fill="F8FAFC"/>
            <w:tcBorders>
              <w:top w:val="single" w:sz="8" w:color="0F766E"/>
              <w:bottom w:val="none" w:sz="0" w:color="auto"/>
              <w:left w:val="none" w:sz="0" w:color="auto"/>
              <w:right w:val="none" w:sz="0" w:color="auto"/>
              <w:insideH w:val="none" w:sz="0" w:color="auto"/>
              <w:insideV w:val="none" w:sz="0" w:color="auto"/>
            </w:tcBorders>
            <w:tcMar>
              <w:top w:w="80" w:type="dxa"/>
              <w:bottom w:w="80" w:type="dxa"/>
              <w:left w:w="80" w:type="dxa"/>
              <w:right w:w="80" w:type="dxa"/>
            </w:tcMar>
          </w:tcPr>
          <w:p>
            <w:pPr>
              <w:jc w:val="center"/>
            </w:pPr>
            <w:r>
              <w:rPr>
                <w:rFonts w:ascii="Poppins" w:hAnsi="Poppins" w:eastAsia="Poppins"/>
                <w:b/>
                <w:i w:val="0"/>
                <w:color w:val="0F172A"/>
                <w:sz w:val="16"/>
              </w:rPr>
              <w:t>Phase 3</w:t>
            </w:r>
          </w:p>
          <w:p>
            <w:pPr>
              <w:jc w:val="center"/>
            </w:pPr>
            <w:r>
              <w:rPr>
                <w:rFonts w:ascii="Calibri" w:hAnsi="Calibri" w:eastAsia="Calibri"/>
                <w:b w:val="0"/>
                <w:i/>
                <w:color w:val="64748B"/>
                <w:sz w:val="15"/>
              </w:rPr>
              <w:t>Doc Collection</w:t>
            </w:r>
          </w:p>
        </w:tc>
        <w:tc>
          <w:tcPr>
            <w:tcW w:type="dxa" w:w="1360"/>
            <w:tcBorders>
              <w:top w:val="none" w:sz="0" w:color="auto"/>
              <w:bottom w:val="none" w:sz="0" w:color="auto"/>
              <w:left w:val="none" w:sz="0" w:color="auto"/>
              <w:right w:val="none" w:sz="0" w:color="auto"/>
              <w:insideH w:val="none" w:sz="0" w:color="auto"/>
              <w:insideV w:val="none" w:sz="0" w:color="auto"/>
            </w:tcBorders>
            <w:tcMar>
              <w:top w:w="80" w:type="dxa"/>
              <w:bottom w:w="80" w:type="dxa"/>
              <w:left w:w="30" w:type="dxa"/>
              <w:right w:w="30" w:type="dxa"/>
            </w:tcMar>
          </w:tcPr>
          <w:p/>
        </w:tc>
        <w:tc>
          <w:tcPr>
            <w:tcW w:type="dxa" w:w="1360"/>
            <w:shd w:val="clear" w:color="auto" w:fill="F8FAFC"/>
            <w:tcBorders>
              <w:top w:val="single" w:sz="8" w:color="0F766E"/>
              <w:bottom w:val="none" w:sz="0" w:color="auto"/>
              <w:left w:val="none" w:sz="0" w:color="auto"/>
              <w:right w:val="none" w:sz="0" w:color="auto"/>
              <w:insideH w:val="none" w:sz="0" w:color="auto"/>
              <w:insideV w:val="none" w:sz="0" w:color="auto"/>
            </w:tcBorders>
            <w:tcMar>
              <w:top w:w="80" w:type="dxa"/>
              <w:bottom w:w="80" w:type="dxa"/>
              <w:left w:w="80" w:type="dxa"/>
              <w:right w:w="80" w:type="dxa"/>
            </w:tcMar>
          </w:tcPr>
          <w:p>
            <w:pPr>
              <w:jc w:val="center"/>
            </w:pPr>
            <w:r>
              <w:rPr>
                <w:rFonts w:ascii="Poppins" w:hAnsi="Poppins" w:eastAsia="Poppins"/>
                <w:b/>
                <w:i w:val="0"/>
                <w:color w:val="0F172A"/>
                <w:sz w:val="16"/>
              </w:rPr>
              <w:t>Phase 4</w:t>
            </w:r>
          </w:p>
          <w:p>
            <w:pPr>
              <w:jc w:val="center"/>
            </w:pPr>
            <w:r>
              <w:rPr>
                <w:rFonts w:ascii="Calibri" w:hAnsi="Calibri" w:eastAsia="Calibri"/>
                <w:b w:val="0"/>
                <w:i/>
                <w:color w:val="64748B"/>
                <w:sz w:val="15"/>
              </w:rPr>
              <w:t>Package Assembly</w:t>
            </w:r>
          </w:p>
        </w:tc>
      </w:tr>
    </w:tbl>
    <w:p>
      <w:pPr>
        <w:spacing w:before="0" w:after="200" w:line="276" w:lineRule="auto"/>
      </w:pPr>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00</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ENGAGEMENT DETAILS</w:t>
            </w:r>
          </w:p>
        </w:tc>
      </w:tr>
    </w:tbl>
    <w:p>
      <w:pPr>
        <w:spacing w:before="0" w:after="120" w:line="276" w:lineRule="auto"/>
      </w:pPr>
    </w:p>
    <w:tbl>
      <w:tblPr>
        <w:tblStyle w:val="TableGrid"/>
        <w:tblW w:type="auto" w:w="0"/>
        <w:jc w:val="center"/>
        <w:tblLook w:firstColumn="1" w:firstRow="1" w:lastColumn="0" w:lastRow="0" w:noHBand="0" w:noVBand="1" w:val="04A0"/>
      </w:tblPr>
      <w:tblGrid>
        <w:gridCol w:w="4759"/>
        <w:gridCol w:w="4759"/>
      </w:tblGrid>
      <w:tr>
        <w:trPr>
          <w:trHeight w:val="400" w:hRule="atLeast"/>
        </w:trPr>
        <w:tc>
          <w:tcPr>
            <w:tcW w:type="dxa" w:w="3118"/>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Field</w:t>
            </w:r>
          </w:p>
        </w:tc>
        <w:tc>
          <w:tcPr>
            <w:tcW w:type="dxa" w:w="6803"/>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Details</w:t>
            </w:r>
          </w:p>
        </w:tc>
      </w:tr>
      <w:tr>
        <w:tc>
          <w:tcPr>
            <w:tcW w:type="dxa" w:w="311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Client Name</w:t>
            </w:r>
          </w:p>
        </w:tc>
        <w:tc>
          <w:tcPr>
            <w:tcW w:type="dxa" w:w="6803"/>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11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Fiscal Year End</w:t>
            </w:r>
          </w:p>
        </w:tc>
        <w:tc>
          <w:tcPr>
            <w:tcW w:type="dxa" w:w="6803"/>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11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Tax Preparer Name / Firm</w:t>
            </w:r>
          </w:p>
        </w:tc>
        <w:tc>
          <w:tcPr>
            <w:tcW w:type="dxa" w:w="6803"/>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11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Bookkeeping Software</w:t>
            </w:r>
          </w:p>
        </w:tc>
        <w:tc>
          <w:tcPr>
            <w:tcW w:type="dxa" w:w="6803"/>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11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Package Delivery Deadline</w:t>
            </w:r>
          </w:p>
        </w:tc>
        <w:tc>
          <w:tcPr>
            <w:tcW w:type="dxa" w:w="6803"/>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11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Prepared By</w:t>
            </w:r>
          </w:p>
        </w:tc>
        <w:tc>
          <w:tcPr>
            <w:tcW w:type="dxa" w:w="6803"/>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11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Review / Sign-Off Date</w:t>
            </w:r>
          </w:p>
        </w:tc>
        <w:tc>
          <w:tcPr>
            <w:tcW w:type="dxa" w:w="6803"/>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bl>
    <w:p>
      <w:pPr>
        <w:spacing w:before="0" w:after="160" w:line="276" w:lineRule="auto"/>
      </w:pPr>
    </w:p>
    <w:tbl>
      <w:tblPr>
        <w:tblW w:type="auto" w:w="0"/>
        <w:jc w:val="center"/>
        <w:tblLook w:firstColumn="1" w:firstRow="1" w:lastColumn="0" w:lastRow="0" w:noHBand="0" w:noVBand="1" w:val="04A0"/>
      </w:tblPr>
      <w:tblGrid>
        <w:gridCol w:w="9518"/>
      </w:tblGrid>
      <w:tr>
        <w:trPr>
          <w:trHeight w:val="400" w:hRule="atLeast"/>
        </w:trPr>
        <w:tc>
          <w:tcPr>
            <w:tcW w:type="dxa" w:w="9518"/>
            <w:tcBorders>
              <w:top w:val="none" w:sz="0" w:color="auto"/>
              <w:bottom w:val="none" w:sz="0" w:color="auto"/>
              <w:left w:val="none" w:sz="0" w:color="auto"/>
              <w:right w:val="none" w:sz="0" w:color="auto"/>
              <w:insideH w:val="none" w:sz="0" w:color="auto"/>
              <w:insideV w:val="none" w:sz="0" w:color="auto"/>
            </w:tcBorders>
            <w:shd w:val="clear" w:color="auto" w:fill="0F172A"/>
            <w:tcMar>
              <w:top w:w="110" w:type="dxa"/>
              <w:bottom w:w="110" w:type="dxa"/>
              <w:left w:w="200" w:type="dxa"/>
              <w:right w:w="200" w:type="dxa"/>
            </w:tcMar>
          </w:tcPr>
          <w:p>
            <w:r>
              <w:rPr>
                <w:rFonts w:ascii="Poppins" w:hAnsi="Poppins" w:eastAsia="Poppins"/>
                <w:b/>
                <w:i w:val="0"/>
                <w:color w:val="0F766E"/>
                <w:sz w:val="16"/>
              </w:rPr>
              <w:t xml:space="preserve">PHASE 1  </w:t>
            </w:r>
            <w:r>
              <w:rPr>
                <w:rFonts w:ascii="Poppins" w:hAnsi="Poppins" w:eastAsia="Poppins"/>
                <w:b/>
                <w:i w:val="0"/>
                <w:color w:val="FFFFFF"/>
                <w:sz w:val="19"/>
              </w:rPr>
              <w:t>—  FINAL MONTH CLOSE</w:t>
            </w:r>
            <w:r>
              <w:rPr>
                <w:rFonts w:ascii="Calibri" w:hAnsi="Calibri" w:eastAsia="Calibri"/>
                <w:b w:val="0"/>
                <w:i/>
                <w:color w:val="94A3B8"/>
                <w:sz w:val="17"/>
              </w:rPr>
              <w:t xml:space="preserve">   ·   Complete the standard monthly close for the final month of the fiscal year</w:t>
            </w:r>
          </w:p>
        </w:tc>
      </w:tr>
    </w:tbl>
    <w:p>
      <w:pPr>
        <w:spacing w:before="0" w:after="120" w:line="276" w:lineRule="auto"/>
      </w:pP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Final month close completed per monthly close checklist</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All bank and credit-card accounts reconciled to year-end statements</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All loan accounts reconciled to year-end statements</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Payroll liabilities reconciled to payroll year-end reports</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Sales-tax / VAT accounts reconciled to filings</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Accounts receivable ageing reviewed and confirmed</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Accounts payable ageing reviewed and confirmed</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All suspense and clearing accounts at zero or fully documented</w:t>
      </w:r>
    </w:p>
    <w:tbl>
      <w:tblPr>
        <w:tblW w:type="auto" w:w="0"/>
        <w:jc w:val="center"/>
        <w:tblLook w:firstColumn="1" w:firstRow="1" w:lastColumn="0" w:lastRow="0" w:noHBand="0" w:noVBand="1" w:val="04A0"/>
      </w:tblPr>
      <w:tblGrid>
        <w:gridCol w:w="9518"/>
      </w:tblGrid>
      <w:tr>
        <w:trPr>
          <w:trHeight w:val="400" w:hRule="atLeast"/>
        </w:trPr>
        <w:tc>
          <w:tcPr>
            <w:tcW w:type="dxa" w:w="9518"/>
            <w:tcBorders>
              <w:top w:val="none" w:sz="0" w:color="auto"/>
              <w:bottom w:val="none" w:sz="0" w:color="auto"/>
              <w:left w:val="none" w:sz="0" w:color="auto"/>
              <w:right w:val="none" w:sz="0" w:color="auto"/>
              <w:insideH w:val="none" w:sz="0" w:color="auto"/>
              <w:insideV w:val="none" w:sz="0" w:color="auto"/>
            </w:tcBorders>
            <w:shd w:val="clear" w:color="auto" w:fill="0F172A"/>
            <w:tcMar>
              <w:top w:w="110" w:type="dxa"/>
              <w:bottom w:w="110" w:type="dxa"/>
              <w:left w:w="200" w:type="dxa"/>
              <w:right w:w="200" w:type="dxa"/>
            </w:tcMar>
          </w:tcPr>
          <w:p>
            <w:r>
              <w:rPr>
                <w:rFonts w:ascii="Poppins" w:hAnsi="Poppins" w:eastAsia="Poppins"/>
                <w:b/>
                <w:i w:val="0"/>
                <w:color w:val="0F766E"/>
                <w:sz w:val="16"/>
              </w:rPr>
              <w:t xml:space="preserve">PHASE 2  </w:t>
            </w:r>
            <w:r>
              <w:rPr>
                <w:rFonts w:ascii="Poppins" w:hAnsi="Poppins" w:eastAsia="Poppins"/>
                <w:b/>
                <w:i w:val="0"/>
                <w:color w:val="FFFFFF"/>
                <w:sz w:val="19"/>
              </w:rPr>
              <w:t>—  YEAR-END ADJUSTMENTS</w:t>
            </w:r>
            <w:r>
              <w:rPr>
                <w:rFonts w:ascii="Calibri" w:hAnsi="Calibri" w:eastAsia="Calibri"/>
                <w:b w:val="0"/>
                <w:i/>
                <w:color w:val="94A3B8"/>
                <w:sz w:val="17"/>
              </w:rPr>
              <w:t xml:space="preserve">   ·   Record all entries needed to close the fiscal year correctly</w:t>
            </w:r>
          </w:p>
        </w:tc>
      </w:tr>
    </w:tbl>
    <w:p>
      <w:pPr>
        <w:spacing w:before="0" w:after="120" w:line="276" w:lineRule="auto"/>
      </w:pP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Depreciation / amortisation recorded (within scope)</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Prepaid expenses adjusted to correct period</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Accrued revenue or expenses recorded (within scope)</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Owner draw and contribution accounts reviewed</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Loans to / from owners fully documented</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Inventory count reconciled to ledger (if applicable)</w:t>
      </w:r>
    </w:p>
    <w:p>
      <w:pPr>
        <w:spacing w:before="0" w:after="80" w:line="276" w:lineRule="auto"/>
        <w:ind w:left="180" w:hanging="180"/>
      </w:pPr>
      <w:r>
        <w:rPr>
          <w:rFonts w:ascii="Calibri" w:hAnsi="Calibri" w:eastAsia="Calibri"/>
          <w:b/>
          <w:i w:val="0"/>
          <w:color w:val="0F172A"/>
          <w:sz w:val="20"/>
        </w:rPr>
        <w:t xml:space="preserve">☐  </w:t>
      </w:r>
      <w:r>
        <w:rPr>
          <w:rFonts w:ascii="Calibri" w:hAnsi="Calibri" w:eastAsia="Calibri"/>
          <w:b w:val="0"/>
          <w:i w:val="0"/>
          <w:color w:val="0F172A"/>
          <w:sz w:val="19"/>
        </w:rPr>
        <w:t>Prior-year adjusting entries from tax preparer posted</w:t>
      </w:r>
    </w:p>
    <w:tbl>
      <w:tblPr>
        <w:tblW w:type="auto" w:w="0"/>
        <w:jc w:val="center"/>
        <w:tblLook w:firstColumn="1" w:firstRow="1" w:lastColumn="0" w:lastRow="0" w:noHBand="0" w:noVBand="1" w:val="04A0"/>
      </w:tblPr>
      <w:tblGrid>
        <w:gridCol w:w="9518"/>
      </w:tblGrid>
      <w:tr>
        <w:trPr>
          <w:trHeight w:val="400" w:hRule="atLeast"/>
        </w:trPr>
        <w:tc>
          <w:tcPr>
            <w:tcW w:type="dxa" w:w="9518"/>
            <w:tcBorders>
              <w:top w:val="none" w:sz="0" w:color="auto"/>
              <w:bottom w:val="none" w:sz="0" w:color="auto"/>
              <w:left w:val="none" w:sz="0" w:color="auto"/>
              <w:right w:val="none" w:sz="0" w:color="auto"/>
              <w:insideH w:val="none" w:sz="0" w:color="auto"/>
              <w:insideV w:val="none" w:sz="0" w:color="auto"/>
            </w:tcBorders>
            <w:shd w:val="clear" w:color="auto" w:fill="0F172A"/>
            <w:tcMar>
              <w:top w:w="110" w:type="dxa"/>
              <w:bottom w:w="110" w:type="dxa"/>
              <w:left w:w="200" w:type="dxa"/>
              <w:right w:w="200" w:type="dxa"/>
            </w:tcMar>
          </w:tcPr>
          <w:p>
            <w:r>
              <w:rPr>
                <w:rFonts w:ascii="Poppins" w:hAnsi="Poppins" w:eastAsia="Poppins"/>
                <w:b/>
                <w:i w:val="0"/>
                <w:color w:val="0F766E"/>
                <w:sz w:val="16"/>
              </w:rPr>
              <w:t xml:space="preserve">PHASE 3  </w:t>
            </w:r>
            <w:r>
              <w:rPr>
                <w:rFonts w:ascii="Poppins" w:hAnsi="Poppins" w:eastAsia="Poppins"/>
                <w:b/>
                <w:i w:val="0"/>
                <w:color w:val="FFFFFF"/>
                <w:sz w:val="19"/>
              </w:rPr>
              <w:t>—  DOCUMENT COLLECTION</w:t>
            </w:r>
            <w:r>
              <w:rPr>
                <w:rFonts w:ascii="Calibri" w:hAnsi="Calibri" w:eastAsia="Calibri"/>
                <w:b w:val="0"/>
                <w:i/>
                <w:color w:val="94A3B8"/>
                <w:sz w:val="17"/>
              </w:rPr>
              <w:t xml:space="preserve">   ·   Collect and confirm all supporting documents for the tax preparer</w:t>
            </w:r>
          </w:p>
        </w:tc>
      </w:tr>
    </w:tbl>
    <w:p>
      <w:pPr>
        <w:spacing w:before="0" w:after="120" w:line="276" w:lineRule="auto"/>
      </w:pPr>
    </w:p>
    <w:tbl>
      <w:tblPr>
        <w:tblStyle w:val="TableGrid"/>
        <w:tblW w:type="auto" w:w="0"/>
        <w:jc w:val="center"/>
        <w:tblLook w:firstColumn="1" w:firstRow="1" w:lastColumn="0" w:lastRow="0" w:noHBand="0" w:noVBand="1" w:val="04A0"/>
      </w:tblPr>
      <w:tblGrid>
        <w:gridCol w:w="2379"/>
        <w:gridCol w:w="2379"/>
        <w:gridCol w:w="2379"/>
        <w:gridCol w:w="2379"/>
      </w:tblGrid>
      <w:tr>
        <w:trPr>
          <w:trHeight w:val="400" w:hRule="atLeast"/>
        </w:trPr>
        <w:tc>
          <w:tcPr>
            <w:tcW w:type="dxa" w:w="1984"/>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Category</w:t>
            </w:r>
          </w:p>
        </w:tc>
        <w:tc>
          <w:tcPr>
            <w:tcW w:type="dxa" w:w="4819"/>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Documents Required</w:t>
            </w:r>
          </w:p>
        </w:tc>
        <w:tc>
          <w:tcPr>
            <w:tcW w:type="dxa" w:w="850"/>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Received</w:t>
            </w:r>
          </w:p>
        </w:tc>
        <w:tc>
          <w:tcPr>
            <w:tcW w:type="dxa" w:w="2268"/>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Notes</w:t>
            </w:r>
          </w:p>
        </w:tc>
      </w:tr>
      <w:tr>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Income</w:t>
            </w:r>
          </w:p>
        </w:tc>
        <w:tc>
          <w:tcPr>
            <w:tcW w:type="dxa" w:w="4819"/>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All sales reports, merchant statements, platform reports, interest income</w:t>
            </w:r>
          </w:p>
        </w:tc>
        <w:tc>
          <w:tcPr>
            <w:tcW w:type="dxa" w:w="85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Banking</w:t>
            </w:r>
          </w:p>
        </w:tc>
        <w:tc>
          <w:tcPr>
            <w:tcW w:type="dxa" w:w="4819"/>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Year-end bank and credit-card statements for all accounts</w:t>
            </w:r>
          </w:p>
        </w:tc>
        <w:tc>
          <w:tcPr>
            <w:tcW w:type="dxa" w:w="85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Payroll</w:t>
            </w:r>
          </w:p>
        </w:tc>
        <w:tc>
          <w:tcPr>
            <w:tcW w:type="dxa" w:w="4819"/>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Annual payroll summary, W-2/1099 or equivalent, payroll tax filings</w:t>
            </w:r>
          </w:p>
        </w:tc>
        <w:tc>
          <w:tcPr>
            <w:tcW w:type="dxa" w:w="85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Major Expenses</w:t>
            </w:r>
          </w:p>
        </w:tc>
        <w:tc>
          <w:tcPr>
            <w:tcW w:type="dxa" w:w="4819"/>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Rent, insurance, professional fees, travel, vehicle records</w:t>
            </w:r>
          </w:p>
        </w:tc>
        <w:tc>
          <w:tcPr>
            <w:tcW w:type="dxa" w:w="85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Fixed Assets</w:t>
            </w:r>
          </w:p>
        </w:tc>
        <w:tc>
          <w:tcPr>
            <w:tcW w:type="dxa" w:w="4819"/>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Asset purchases and disposals with dates and amounts</w:t>
            </w:r>
          </w:p>
        </w:tc>
        <w:tc>
          <w:tcPr>
            <w:tcW w:type="dxa" w:w="85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Loans &amp; Finance</w:t>
            </w:r>
          </w:p>
        </w:tc>
        <w:tc>
          <w:tcPr>
            <w:tcW w:type="dxa" w:w="4819"/>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Year-end loan statements, amortisation schedules</w:t>
            </w:r>
          </w:p>
        </w:tc>
        <w:tc>
          <w:tcPr>
            <w:tcW w:type="dxa" w:w="85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Tax &amp; Compliance</w:t>
            </w:r>
          </w:p>
        </w:tc>
        <w:tc>
          <w:tcPr>
            <w:tcW w:type="dxa" w:w="4819"/>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Prior-year return, estimated payments, notices, VAT/sales-tax filings</w:t>
            </w:r>
          </w:p>
        </w:tc>
        <w:tc>
          <w:tcPr>
            <w:tcW w:type="dxa" w:w="85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Owner Activity</w:t>
            </w:r>
          </w:p>
        </w:tc>
        <w:tc>
          <w:tcPr>
            <w:tcW w:type="dxa" w:w="4819"/>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Contributions, draws, distributions, shareholder/partner transactions</w:t>
            </w:r>
          </w:p>
        </w:tc>
        <w:tc>
          <w:tcPr>
            <w:tcW w:type="dxa" w:w="85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bl>
    <w:p>
      <w:pPr>
        <w:spacing w:before="0" w:after="160" w:line="276" w:lineRule="auto"/>
      </w:pPr>
    </w:p>
    <w:tbl>
      <w:tblPr>
        <w:tblW w:type="auto" w:w="0"/>
        <w:jc w:val="center"/>
        <w:tblLook w:firstColumn="1" w:firstRow="1" w:lastColumn="0" w:lastRow="0" w:noHBand="0" w:noVBand="1" w:val="04A0"/>
      </w:tblPr>
      <w:tblGrid>
        <w:gridCol w:w="9518"/>
      </w:tblGrid>
      <w:tr>
        <w:trPr>
          <w:trHeight w:val="400" w:hRule="atLeast"/>
        </w:trPr>
        <w:tc>
          <w:tcPr>
            <w:tcW w:type="dxa" w:w="9518"/>
            <w:tcBorders>
              <w:top w:val="none" w:sz="0" w:color="auto"/>
              <w:bottom w:val="none" w:sz="0" w:color="auto"/>
              <w:left w:val="none" w:sz="0" w:color="auto"/>
              <w:right w:val="none" w:sz="0" w:color="auto"/>
              <w:insideH w:val="none" w:sz="0" w:color="auto"/>
              <w:insideV w:val="none" w:sz="0" w:color="auto"/>
            </w:tcBorders>
            <w:shd w:val="clear" w:color="auto" w:fill="0F172A"/>
            <w:tcMar>
              <w:top w:w="110" w:type="dxa"/>
              <w:bottom w:w="110" w:type="dxa"/>
              <w:left w:w="200" w:type="dxa"/>
              <w:right w:w="200" w:type="dxa"/>
            </w:tcMar>
          </w:tcPr>
          <w:p>
            <w:r>
              <w:rPr>
                <w:rFonts w:ascii="Poppins" w:hAnsi="Poppins" w:eastAsia="Poppins"/>
                <w:b/>
                <w:i w:val="0"/>
                <w:color w:val="0F766E"/>
                <w:sz w:val="16"/>
              </w:rPr>
              <w:t xml:space="preserve">PHASE 4  </w:t>
            </w:r>
            <w:r>
              <w:rPr>
                <w:rFonts w:ascii="Poppins" w:hAnsi="Poppins" w:eastAsia="Poppins"/>
                <w:b/>
                <w:i w:val="0"/>
                <w:color w:val="FFFFFF"/>
                <w:sz w:val="19"/>
              </w:rPr>
              <w:t>—  PACKAGE ASSEMBLY</w:t>
            </w:r>
            <w:r>
              <w:rPr>
                <w:rFonts w:ascii="Calibri" w:hAnsi="Calibri" w:eastAsia="Calibri"/>
                <w:b w:val="0"/>
                <w:i/>
                <w:color w:val="94A3B8"/>
                <w:sz w:val="17"/>
              </w:rPr>
              <w:t xml:space="preserve">   ·   Compile and deliver the complete year-end bookkeeping package</w:t>
            </w:r>
          </w:p>
        </w:tc>
      </w:tr>
    </w:tbl>
    <w:p>
      <w:pPr>
        <w:spacing w:before="0" w:after="120" w:line="276" w:lineRule="auto"/>
      </w:pPr>
    </w:p>
    <w:tbl>
      <w:tblPr>
        <w:tblStyle w:val="TableGrid"/>
        <w:tblW w:type="auto" w:w="0"/>
        <w:jc w:val="center"/>
        <w:tblLook w:firstColumn="1" w:firstRow="1" w:lastColumn="0" w:lastRow="0" w:noHBand="0" w:noVBand="1" w:val="04A0"/>
      </w:tblPr>
      <w:tblGrid>
        <w:gridCol w:w="2379"/>
        <w:gridCol w:w="2379"/>
        <w:gridCol w:w="2379"/>
        <w:gridCol w:w="2379"/>
      </w:tblGrid>
      <w:tr>
        <w:trPr>
          <w:trHeight w:val="400" w:hRule="atLeast"/>
        </w:trPr>
        <w:tc>
          <w:tcPr>
            <w:tcW w:type="dxa" w:w="4819"/>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Report / Item</w:t>
            </w:r>
          </w:p>
        </w:tc>
        <w:tc>
          <w:tcPr>
            <w:tcW w:type="dxa" w:w="1984"/>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Format</w:t>
            </w:r>
          </w:p>
        </w:tc>
        <w:tc>
          <w:tcPr>
            <w:tcW w:type="dxa" w:w="850"/>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Done</w:t>
            </w:r>
          </w:p>
        </w:tc>
        <w:tc>
          <w:tcPr>
            <w:tcW w:type="dxa" w:w="2268"/>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Notes</w:t>
            </w:r>
          </w:p>
        </w:tc>
      </w:tr>
      <w:tr>
        <w:tc>
          <w:tcPr>
            <w:tcW w:type="dxa" w:w="4819"/>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Annual Profit &amp; Loss (full year)</w:t>
            </w:r>
          </w:p>
        </w:tc>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PDF</w:t>
            </w:r>
          </w:p>
        </w:tc>
        <w:tc>
          <w:tcPr>
            <w:tcW w:type="dxa" w:w="85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4819"/>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Annual Balance Sheet (year-end)</w:t>
            </w:r>
          </w:p>
        </w:tc>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PDF</w:t>
            </w:r>
          </w:p>
        </w:tc>
        <w:tc>
          <w:tcPr>
            <w:tcW w:type="dxa" w:w="85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4819"/>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Cash Flow Statement (if applicable)</w:t>
            </w:r>
          </w:p>
        </w:tc>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PDF</w:t>
            </w:r>
          </w:p>
        </w:tc>
        <w:tc>
          <w:tcPr>
            <w:tcW w:type="dxa" w:w="85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4819"/>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Monthly P&amp;L comparison (all 12 months)</w:t>
            </w:r>
          </w:p>
        </w:tc>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PDF or Excel</w:t>
            </w:r>
          </w:p>
        </w:tc>
        <w:tc>
          <w:tcPr>
            <w:tcW w:type="dxa" w:w="85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4819"/>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Bank reconciliation summaries</w:t>
            </w:r>
          </w:p>
        </w:tc>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PDF</w:t>
            </w:r>
          </w:p>
        </w:tc>
        <w:tc>
          <w:tcPr>
            <w:tcW w:type="dxa" w:w="85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4819"/>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Trial balance (year-end)</w:t>
            </w:r>
          </w:p>
        </w:tc>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Excel or PDF</w:t>
            </w:r>
          </w:p>
        </w:tc>
        <w:tc>
          <w:tcPr>
            <w:tcW w:type="dxa" w:w="85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4819"/>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Open items and bookkeeping judgment log</w:t>
            </w:r>
          </w:p>
        </w:tc>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PDF or Notes</w:t>
            </w:r>
          </w:p>
        </w:tc>
        <w:tc>
          <w:tcPr>
            <w:tcW w:type="dxa" w:w="85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4819"/>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Chart of accounts (year-end)</w:t>
            </w:r>
          </w:p>
        </w:tc>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PDF</w:t>
            </w:r>
          </w:p>
        </w:tc>
        <w:tc>
          <w:tcPr>
            <w:tcW w:type="dxa" w:w="85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w:t>
            </w:r>
          </w:p>
        </w:tc>
        <w:tc>
          <w:tcPr>
            <w:tcW w:type="dxa" w:w="226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bl>
    <w:p>
      <w:pPr>
        <w:spacing w:before="0" w:after="160" w:line="276" w:lineRule="auto"/>
      </w:pPr>
    </w:p>
    <w:tbl>
      <w:tblPr>
        <w:tblW w:type="auto" w:w="0"/>
        <w:jc w:val="center"/>
        <w:tblLook w:firstColumn="1" w:firstRow="1" w:lastColumn="0" w:lastRow="0" w:noHBand="0" w:noVBand="1" w:val="04A0"/>
      </w:tblPr>
      <w:tblGrid>
        <w:gridCol w:w="9518"/>
      </w:tblGrid>
      <w:tr>
        <w:tc>
          <w:tcPr>
            <w:tcW w:type="dxa" w:w="9518"/>
            <w:shd w:val="clear" w:color="auto" w:fill="FFFBEB"/>
            <w:tcMar>
              <w:top w:w="110" w:type="dxa"/>
              <w:bottom w:w="110" w:type="dxa"/>
              <w:left w:w="170" w:type="dxa"/>
              <w:right w:w="170" w:type="dxa"/>
            </w:tcMar>
            <w:tcBorders>
              <w:top w:val="single" w:sz="4" w:color="CBD5E1"/>
              <w:bottom w:val="single" w:sz="4" w:color="CBD5E1"/>
              <w:left w:val="single" w:sz="16" w:color="D97706"/>
              <w:right w:val="single" w:sz="4" w:color="CBD5E1"/>
              <w:insideH w:val="none" w:sz="0" w:color="auto"/>
              <w:insideV w:val="none" w:sz="0" w:color="auto"/>
            </w:tcBorders>
          </w:tcPr>
          <w:p>
            <w:pPr>
              <w:spacing w:before="0" w:after="100" w:line="276" w:lineRule="auto"/>
            </w:pPr>
            <w:r>
              <w:rPr>
                <w:rFonts w:ascii="Poppins" w:hAnsi="Poppins" w:eastAsia="Poppins"/>
                <w:b/>
                <w:i w:val="0"/>
                <w:color w:val="D97706"/>
                <w:sz w:val="14"/>
              </w:rPr>
              <w:t>DELIVERY AND SCOPE NOTICE</w:t>
            </w:r>
          </w:p>
          <w:p>
            <w:pPr>
              <w:spacing w:before="0" w:after="0" w:line="276" w:lineRule="auto"/>
            </w:pPr>
            <w:r>
              <w:rPr>
                <w:rFonts w:ascii="Calibri" w:hAnsi="Calibri" w:eastAsia="Calibri"/>
                <w:b w:val="0"/>
                <w:i w:val="0"/>
                <w:color w:val="0F172A"/>
                <w:sz w:val="18"/>
              </w:rPr>
              <w:t>Upload the completed package to the client's secure portal and notify the tax preparer through the appropriate channel. Do not email sensitive financial reports. The tax preparer is responsible for all tax judgments and filings.</w:t>
            </w:r>
          </w:p>
        </w:tc>
      </w:tr>
    </w:tbl>
    <w:p>
      <w:pPr>
        <w:spacing w:before="0" w:after="120" w:line="276" w:lineRule="auto"/>
      </w:pPr>
    </w:p>
    <w:sectPr w:rsidR="00FC693F" w:rsidRPr="0006063C" w:rsidSect="00034616">
      <w:headerReference w:type="default" r:id="rId9"/>
      <w:footerReference w:type="default" r:id="rId10"/>
      <w:pgSz w:w="12240" w:h="15840"/>
      <w:pgMar w:top="1247" w:right="1361"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6"/>
      <w:gridCol w:w="4536"/>
    </w:tblGrid>
    <w:tr>
      <w:tc>
        <w:tcPr>
          <w:tcW w:type="dxa" w:w="4536"/>
          <w:tcBorders>
            <w:top w:val="single" w:sz="4" w:color="CBD5E1"/>
            <w:bottom w:val="none" w:sz="0" w:color="auto"/>
            <w:left w:val="none" w:sz="0" w:color="auto"/>
            <w:right w:val="none" w:sz="0" w:color="auto"/>
            <w:insideH w:val="none" w:sz="0" w:color="auto"/>
            <w:insideV w:val="none" w:sz="0" w:color="auto"/>
          </w:tcBorders>
          <w:tcMar>
            <w:top w:w="55" w:type="dxa"/>
            <w:bottom w:w="55" w:type="dxa"/>
            <w:left w:w="0" w:type="dxa"/>
            <w:right w:w="0" w:type="dxa"/>
          </w:tcMar>
        </w:tcPr>
        <w:p>
          <w:pPr>
            <w:jc w:val="left"/>
          </w:pPr>
          <w:r>
            <w:rPr>
              <w:rFonts w:ascii="Inter" w:hAnsi="Inter" w:eastAsia="Inter"/>
              <w:b w:val="0"/>
              <w:i w:val="0"/>
              <w:color w:val="64748B"/>
              <w:sz w:val="13"/>
            </w:rPr>
            <w:t>© 2025 NovaOps  ·  Commercial Use License  ·  Bookkeeper Practice Launch System</w:t>
          </w:r>
        </w:p>
      </w:tc>
      <w:tc>
        <w:tcPr>
          <w:tcW w:type="dxa" w:w="4536"/>
          <w:tcBorders>
            <w:top w:val="single" w:sz="4" w:color="CBD5E1"/>
            <w:bottom w:val="none" w:sz="0" w:color="auto"/>
            <w:left w:val="none" w:sz="0" w:color="auto"/>
            <w:right w:val="none" w:sz="0" w:color="auto"/>
            <w:insideH w:val="none" w:sz="0" w:color="auto"/>
            <w:insideV w:val="none" w:sz="0" w:color="auto"/>
          </w:tcBorders>
          <w:tcMar>
            <w:top w:w="55" w:type="dxa"/>
            <w:bottom w:w="55" w:type="dxa"/>
            <w:left w:w="0" w:type="dxa"/>
            <w:right w:w="0" w:type="dxa"/>
          </w:tcMar>
        </w:tcPr>
        <w:p>
          <w:pPr>
            <w:jc w:val="right"/>
          </w:pPr>
          <w:r>
            <w:rPr>
              <w:rFonts w:ascii="Inter" w:hAnsi="Inter" w:eastAsia="Inter"/>
              <w:b w:val="0"/>
              <w:i w:val="0"/>
              <w:color w:val="64748B"/>
              <w:sz w:val="15"/>
            </w:rPr>
            <w:t xml:space="preserve">Page </w:t>
          </w:r>
          <w:r>
            <w:rPr>
              <w:rFonts w:ascii="Inter" w:hAnsi="Inter" w:eastAsia="Inter"/>
              <w:b/>
              <w:i w:val="0"/>
              <w:color w:val="0F766E"/>
              <w:sz w:val="15"/>
            </w:rPr>
            <w:fldChar w:fldCharType="begin"/>
            <w:instrText>PAGE</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536"/>
      <w:gridCol w:w="4536"/>
    </w:tblGrid>
    <w:tr>
      <w:tc>
        <w:tcPr>
          <w:tcW w:type="dxa" w:w="4536"/>
          <w:tcMar>
            <w:top w:w="55" w:type="dxa"/>
            <w:bottom w:w="55" w:type="dxa"/>
            <w:left w:w="0" w:type="dxa"/>
            <w:right w:w="60" w:type="dxa"/>
          </w:tcMar>
          <w:tcBorders>
            <w:top w:val="none" w:sz="0" w:color="auto"/>
            <w:bottom w:val="single" w:sz="8" w:color="0F766E"/>
            <w:left w:val="none" w:sz="0" w:color="auto"/>
            <w:right w:val="none" w:sz="0" w:color="auto"/>
            <w:insideH w:val="none" w:sz="0" w:color="auto"/>
            <w:insideV w:val="none" w:sz="0" w:color="auto"/>
          </w:tcBorders>
        </w:tcPr>
        <w:p>
          <w:pPr>
            <w:jc w:val="left"/>
          </w:pPr>
          <w:r>
            <w:rPr>
              <w:rFonts w:ascii="Poppins" w:hAnsi="Poppins" w:eastAsia="Poppins"/>
              <w:b/>
              <w:i w:val="0"/>
              <w:color w:val="0F766E"/>
              <w:sz w:val="14"/>
            </w:rPr>
            <w:t>NOVAOPS</w:t>
          </w:r>
          <w:r>
            <w:rPr>
              <w:rFonts w:ascii="Inter" w:hAnsi="Inter" w:eastAsia="Inter"/>
              <w:b w:val="0"/>
              <w:i w:val="0"/>
              <w:color w:val="64748B"/>
              <w:sz w:val="13"/>
            </w:rPr>
            <w:t xml:space="preserve">  ·  Bookkeeper Practice Launch System  ·  v2.0</w:t>
          </w:r>
        </w:p>
      </w:tc>
      <w:tc>
        <w:tcPr>
          <w:tcW w:type="dxa" w:w="4536"/>
          <w:tcMar>
            <w:top w:w="55" w:type="dxa"/>
            <w:bottom w:w="55" w:type="dxa"/>
            <w:left w:w="60" w:type="dxa"/>
            <w:right w:w="0" w:type="dxa"/>
          </w:tcMar>
          <w:tcBorders>
            <w:top w:val="none" w:sz="0" w:color="auto"/>
            <w:bottom w:val="single" w:sz="8" w:color="0F766E"/>
            <w:left w:val="none" w:sz="0" w:color="auto"/>
            <w:right w:val="none" w:sz="0" w:color="auto"/>
            <w:insideH w:val="none" w:sz="0" w:color="auto"/>
            <w:insideV w:val="none" w:sz="0" w:color="auto"/>
          </w:tcBorders>
        </w:tcPr>
        <w:p>
          <w:pPr>
            <w:jc w:val="right"/>
          </w:pPr>
          <w:r>
            <w:rPr>
              <w:rFonts w:ascii="Inter" w:hAnsi="Inter" w:eastAsia="Inter"/>
              <w:b/>
              <w:i w:val="0"/>
              <w:color w:val="0F172A"/>
              <w:sz w:val="14"/>
            </w:rPr>
            <w:t>ANNUAL TAX PREP CHECKLIST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