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hd w:val="clear" w:color="auto" w:fill="0F766E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8"/>
              </w:rPr>
              <w:t>NOVAOPS</w:t>
            </w:r>
            <w:r>
              <w:rPr>
                <w:rFonts w:ascii="Inter" w:hAnsi="Inter" w:eastAsia="Inter"/>
                <w:b w:val="0"/>
                <w:i w:val="0"/>
                <w:color w:val="CCFBF1"/>
                <w:sz w:val="15"/>
              </w:rPr>
              <w:t xml:space="preserve">  ·  Bookkeeper Practice Launch System  ·  v2.0</w:t>
            </w:r>
          </w:p>
          <w:p>
            <w:pPr>
              <w:spacing w:before="1200" w:after="0" w:line="276" w:lineRule="auto"/>
            </w:pPr>
          </w:p>
          <w:p>
            <w:pPr>
              <w:spacing w:before="0" w:after="280" w:line="276" w:lineRule="auto"/>
              <w:ind w:left="400"/>
            </w:pPr>
            <w:r>
              <w:rPr>
                <w:rFonts w:ascii="Inter" w:hAnsi="Inter" w:eastAsia="Inter"/>
                <w:b/>
                <w:i w:val="0"/>
                <w:color w:val="0F766E"/>
                <w:sz w:val="15"/>
              </w:rPr>
              <w:t>04  —  OPERATIONS LIBRARY</w:t>
            </w:r>
          </w:p>
          <w:p>
            <w:pPr>
              <w:spacing w:before="0" w:after="100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0F766E"/>
                <w:sz w:val="22"/>
              </w:rPr>
              <w:t>NOVAOPS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Bookkeeping SOPs &amp;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Checklists</w:t>
            </w:r>
          </w:p>
          <w:p>
            <w:pPr>
              <w:spacing w:before="160" w:after="560" w:line="276" w:lineRule="auto"/>
              <w:ind w:left="400"/>
            </w:pPr>
            <w:r>
              <w:rPr>
                <w:rFonts w:ascii="Inter" w:hAnsi="Inter" w:eastAsia="Inter"/>
                <w:b w:val="0"/>
                <w:i/>
                <w:color w:val="94A3B8"/>
                <w:sz w:val="24"/>
              </w:rPr>
              <w:t>Internal operating manual — onboarding, monthly close, quality control, and documents</w:t>
            </w:r>
          </w:p>
          <w:p>
            <w:pPr>
              <w:pBdr>
                <w:bottom w:val="single" w:sz="12" w:space="1" w:color="0F766E"/>
              </w:pBdr>
              <w:spacing w:before="0" w:after="400" w:line="276" w:lineRule="auto"/>
              <w:ind w:left="400" w:right="400"/>
            </w:pP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DOCUMENT TYPE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Internal Procedures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AUDIENCE    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Bookkeeper / Practice Owner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LAST UPDATED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2025</w:t>
            </w:r>
          </w:p>
          <w:p>
            <w:pPr>
              <w:spacing w:before="800" w:after="0" w:line="276" w:lineRule="auto"/>
            </w:pPr>
          </w:p>
          <w:p>
            <w:pPr>
              <w:shd w:val="clear" w:color="auto" w:fill="D97706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VERSION 2.0  ·  PREMIUM CONSULTING EDITION  ·  © 2025 NOVAOPS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1F5F9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64748B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64748B"/>
                <w:sz w:val="14"/>
              </w:rPr>
              <w:t>INTERNAL DOCUMENT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Internal use only — not for clients. Customise [BRACKETED TEXT] to match your tools, deadlines, and workflow.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SOPS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MONTHLY CLOSE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QC CHECKS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TAX DOCS</w:t>
            </w:r>
          </w:p>
        </w:tc>
      </w:tr>
      <w:tr>
        <w:trPr>
          <w:trHeight w:val="64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4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12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10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7</w:t>
            </w:r>
          </w:p>
        </w:tc>
      </w:tr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end-to-end procedures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control checkpoints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before delivery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collection categories</w:t>
            </w:r>
          </w:p>
        </w:tc>
      </w:tr>
    </w:tbl>
    <w:p>
      <w:pPr>
        <w:spacing w:before="0" w:after="20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01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SOP — CLIENT ONBOARDING</w:t>
            </w:r>
          </w:p>
        </w:tc>
      </w:tr>
    </w:tbl>
    <w:p>
      <w:pPr>
        <w:spacing w:before="0" w:after="120" w:line="276" w:lineRule="auto"/>
      </w:pPr>
    </w:p>
    <w:p>
      <w:pPr>
        <w:jc w:val="both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0F172A"/>
          <w:sz w:val="19"/>
        </w:rPr>
        <w:t>Complete these steps for every new client before the first monthly close. Sign off each step as you complete it.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rPr>
          <w:trHeight w:val="360" w:hRule="atLeast"/>
        </w:trPr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2"/>
              </w:rPr>
              <w:t>01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2"/>
              </w:rPr>
              <w:t>02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2"/>
              </w:rPr>
              <w:t>03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2"/>
              </w:rPr>
              <w:t>04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2"/>
              </w:rPr>
              <w:t>05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55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766E"/>
                <w:sz w:val="28"/>
              </w:rPr>
              <w:t>→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55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2"/>
              </w:rPr>
              <w:t>06</w:t>
            </w:r>
          </w:p>
        </w:tc>
      </w:tr>
      <w:tr>
        <w:trPr>
          <w:trHeight w:val="560" w:hRule="atLeast"/>
        </w:trPr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Confirm &amp; Record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Day 1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Set Up Systems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Day 2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Request Access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Day 2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Collect Docs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Day 2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Kickoff Call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Week 1</w:t>
            </w:r>
          </w:p>
        </w:tc>
        <w:tc>
          <w:tcPr>
            <w:tcW w:type="dxa" w:w="865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30" w:type="dxa"/>
              <w:right w:w="30" w:type="dxa"/>
            </w:tcMar>
          </w:tcPr>
          <w:p/>
        </w:tc>
        <w:tc>
          <w:tcPr>
            <w:tcW w:type="dxa" w:w="865"/>
            <w:shd w:val="clear" w:color="auto" w:fill="F8FAFC"/>
            <w:tcBorders>
              <w:top w:val="single" w:sz="8" w:color="0F766E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0F172A"/>
                <w:sz w:val="16"/>
              </w:rPr>
              <w:t>First Review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Week 1</w:t>
            </w:r>
          </w:p>
        </w:tc>
      </w:tr>
    </w:tbl>
    <w:p>
      <w:pPr>
        <w:spacing w:before="0" w:after="20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rHeight w:val="400" w:hRule="atLeast"/>
        </w:trPr>
        <w:tc>
          <w:tcPr>
            <w:tcW w:type="dxa" w:w="850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5669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Action</w:t>
            </w:r>
          </w:p>
        </w:tc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Owner</w:t>
            </w:r>
          </w:p>
        </w:tc>
        <w:tc>
          <w:tcPr>
            <w:tcW w:type="dxa" w:w="1701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Deadline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Confirm signed engagement agreement and initial payment received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Before kickoff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Create client folder in [SYSTEM] with standard subfolder structure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 1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Create client record in Notion with all profile data from intake pack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 1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Set up recurring tasks in [PROJECT TOOL] for monthly close cadence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 2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Request secure accountant / user access to bookkeeping software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 2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Request required source documents via secure portal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Day 2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Capture entity type, fiscal year, basis, integrations, payroll, taxes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Kickoff call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Review opening balances and last fully reconciled period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Week 1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Document known issues, cleanup scope, deadlines, responsibilities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Week 1</w:t>
            </w:r>
          </w:p>
        </w:tc>
      </w:tr>
      <w:tr>
        <w:tc>
          <w:tcPr>
            <w:tcW w:type="dxa" w:w="850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Run kickoff call; send written action summary within 24 hours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[OWNER]</w:t>
            </w:r>
          </w:p>
        </w:tc>
        <w:tc>
          <w:tcPr>
            <w:tcW w:type="dxa" w:w="1701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Week 1</w:t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02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MONTHLY CLOSE CHECKLIST</w:t>
            </w:r>
          </w:p>
        </w:tc>
      </w:tr>
    </w:tbl>
    <w:p>
      <w:pPr>
        <w:spacing w:before="0" w:after="120" w:line="276" w:lineRule="auto"/>
      </w:pPr>
    </w:p>
    <w:p>
      <w:pPr>
        <w:jc w:val="both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0F172A"/>
          <w:sz w:val="19"/>
        </w:rPr>
        <w:t>Work through these control points in sequence every month. Do not proceed past a step if the previous one has unresolved items.</w:t>
      </w:r>
    </w:p>
    <w:p/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Confirm all bank, card, loan, payroll, and processor data is available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Import / sync transactions; investigate duplicates or failed feeds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Categorise all transactions; resolve uncategorised / suspense items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Reconcile every bank and credit-card account to statements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Reconcile loans, payroll liabilities, sales-tax/VAT, and clearing accounts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Review accounts receivable, payable, negative balances, and stale items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Record approved accruals, prepayments, depreciation, and adjustments within scope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Compare current month with prior month and budget; document material variances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Run balance-sheet integrity and reasonableness checks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Prepare consolidated question list and obtain documented client responses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Finalise P&amp;L, balance sheet, cash summary, and all agreed reports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Complete reviewer sign-off, lock/close period, and deliver to client portal</w:t>
      </w: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03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TAX DOCUMENT COLLECTION CHECKLIST</w:t>
            </w:r>
          </w:p>
        </w:tc>
      </w:tr>
    </w:tbl>
    <w:p>
      <w:pPr>
        <w:spacing w:before="0" w:after="120" w:line="276" w:lineRule="auto"/>
      </w:pPr>
    </w:p>
    <w:p>
      <w:pPr>
        <w:jc w:val="both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0F172A"/>
          <w:sz w:val="19"/>
        </w:rPr>
        <w:t>Use at year-end or when preparing the annual bookkeeping package for the tax preparer.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00" w:hRule="atLeast"/>
        </w:trPr>
        <w:tc>
          <w:tcPr>
            <w:tcW w:type="dxa" w:w="2268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7654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Documents Required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Income</w:t>
            </w:r>
          </w:p>
        </w:tc>
        <w:tc>
          <w:tcPr>
            <w:tcW w:type="dxa" w:w="765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Sales summaries, invoices, merchant reports, platform statements, interest income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Banking</w:t>
            </w:r>
          </w:p>
        </w:tc>
        <w:tc>
          <w:tcPr>
            <w:tcW w:type="dxa" w:w="765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Year-end bank and credit-card statements, final reconciliations for all accounts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Payroll</w:t>
            </w:r>
          </w:p>
        </w:tc>
        <w:tc>
          <w:tcPr>
            <w:tcW w:type="dxa" w:w="765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Annual payroll summary, W-2/1099 or local equivalent, payroll tax filings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Expenses</w:t>
            </w:r>
          </w:p>
        </w:tc>
        <w:tc>
          <w:tcPr>
            <w:tcW w:type="dxa" w:w="765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Major receipts, insurance, rent, professional fees, travel, vehicle records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Assets &amp; Debt</w:t>
            </w:r>
          </w:p>
        </w:tc>
        <w:tc>
          <w:tcPr>
            <w:tcW w:type="dxa" w:w="765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Asset purchases/disposals with dates/amounts, year-end loan statements</w:t>
            </w:r>
          </w:p>
        </w:tc>
      </w:tr>
      <w:tr>
        <w:tc>
          <w:tcPr>
            <w:tcW w:type="dxa" w:w="2268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Tax &amp; Compliance</w:t>
            </w:r>
          </w:p>
        </w:tc>
        <w:tc>
          <w:tcPr>
            <w:tcW w:type="dxa" w:w="765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Prior-year return, estimated payments, notices, sales-tax/VAT filings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Owner Activity</w:t>
            </w:r>
          </w:p>
        </w:tc>
        <w:tc>
          <w:tcPr>
            <w:tcW w:type="dxa" w:w="765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All contributions, draws, distributions, shareholder/partner transactions</w:t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FFBEB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D97706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SCOPE REMINDER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Document collection is not tax advice. Confirm the final list and filing deadlines with the client's qualified tax professional.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04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QUALITY CONTROL REVIEW</w:t>
            </w:r>
          </w:p>
        </w:tc>
      </w:tr>
    </w:tbl>
    <w:p>
      <w:pPr>
        <w:spacing w:before="0" w:after="120" w:line="276" w:lineRule="auto"/>
      </w:pPr>
    </w:p>
    <w:p>
      <w:pPr>
        <w:jc w:val="both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0F172A"/>
          <w:sz w:val="19"/>
        </w:rPr>
        <w:t>Complete before delivering any report to any client. Both bookkeeper and reviewer must sign off before period lock.</w:t>
      </w:r>
    </w:p>
    <w:p/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All statement balances agree to the ledger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No unexplained suspense or uncategorised balances remaining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Opening balances and retained earnings are understood and documented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Negative assets / liabilities and unusual balances investigated and documented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Payroll, loans, sales-tax/VAT, and processor clearing fully reconciled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All material variances have documented explanations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Reports use correct period, basis, entity, and comparison column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All questions, judgments, and client approvals are documented in writing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Period is locked or closed in the software after review sign-off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Reports delivered to client portal — not by ordinary email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left"/>
          </w:pP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>© 2025 NovaOps  ·  Commercial Use License  ·  Bookkeeper Practice Launch System</w:t>
          </w:r>
        </w:p>
      </w:tc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64748B"/>
              <w:sz w:val="15"/>
            </w:rPr>
            <w:t xml:space="preserve">Page </w:t>
          </w:r>
          <w:r>
            <w:rPr>
              <w:rFonts w:ascii="Inter" w:hAnsi="Inter" w:eastAsia="Inter"/>
              <w:b/>
              <w:i w:val="0"/>
              <w:color w:val="0F766E"/>
              <w:sz w:val="15"/>
            </w:rPr>
            <w:fldChar w:fldCharType="begin"/>
            <w:instrText>PAGE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Mar>
            <w:top w:w="55" w:type="dxa"/>
            <w:bottom w:w="55" w:type="dxa"/>
            <w:left w:w="0" w:type="dxa"/>
            <w:right w:w="6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left"/>
          </w:pPr>
          <w:r>
            <w:rPr>
              <w:rFonts w:ascii="Poppins" w:hAnsi="Poppins" w:eastAsia="Poppins"/>
              <w:b/>
              <w:i w:val="0"/>
              <w:color w:val="0F766E"/>
              <w:sz w:val="14"/>
            </w:rPr>
            <w:t>NOVAOPS</w:t>
          </w: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 xml:space="preserve">  ·  Bookkeeper Practice Launch System  ·  v2.0</w:t>
          </w:r>
        </w:p>
      </w:tc>
      <w:tc>
        <w:tcPr>
          <w:tcW w:type="dxa" w:w="4536"/>
          <w:tcMar>
            <w:top w:w="55" w:type="dxa"/>
            <w:bottom w:w="55" w:type="dxa"/>
            <w:left w:w="60" w:type="dxa"/>
            <w:right w:w="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right"/>
          </w:pPr>
          <w:r>
            <w:rPr>
              <w:rFonts w:ascii="Inter" w:hAnsi="Inter" w:eastAsia="Inter"/>
              <w:b/>
              <w:i w:val="0"/>
              <w:color w:val="0F172A"/>
              <w:sz w:val="14"/>
            </w:rPr>
            <w:t>BOOKKEEPING SOPS &amp; CHECKLISTS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