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hd w:val="clear" w:color="auto" w:fill="0F766E"/>
              <w:spacing w:before="160" w:after="160" w:line="276" w:lineRule="auto"/>
              <w:ind w:left="400"/>
            </w:pPr>
            <w:r>
              <w:rPr>
                <w:rFonts w:ascii="Poppins" w:hAnsi="Poppins" w:eastAsia="Poppins"/>
                <w:b/>
                <w:i w:val="0"/>
                <w:color w:val="FFFFFF"/>
                <w:sz w:val="18"/>
              </w:rPr>
              <w:t>NOVAOPS</w:t>
            </w:r>
            <w:r>
              <w:rPr>
                <w:rFonts w:ascii="Inter" w:hAnsi="Inter" w:eastAsia="Inter"/>
                <w:b w:val="0"/>
                <w:i w:val="0"/>
                <w:color w:val="CCFBF1"/>
                <w:sz w:val="15"/>
              </w:rPr>
              <w:t xml:space="preserve">  ·  Bookkeeper Practice Launch System  ·  v2.0</w:t>
            </w:r>
          </w:p>
          <w:p>
            <w:pPr>
              <w:spacing w:before="1200" w:after="0" w:line="276" w:lineRule="auto"/>
            </w:pPr>
          </w:p>
          <w:p>
            <w:pPr>
              <w:spacing w:before="0" w:after="280" w:line="276" w:lineRule="auto"/>
              <w:ind w:left="400"/>
            </w:pPr>
            <w:r>
              <w:rPr>
                <w:rFonts w:ascii="Inter" w:hAnsi="Inter" w:eastAsia="Inter"/>
                <w:b/>
                <w:i w:val="0"/>
                <w:color w:val="0F766E"/>
                <w:sz w:val="15"/>
              </w:rPr>
              <w:t>04  —  OPERATIONS LIBRARY</w:t>
            </w:r>
          </w:p>
          <w:p>
            <w:pPr>
              <w:spacing w:before="0" w:after="1000" w:line="276" w:lineRule="auto"/>
              <w:ind w:left="400"/>
            </w:pPr>
            <w:r>
              <w:rPr>
                <w:rFonts w:ascii="Poppins" w:hAnsi="Poppins" w:eastAsia="Poppins"/>
                <w:b/>
                <w:i w:val="0"/>
                <w:color w:val="0F766E"/>
                <w:sz w:val="22"/>
              </w:rPr>
              <w:t>NOVAOPS</w:t>
            </w:r>
          </w:p>
          <w:p>
            <w:pPr>
              <w:spacing w:before="0" w:after="80" w:line="276" w:lineRule="auto"/>
              <w:ind w:left="400"/>
            </w:pPr>
            <w:r>
              <w:rPr>
                <w:rFonts w:ascii="Poppins" w:hAnsi="Poppins" w:eastAsia="Poppins"/>
                <w:b/>
                <w:i w:val="0"/>
                <w:color w:val="FFFFFF"/>
                <w:sz w:val="64"/>
              </w:rPr>
              <w:t>Client Communication</w:t>
            </w:r>
          </w:p>
          <w:p>
            <w:pPr>
              <w:spacing w:before="0" w:after="80" w:line="276" w:lineRule="auto"/>
              <w:ind w:left="400"/>
            </w:pPr>
            <w:r>
              <w:rPr>
                <w:rFonts w:ascii="Poppins" w:hAnsi="Poppins" w:eastAsia="Poppins"/>
                <w:b/>
                <w:i w:val="0"/>
                <w:color w:val="FFFFFF"/>
                <w:sz w:val="64"/>
              </w:rPr>
              <w:t>Scripts</w:t>
            </w:r>
          </w:p>
          <w:p>
            <w:pPr>
              <w:spacing w:before="160" w:after="560" w:line="276" w:lineRule="auto"/>
              <w:ind w:left="400"/>
            </w:pPr>
            <w:r>
              <w:rPr>
                <w:rFonts w:ascii="Inter" w:hAnsi="Inter" w:eastAsia="Inter"/>
                <w:b w:val="0"/>
                <w:i/>
                <w:color w:val="94A3B8"/>
                <w:sz w:val="24"/>
              </w:rPr>
              <w:t>Ten ready-to-use messages for every critical stage of the client lifecycle</w:t>
            </w:r>
          </w:p>
          <w:p>
            <w:pPr>
              <w:pBdr>
                <w:bottom w:val="single" w:sz="12" w:space="1" w:color="0F766E"/>
              </w:pBdr>
              <w:spacing w:before="0" w:after="400" w:line="276" w:lineRule="auto"/>
              <w:ind w:left="400" w:right="400"/>
            </w:pPr>
          </w:p>
          <w:p>
            <w:pPr>
              <w:spacing w:before="0" w:after="80" w:line="276" w:lineRule="auto"/>
              <w:ind w:left="400"/>
            </w:pPr>
            <w:r>
              <w:rPr>
                <w:rFonts w:ascii="Inter" w:hAnsi="Inter" w:eastAsia="Inter"/>
                <w:b w:val="0"/>
                <w:i w:val="0"/>
                <w:color w:val="64748B"/>
                <w:sz w:val="15"/>
              </w:rPr>
              <w:t xml:space="preserve">DOCUMENT TYPE </w:t>
            </w:r>
            <w:r>
              <w:rPr>
                <w:rFonts w:ascii="Inter" w:hAnsi="Inter" w:eastAsia="Inter"/>
                <w:b/>
                <w:i w:val="0"/>
                <w:color w:val="FFFFFF"/>
                <w:sz w:val="15"/>
              </w:rPr>
              <w:t>Internal Reference — Customise Before Sending</w:t>
            </w:r>
          </w:p>
          <w:p>
            <w:pPr>
              <w:spacing w:before="0" w:after="80" w:line="276" w:lineRule="auto"/>
              <w:ind w:left="400"/>
            </w:pPr>
            <w:r>
              <w:rPr>
                <w:rFonts w:ascii="Inter" w:hAnsi="Inter" w:eastAsia="Inter"/>
                <w:b w:val="0"/>
                <w:i w:val="0"/>
                <w:color w:val="64748B"/>
                <w:sz w:val="15"/>
              </w:rPr>
              <w:t>SCRIPTS INCLUDED</w:t>
            </w:r>
            <w:r>
              <w:rPr>
                <w:rFonts w:ascii="Inter" w:hAnsi="Inter" w:eastAsia="Inter"/>
                <w:b/>
                <w:i w:val="0"/>
                <w:color w:val="FFFFFF"/>
                <w:sz w:val="15"/>
              </w:rPr>
              <w:t>10  ·  Full client lifecycle</w:t>
            </w:r>
          </w:p>
          <w:p>
            <w:pPr>
              <w:spacing w:before="0" w:after="80" w:line="276" w:lineRule="auto"/>
              <w:ind w:left="400"/>
            </w:pPr>
            <w:r>
              <w:rPr>
                <w:rFonts w:ascii="Inter" w:hAnsi="Inter" w:eastAsia="Inter"/>
                <w:b w:val="0"/>
                <w:i w:val="0"/>
                <w:color w:val="64748B"/>
                <w:sz w:val="15"/>
              </w:rPr>
              <w:t xml:space="preserve">LAST UPDATED  </w:t>
            </w:r>
            <w:r>
              <w:rPr>
                <w:rFonts w:ascii="Inter" w:hAnsi="Inter" w:eastAsia="Inter"/>
                <w:b/>
                <w:i w:val="0"/>
                <w:color w:val="FFFFFF"/>
                <w:sz w:val="15"/>
              </w:rPr>
              <w:t>2025</w:t>
            </w:r>
          </w:p>
          <w:p>
            <w:pPr>
              <w:spacing w:before="800" w:after="0" w:line="276" w:lineRule="auto"/>
            </w:pPr>
          </w:p>
          <w:p>
            <w:pPr>
              <w:shd w:val="clear" w:color="auto" w:fill="D97706"/>
              <w:spacing w:before="160" w:after="160" w:line="276" w:lineRule="auto"/>
              <w:ind w:left="400"/>
            </w:pPr>
            <w:r>
              <w:rPr>
                <w:rFonts w:ascii="Poppins" w:hAnsi="Poppins" w:eastAsia="Poppins"/>
                <w:b/>
                <w:i w:val="0"/>
                <w:color w:val="FFFFFF"/>
                <w:sz w:val="15"/>
              </w:rPr>
              <w:t>VERSION 2.0  ·  PREMIUM CONSULTING EDITION  ·  © 2025 NOVAOPS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FFBEB"/>
            <w:tcMar>
              <w:top w:w="110" w:type="dxa"/>
              <w:bottom w:w="110" w:type="dxa"/>
              <w:left w:w="170" w:type="dxa"/>
              <w:right w:w="170" w:type="dxa"/>
            </w:tcMar>
            <w:tcBorders>
              <w:top w:val="single" w:sz="4" w:color="CBD5E1"/>
              <w:bottom w:val="single" w:sz="4" w:color="CBD5E1"/>
              <w:left w:val="single" w:sz="16" w:color="D97706"/>
              <w:right w:val="single" w:sz="4" w:color="CBD5E1"/>
              <w:insideH w:val="none" w:sz="0" w:color="auto"/>
              <w:insideV w:val="none" w:sz="0" w:color="auto"/>
            </w:tcBorders>
          </w:tcPr>
          <w:p>
            <w:pPr>
              <w:spacing w:before="0" w:after="100" w:line="276" w:lineRule="auto"/>
            </w:pPr>
            <w:r>
              <w:rPr>
                <w:rFonts w:ascii="Poppins" w:hAnsi="Poppins" w:eastAsia="Poppins"/>
                <w:b/>
                <w:i w:val="0"/>
                <w:color w:val="D97706"/>
                <w:sz w:val="14"/>
              </w:rPr>
              <w:t>CUSTOMISE BEFORE SENDING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8"/>
              </w:rPr>
              <w:t>Internal reference only — not for direct forwarding. Customise [BRACKETED TEXT] for every recipient before sending.</w:t>
            </w:r>
          </w:p>
        </w:tc>
      </w:tr>
    </w:tbl>
    <w:p>
      <w:pPr>
        <w:spacing w:before="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trHeight w:val="260" w:hRule="atLeast"/>
        </w:trPr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Inter" w:hAnsi="Inter" w:eastAsia="Inter"/>
                <w:b/>
                <w:i w:val="0"/>
                <w:color w:val="CCFBF1"/>
                <w:sz w:val="13"/>
              </w:rPr>
              <w:t>SCRIPTS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Inter" w:hAnsi="Inter" w:eastAsia="Inter"/>
                <w:b/>
                <w:i w:val="0"/>
                <w:color w:val="CCFBF1"/>
                <w:sz w:val="13"/>
              </w:rPr>
              <w:t>CHANNELS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Inter" w:hAnsi="Inter" w:eastAsia="Inter"/>
                <w:b/>
                <w:i w:val="0"/>
                <w:color w:val="CCFBF1"/>
                <w:sz w:val="13"/>
              </w:rPr>
              <w:t>TONE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Inter" w:hAnsi="Inter" w:eastAsia="Inter"/>
                <w:b/>
                <w:i w:val="0"/>
                <w:color w:val="CCFBF1"/>
                <w:sz w:val="13"/>
              </w:rPr>
              <w:t>FORMAT</w:t>
            </w:r>
          </w:p>
        </w:tc>
      </w:tr>
      <w:tr>
        <w:trPr>
          <w:trHeight w:val="640" w:hRule="atLeast"/>
        </w:trPr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44"/>
              </w:rPr>
              <w:t>10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44"/>
              </w:rPr>
              <w:t>Email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44"/>
              </w:rPr>
              <w:t>Professional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44"/>
              </w:rPr>
              <w:t>Copy-paste</w:t>
            </w:r>
          </w:p>
        </w:tc>
      </w:tr>
      <w:tr>
        <w:trPr>
          <w:trHeight w:val="260" w:hRule="atLeast"/>
        </w:trPr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F8FAFC"/>
            <w:tcMar>
              <w:top w:w="55" w:type="dxa"/>
              <w:bottom w:w="7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full lifecycle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F8FAFC"/>
            <w:tcMar>
              <w:top w:w="55" w:type="dxa"/>
              <w:bottom w:w="7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+ portal messages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F8FAFC"/>
            <w:tcMar>
              <w:top w:w="55" w:type="dxa"/>
              <w:bottom w:w="7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clear &amp; direct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F8FAFC"/>
            <w:tcMar>
              <w:top w:w="55" w:type="dxa"/>
              <w:bottom w:w="7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ready to use</w:t>
            </w:r>
          </w:p>
        </w:tc>
      </w:tr>
    </w:tbl>
    <w:p>
      <w:pPr>
        <w:spacing w:before="0" w:after="20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01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INQUIRY RESPONSE</w:t>
            </w:r>
          </w:p>
        </w:tc>
      </w:tr>
    </w:tbl>
    <w:p>
      <w:pPr>
        <w:spacing w:before="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r>
              <w:rPr>
                <w:rFonts w:ascii="Calibri" w:hAnsi="Calibri" w:eastAsia="Calibri"/>
                <w:b w:val="0"/>
                <w:i/>
                <w:color w:val="64748B"/>
                <w:sz w:val="16"/>
              </w:rPr>
              <w:t>Channel  ·  Email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30" w:type="dxa"/>
              <w:bottom w:w="30" w:type="dxa"/>
              <w:left w:w="60" w:type="dxa"/>
              <w:right w:w="0" w:type="dxa"/>
            </w:tcMar>
          </w:tcPr>
          <w:p>
            <w:r>
              <w:rPr>
                <w:rFonts w:ascii="Poppins" w:hAnsi="Poppins" w:eastAsia="Poppins"/>
                <w:b/>
                <w:i w:val="0"/>
                <w:color w:val="0F172A"/>
                <w:sz w:val="17"/>
              </w:rPr>
              <w:t>Subject line: Next step for your bookkeeping inquiry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8FAFC"/>
            <w:tcMar>
              <w:top w:w="150" w:type="dxa"/>
              <w:bottom w:w="150" w:type="dxa"/>
              <w:left w:w="200" w:type="dxa"/>
              <w:right w:w="200" w:type="dxa"/>
            </w:tcMar>
            <w:tcBorders>
              <w:top w:val="single" w:sz="4" w:color="CBD5E1"/>
              <w:bottom w:val="single" w:sz="4" w:color="CBD5E1"/>
              <w:left w:val="single" w:sz="12" w:color="0F766E"/>
              <w:right w:val="single" w:sz="4" w:color="CBD5E1"/>
              <w:insideH w:val="none" w:sz="0" w:color="auto"/>
              <w:insideV w:val="none" w:sz="0" w:color="auto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Hi [NAME],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Thank you for reaching out. To understand whether we are a good fit, I have a few quick questions: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→  Entity type and jurisdiction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→  Current bookkeeping software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→  Number of bank and credit-card accounts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→  Average monthly transaction volume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→  Payroll, sales tax/VAT, or multi-entity requirements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→  Known backlogs or issues with current books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→  Reporting needs (P&amp;L, cash flow, custom)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You can reply here or complete the intake form: [LINK]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[PRACTICE NAME]</w:t>
            </w:r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02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DIAGNOSTIC BOOKING</w:t>
            </w:r>
          </w:p>
        </w:tc>
      </w:tr>
    </w:tbl>
    <w:p>
      <w:pPr>
        <w:spacing w:before="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r>
              <w:rPr>
                <w:rFonts w:ascii="Calibri" w:hAnsi="Calibri" w:eastAsia="Calibri"/>
                <w:b w:val="0"/>
                <w:i/>
                <w:color w:val="64748B"/>
                <w:sz w:val="16"/>
              </w:rPr>
              <w:t>Channel  ·  Email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30" w:type="dxa"/>
              <w:bottom w:w="30" w:type="dxa"/>
              <w:left w:w="60" w:type="dxa"/>
              <w:right w:w="0" w:type="dxa"/>
            </w:tcMar>
          </w:tcPr>
          <w:p>
            <w:r>
              <w:rPr>
                <w:rFonts w:ascii="Poppins" w:hAnsi="Poppins" w:eastAsia="Poppins"/>
                <w:b/>
                <w:i w:val="0"/>
                <w:color w:val="0F172A"/>
                <w:sz w:val="17"/>
              </w:rPr>
              <w:t>Subject line: Bookkeeping diagnostic confirmed — [DATE]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8FAFC"/>
            <w:tcMar>
              <w:top w:w="150" w:type="dxa"/>
              <w:bottom w:w="150" w:type="dxa"/>
              <w:left w:w="200" w:type="dxa"/>
              <w:right w:w="200" w:type="dxa"/>
            </w:tcMar>
            <w:tcBorders>
              <w:top w:val="single" w:sz="4" w:color="CBD5E1"/>
              <w:bottom w:val="single" w:sz="4" w:color="CBD5E1"/>
              <w:left w:val="single" w:sz="12" w:color="0F766E"/>
              <w:right w:val="single" w:sz="4" w:color="CBD5E1"/>
              <w:insideH w:val="none" w:sz="0" w:color="auto"/>
              <w:insideV w:val="none" w:sz="0" w:color="auto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Hi [NAME],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Your diagnostic call is confirmed for [DATE] at [TIME] via [PLATFORM].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We will review your current system, last reconciled month, volume, known issues, and reporting goals.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Please securely upload or share before the call: [LIST OF DOCUMENTS]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Join link: [LINK]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[PRACTICE NAME]</w:t>
            </w:r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03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PROPOSAL FOLLOW-UP</w:t>
            </w:r>
          </w:p>
        </w:tc>
      </w:tr>
    </w:tbl>
    <w:p>
      <w:pPr>
        <w:spacing w:before="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r>
              <w:rPr>
                <w:rFonts w:ascii="Calibri" w:hAnsi="Calibri" w:eastAsia="Calibri"/>
                <w:b w:val="0"/>
                <w:i/>
                <w:color w:val="64748B"/>
                <w:sz w:val="16"/>
              </w:rPr>
              <w:t>Channel  ·  Email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30" w:type="dxa"/>
              <w:bottom w:w="30" w:type="dxa"/>
              <w:left w:w="60" w:type="dxa"/>
              <w:right w:w="0" w:type="dxa"/>
            </w:tcMar>
          </w:tcPr>
          <w:p>
            <w:r>
              <w:rPr>
                <w:rFonts w:ascii="Poppins" w:hAnsi="Poppins" w:eastAsia="Poppins"/>
                <w:b/>
                <w:i w:val="0"/>
                <w:color w:val="0F172A"/>
                <w:sz w:val="17"/>
              </w:rPr>
              <w:t>Subject line: Bookkeeping proposal — [COMPANY]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8FAFC"/>
            <w:tcMar>
              <w:top w:w="150" w:type="dxa"/>
              <w:bottom w:w="150" w:type="dxa"/>
              <w:left w:w="200" w:type="dxa"/>
              <w:right w:w="200" w:type="dxa"/>
            </w:tcMar>
            <w:tcBorders>
              <w:top w:val="single" w:sz="4" w:color="CBD5E1"/>
              <w:bottom w:val="single" w:sz="4" w:color="CBD5E1"/>
              <w:left w:val="single" w:sz="12" w:color="0F766E"/>
              <w:right w:val="single" w:sz="4" w:color="CBD5E1"/>
              <w:insideH w:val="none" w:sz="0" w:color="auto"/>
              <w:insideV w:val="none" w:sz="0" w:color="auto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Hi [NAME],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Following up on the proposal sent [DATE] for [COMPANY]. It addresses [PRIMARY ISSUE] with a recommended scope of [SUMMARY] at €[AMOUNT] per month, assuming an engagement start of [DATE].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Happy to answer questions before [DECISION DATE]. Book a call here: [LINK]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[PRACTICE NAME]</w:t>
            </w:r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04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WELCOME &amp; ONBOARDING</w:t>
            </w:r>
          </w:p>
        </w:tc>
      </w:tr>
    </w:tbl>
    <w:p>
      <w:pPr>
        <w:spacing w:before="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r>
              <w:rPr>
                <w:rFonts w:ascii="Calibri" w:hAnsi="Calibri" w:eastAsia="Calibri"/>
                <w:b w:val="0"/>
                <w:i/>
                <w:color w:val="64748B"/>
                <w:sz w:val="16"/>
              </w:rPr>
              <w:t>Channel  ·  Email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30" w:type="dxa"/>
              <w:bottom w:w="30" w:type="dxa"/>
              <w:left w:w="60" w:type="dxa"/>
              <w:right w:w="0" w:type="dxa"/>
            </w:tcMar>
          </w:tcPr>
          <w:p>
            <w:r>
              <w:rPr>
                <w:rFonts w:ascii="Poppins" w:hAnsi="Poppins" w:eastAsia="Poppins"/>
                <w:b/>
                <w:i w:val="0"/>
                <w:color w:val="0F172A"/>
                <w:sz w:val="17"/>
              </w:rPr>
              <w:t>Subject line: Welcome — your bookkeeping onboarding steps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8FAFC"/>
            <w:tcMar>
              <w:top w:w="150" w:type="dxa"/>
              <w:bottom w:w="150" w:type="dxa"/>
              <w:left w:w="200" w:type="dxa"/>
              <w:right w:w="200" w:type="dxa"/>
            </w:tcMar>
            <w:tcBorders>
              <w:top w:val="single" w:sz="4" w:color="CBD5E1"/>
              <w:bottom w:val="single" w:sz="4" w:color="CBD5E1"/>
              <w:left w:val="single" w:sz="12" w:color="0F766E"/>
              <w:right w:val="single" w:sz="4" w:color="CBD5E1"/>
              <w:insideH w:val="none" w:sz="0" w:color="auto"/>
              <w:insideV w:val="none" w:sz="0" w:color="auto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Hi [NAME],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Welcome — we are glad to be working with you. Three steps to get started: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01  Complete the intake form: [LINK]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02  Grant bookkeeping software access (instructions attached)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03  Upload requested documents to your portal: [LINK]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Please complete steps 01 and 02 by [DATE]. Your kickoff call is [DATE/TIME]: [LINK]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[PRACTICE NAME]</w:t>
            </w:r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05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MISSING DOCUMENTS</w:t>
            </w:r>
          </w:p>
        </w:tc>
      </w:tr>
    </w:tbl>
    <w:p>
      <w:pPr>
        <w:spacing w:before="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r>
              <w:rPr>
                <w:rFonts w:ascii="Calibri" w:hAnsi="Calibri" w:eastAsia="Calibri"/>
                <w:b w:val="0"/>
                <w:i/>
                <w:color w:val="64748B"/>
                <w:sz w:val="16"/>
              </w:rPr>
              <w:t>Channel  ·  Email or Portal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30" w:type="dxa"/>
              <w:bottom w:w="30" w:type="dxa"/>
              <w:left w:w="60" w:type="dxa"/>
              <w:right w:w="0" w:type="dxa"/>
            </w:tcMar>
          </w:tcPr>
          <w:p>
            <w:r>
              <w:rPr>
                <w:rFonts w:ascii="Poppins" w:hAnsi="Poppins" w:eastAsia="Poppins"/>
                <w:b/>
                <w:i w:val="0"/>
                <w:color w:val="0F172A"/>
                <w:sz w:val="17"/>
              </w:rPr>
              <w:t>Subject line: Documents needed — [MONTH] close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8FAFC"/>
            <w:tcMar>
              <w:top w:w="150" w:type="dxa"/>
              <w:bottom w:w="150" w:type="dxa"/>
              <w:left w:w="200" w:type="dxa"/>
              <w:right w:w="200" w:type="dxa"/>
            </w:tcMar>
            <w:tcBorders>
              <w:top w:val="single" w:sz="4" w:color="CBD5E1"/>
              <w:bottom w:val="single" w:sz="4" w:color="CBD5E1"/>
              <w:left w:val="single" w:sz="12" w:color="0F766E"/>
              <w:right w:val="single" w:sz="4" w:color="CBD5E1"/>
              <w:insideH w:val="none" w:sz="0" w:color="auto"/>
              <w:insideV w:val="none" w:sz="0" w:color="auto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Hi [NAME],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To complete the [MONTH] close on schedule, we still need: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[LIST SPECIFIC MISSING ITEMS]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Please upload to your portal by [DATE]: [LINK]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If not received by [DATE], report delivery may move from [ORIGINAL DATE] to [REVISED DATE].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[PRACTICE NAME]</w:t>
            </w:r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06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TRANSACTION QUESTIONS</w:t>
            </w:r>
          </w:p>
        </w:tc>
      </w:tr>
    </w:tbl>
    <w:p>
      <w:pPr>
        <w:spacing w:before="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r>
              <w:rPr>
                <w:rFonts w:ascii="Calibri" w:hAnsi="Calibri" w:eastAsia="Calibri"/>
                <w:b w:val="0"/>
                <w:i/>
                <w:color w:val="64748B"/>
                <w:sz w:val="16"/>
              </w:rPr>
              <w:t>Channel  ·  Email or Portal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30" w:type="dxa"/>
              <w:bottom w:w="30" w:type="dxa"/>
              <w:left w:w="60" w:type="dxa"/>
              <w:right w:w="0" w:type="dxa"/>
            </w:tcMar>
          </w:tcPr>
          <w:p>
            <w:r>
              <w:rPr>
                <w:rFonts w:ascii="Poppins" w:hAnsi="Poppins" w:eastAsia="Poppins"/>
                <w:b/>
                <w:i w:val="0"/>
                <w:color w:val="0F172A"/>
                <w:sz w:val="17"/>
              </w:rPr>
              <w:t>Subject line: [MONTH] bookkeeping questions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8FAFC"/>
            <w:tcMar>
              <w:top w:w="150" w:type="dxa"/>
              <w:bottom w:w="150" w:type="dxa"/>
              <w:left w:w="200" w:type="dxa"/>
              <w:right w:w="200" w:type="dxa"/>
            </w:tcMar>
            <w:tcBorders>
              <w:top w:val="single" w:sz="4" w:color="CBD5E1"/>
              <w:bottom w:val="single" w:sz="4" w:color="CBD5E1"/>
              <w:left w:val="single" w:sz="12" w:color="0F766E"/>
              <w:right w:val="single" w:sz="4" w:color="CBD5E1"/>
              <w:insideH w:val="none" w:sz="0" w:color="auto"/>
              <w:insideV w:val="none" w:sz="0" w:color="auto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Hi [NAME],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The [MONTH] question list is ready at [LINK]. Please respond by [DATE] to keep the close on schedule.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When answering — if a transaction is personal, reimbursable, or owner-related, note that. If unclear, add context rather than guessing the account.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[PRACTICE NAME]</w:t>
            </w:r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07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CLOSE COMPLETE</w:t>
            </w:r>
          </w:p>
        </w:tc>
      </w:tr>
    </w:tbl>
    <w:p>
      <w:pPr>
        <w:spacing w:before="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r>
              <w:rPr>
                <w:rFonts w:ascii="Calibri" w:hAnsi="Calibri" w:eastAsia="Calibri"/>
                <w:b w:val="0"/>
                <w:i/>
                <w:color w:val="64748B"/>
                <w:sz w:val="16"/>
              </w:rPr>
              <w:t>Channel  ·  Email or Portal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30" w:type="dxa"/>
              <w:bottom w:w="30" w:type="dxa"/>
              <w:left w:w="60" w:type="dxa"/>
              <w:right w:w="0" w:type="dxa"/>
            </w:tcMar>
          </w:tcPr>
          <w:p>
            <w:r>
              <w:rPr>
                <w:rFonts w:ascii="Poppins" w:hAnsi="Poppins" w:eastAsia="Poppins"/>
                <w:b/>
                <w:i w:val="0"/>
                <w:color w:val="0F172A"/>
                <w:sz w:val="17"/>
              </w:rPr>
              <w:t>Subject line: [MONTH] books are closed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8FAFC"/>
            <w:tcMar>
              <w:top w:w="150" w:type="dxa"/>
              <w:bottom w:w="150" w:type="dxa"/>
              <w:left w:w="200" w:type="dxa"/>
              <w:right w:w="200" w:type="dxa"/>
            </w:tcMar>
            <w:tcBorders>
              <w:top w:val="single" w:sz="4" w:color="CBD5E1"/>
              <w:bottom w:val="single" w:sz="4" w:color="CBD5E1"/>
              <w:left w:val="single" w:sz="12" w:color="0F766E"/>
              <w:right w:val="single" w:sz="4" w:color="CBD5E1"/>
              <w:insideH w:val="none" w:sz="0" w:color="auto"/>
              <w:insideV w:val="none" w:sz="0" w:color="auto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Hi [NAME],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The [MONTH] books are complete. Your reports are at [LINK].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Key items this month: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→  [FINANCIAL INSIGHT 1]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→  [FINANCIAL INSIGHT 2]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→  [ACTION REQUIRED]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Please confirm there are no material events after month-end that may affect the records.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Next close deadline: [DATE]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[PRACTICE NAME]</w:t>
            </w:r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08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YEAR-END HANDOFF</w:t>
            </w:r>
          </w:p>
        </w:tc>
      </w:tr>
    </w:tbl>
    <w:p>
      <w:pPr>
        <w:spacing w:before="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r>
              <w:rPr>
                <w:rFonts w:ascii="Calibri" w:hAnsi="Calibri" w:eastAsia="Calibri"/>
                <w:b w:val="0"/>
                <w:i/>
                <w:color w:val="64748B"/>
                <w:sz w:val="16"/>
              </w:rPr>
              <w:t>Channel  ·  Email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30" w:type="dxa"/>
              <w:bottom w:w="30" w:type="dxa"/>
              <w:left w:w="60" w:type="dxa"/>
              <w:right w:w="0" w:type="dxa"/>
            </w:tcMar>
          </w:tcPr>
          <w:p>
            <w:r>
              <w:rPr>
                <w:rFonts w:ascii="Poppins" w:hAnsi="Poppins" w:eastAsia="Poppins"/>
                <w:b/>
                <w:i w:val="0"/>
                <w:color w:val="0F172A"/>
                <w:sz w:val="17"/>
              </w:rPr>
              <w:t>Subject line: Year-end bookkeeping package — [COMPANY]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8FAFC"/>
            <w:tcMar>
              <w:top w:w="150" w:type="dxa"/>
              <w:bottom w:w="150" w:type="dxa"/>
              <w:left w:w="200" w:type="dxa"/>
              <w:right w:w="200" w:type="dxa"/>
            </w:tcMar>
            <w:tcBorders>
              <w:top w:val="single" w:sz="4" w:color="CBD5E1"/>
              <w:bottom w:val="single" w:sz="4" w:color="CBD5E1"/>
              <w:left w:val="single" w:sz="12" w:color="0F766E"/>
              <w:right w:val="single" w:sz="4" w:color="CBD5E1"/>
              <w:insideH w:val="none" w:sz="0" w:color="auto"/>
              <w:insideV w:val="none" w:sz="0" w:color="auto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Hi [NAME],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The year-end bookkeeping package for [COMPANY] ([FISCAL YEAR]) is ready in your portal: [LINK]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The package includes: final P&amp;L, final balance sheet, reconciliation summaries, and [OTHER REPORTS].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Open items and bookkeeping judgments are documented at [LINK]. Please send proposed adjusting entries through the secure portal — not by email.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[PRACTICE NAME]</w:t>
            </w:r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09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OVERDUE INVOICE</w:t>
            </w:r>
          </w:p>
        </w:tc>
      </w:tr>
    </w:tbl>
    <w:p>
      <w:pPr>
        <w:spacing w:before="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r>
              <w:rPr>
                <w:rFonts w:ascii="Calibri" w:hAnsi="Calibri" w:eastAsia="Calibri"/>
                <w:b w:val="0"/>
                <w:i/>
                <w:color w:val="64748B"/>
                <w:sz w:val="16"/>
              </w:rPr>
              <w:t>Channel  ·  Email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30" w:type="dxa"/>
              <w:bottom w:w="30" w:type="dxa"/>
              <w:left w:w="60" w:type="dxa"/>
              <w:right w:w="0" w:type="dxa"/>
            </w:tcMar>
          </w:tcPr>
          <w:p>
            <w:r>
              <w:rPr>
                <w:rFonts w:ascii="Poppins" w:hAnsi="Poppins" w:eastAsia="Poppins"/>
                <w:b/>
                <w:i w:val="0"/>
                <w:color w:val="0F172A"/>
                <w:sz w:val="17"/>
              </w:rPr>
              <w:t>Subject line: Invoice [NUMBER] — payment reminder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8FAFC"/>
            <w:tcMar>
              <w:top w:w="150" w:type="dxa"/>
              <w:bottom w:w="150" w:type="dxa"/>
              <w:left w:w="200" w:type="dxa"/>
              <w:right w:w="200" w:type="dxa"/>
            </w:tcMar>
            <w:tcBorders>
              <w:top w:val="single" w:sz="4" w:color="CBD5E1"/>
              <w:bottom w:val="single" w:sz="4" w:color="CBD5E1"/>
              <w:left w:val="single" w:sz="12" w:color="0F766E"/>
              <w:right w:val="single" w:sz="4" w:color="CBD5E1"/>
              <w:insideH w:val="none" w:sz="0" w:color="auto"/>
              <w:insideV w:val="none" w:sz="0" w:color="auto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Hi [NAME],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Invoice [NUMBER] for €[AMOUNT] (service period [PERIOD]) was due [DATE] and remains outstanding.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Payment options: [LINK / INSTRUCTIONS]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Under our engagement agreement, work may be paused if a balance remains overdue beyond [X] days. Please reach out if you have any questions.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[PRACTICE NAME]</w:t>
            </w:r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10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SCOPE CHANGE APPROVAL</w:t>
            </w:r>
          </w:p>
        </w:tc>
      </w:tr>
    </w:tbl>
    <w:p>
      <w:pPr>
        <w:spacing w:before="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r>
              <w:rPr>
                <w:rFonts w:ascii="Calibri" w:hAnsi="Calibri" w:eastAsia="Calibri"/>
                <w:b w:val="0"/>
                <w:i/>
                <w:color w:val="64748B"/>
                <w:sz w:val="16"/>
              </w:rPr>
              <w:t>Channel  ·  Email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30" w:type="dxa"/>
              <w:bottom w:w="30" w:type="dxa"/>
              <w:left w:w="60" w:type="dxa"/>
              <w:right w:w="0" w:type="dxa"/>
            </w:tcMar>
          </w:tcPr>
          <w:p>
            <w:r>
              <w:rPr>
                <w:rFonts w:ascii="Poppins" w:hAnsi="Poppins" w:eastAsia="Poppins"/>
                <w:b/>
                <w:i w:val="0"/>
                <w:color w:val="0F172A"/>
                <w:sz w:val="17"/>
              </w:rPr>
              <w:t>Subject line: Approval needed — scope change for [COMPANY]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8FAFC"/>
            <w:tcMar>
              <w:top w:w="150" w:type="dxa"/>
              <w:bottom w:w="150" w:type="dxa"/>
              <w:left w:w="200" w:type="dxa"/>
              <w:right w:w="200" w:type="dxa"/>
            </w:tcMar>
            <w:tcBorders>
              <w:top w:val="single" w:sz="4" w:color="CBD5E1"/>
              <w:bottom w:val="single" w:sz="4" w:color="CBD5E1"/>
              <w:left w:val="single" w:sz="12" w:color="0F766E"/>
              <w:right w:val="single" w:sz="4" w:color="CBD5E1"/>
              <w:insideH w:val="none" w:sz="0" w:color="auto"/>
              <w:insideV w:val="none" w:sz="0" w:color="auto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Hi [NAME],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Actual volume or complexity for [MONTH] differs from the proposal because: [SPECIFIC REASON].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Additional work required: [DESCRIPTION]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Revised fee: €[AMOUNT] — [BILLING TERMS]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This work will not proceed without your approval. Please reply "Approved" or ask any questions.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[PRACTICE NAME]</w:t>
            </w:r>
          </w:p>
        </w:tc>
      </w:tr>
    </w:tbl>
    <w:p>
      <w:pPr>
        <w:spacing w:before="0" w:after="120" w:line="276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6"/>
      <w:gridCol w:w="4536"/>
    </w:tblGrid>
    <w:tr>
      <w:tc>
        <w:tcPr>
          <w:tcW w:type="dxa" w:w="4536"/>
          <w:tcBorders>
            <w:top w:val="single" w:sz="4" w:color="CBD5E1"/>
            <w:bottom w:val="none" w:sz="0" w:color="auto"/>
            <w:left w:val="none" w:sz="0" w:color="auto"/>
            <w:right w:val="none" w:sz="0" w:color="auto"/>
            <w:insideH w:val="none" w:sz="0" w:color="auto"/>
            <w:insideV w:val="none" w:sz="0" w:color="auto"/>
          </w:tcBorders>
          <w:tcMar>
            <w:top w:w="55" w:type="dxa"/>
            <w:bottom w:w="55" w:type="dxa"/>
            <w:left w:w="0" w:type="dxa"/>
            <w:right w:w="0" w:type="dxa"/>
          </w:tcMar>
        </w:tcPr>
        <w:p>
          <w:pPr>
            <w:jc w:val="left"/>
          </w:pPr>
          <w:r>
            <w:rPr>
              <w:rFonts w:ascii="Inter" w:hAnsi="Inter" w:eastAsia="Inter"/>
              <w:b w:val="0"/>
              <w:i w:val="0"/>
              <w:color w:val="64748B"/>
              <w:sz w:val="13"/>
            </w:rPr>
            <w:t>© 2025 NovaOps  ·  Commercial Use License  ·  Bookkeeper Practice Launch System</w:t>
          </w:r>
        </w:p>
      </w:tc>
      <w:tc>
        <w:tcPr>
          <w:tcW w:type="dxa" w:w="4536"/>
          <w:tcBorders>
            <w:top w:val="single" w:sz="4" w:color="CBD5E1"/>
            <w:bottom w:val="none" w:sz="0" w:color="auto"/>
            <w:left w:val="none" w:sz="0" w:color="auto"/>
            <w:right w:val="none" w:sz="0" w:color="auto"/>
            <w:insideH w:val="none" w:sz="0" w:color="auto"/>
            <w:insideV w:val="none" w:sz="0" w:color="auto"/>
          </w:tcBorders>
          <w:tcMar>
            <w:top w:w="55" w:type="dxa"/>
            <w:bottom w:w="55" w:type="dxa"/>
            <w:left w:w="0" w:type="dxa"/>
            <w:right w:w="0" w:type="dxa"/>
          </w:tcMar>
        </w:tcPr>
        <w:p>
          <w:pPr>
            <w:jc w:val="right"/>
          </w:pPr>
          <w:r>
            <w:rPr>
              <w:rFonts w:ascii="Inter" w:hAnsi="Inter" w:eastAsia="Inter"/>
              <w:b w:val="0"/>
              <w:i w:val="0"/>
              <w:color w:val="64748B"/>
              <w:sz w:val="15"/>
            </w:rPr>
            <w:t xml:space="preserve">Page </w:t>
          </w:r>
          <w:r>
            <w:rPr>
              <w:rFonts w:ascii="Inter" w:hAnsi="Inter" w:eastAsia="Inter"/>
              <w:b/>
              <w:i w:val="0"/>
              <w:color w:val="0F766E"/>
              <w:sz w:val="15"/>
            </w:rPr>
            <w:fldChar w:fldCharType="begin"/>
            <w:instrText>PAGE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6"/>
      <w:gridCol w:w="4536"/>
    </w:tblGrid>
    <w:tr>
      <w:tc>
        <w:tcPr>
          <w:tcW w:type="dxa" w:w="4536"/>
          <w:tcMar>
            <w:top w:w="55" w:type="dxa"/>
            <w:bottom w:w="55" w:type="dxa"/>
            <w:left w:w="0" w:type="dxa"/>
            <w:right w:w="60" w:type="dxa"/>
          </w:tcMar>
          <w:tcBorders>
            <w:top w:val="none" w:sz="0" w:color="auto"/>
            <w:bottom w:val="single" w:sz="8" w:color="0F766E"/>
            <w:left w:val="none" w:sz="0" w:color="auto"/>
            <w:right w:val="none" w:sz="0" w:color="auto"/>
            <w:insideH w:val="none" w:sz="0" w:color="auto"/>
            <w:insideV w:val="none" w:sz="0" w:color="auto"/>
          </w:tcBorders>
        </w:tcPr>
        <w:p>
          <w:pPr>
            <w:jc w:val="left"/>
          </w:pPr>
          <w:r>
            <w:rPr>
              <w:rFonts w:ascii="Poppins" w:hAnsi="Poppins" w:eastAsia="Poppins"/>
              <w:b/>
              <w:i w:val="0"/>
              <w:color w:val="0F766E"/>
              <w:sz w:val="14"/>
            </w:rPr>
            <w:t>NOVAOPS</w:t>
          </w:r>
          <w:r>
            <w:rPr>
              <w:rFonts w:ascii="Inter" w:hAnsi="Inter" w:eastAsia="Inter"/>
              <w:b w:val="0"/>
              <w:i w:val="0"/>
              <w:color w:val="64748B"/>
              <w:sz w:val="13"/>
            </w:rPr>
            <w:t xml:space="preserve">  ·  Bookkeeper Practice Launch System  ·  v2.0</w:t>
          </w:r>
        </w:p>
      </w:tc>
      <w:tc>
        <w:tcPr>
          <w:tcW w:type="dxa" w:w="4536"/>
          <w:tcMar>
            <w:top w:w="55" w:type="dxa"/>
            <w:bottom w:w="55" w:type="dxa"/>
            <w:left w:w="60" w:type="dxa"/>
            <w:right w:w="0" w:type="dxa"/>
          </w:tcMar>
          <w:tcBorders>
            <w:top w:val="none" w:sz="0" w:color="auto"/>
            <w:bottom w:val="single" w:sz="8" w:color="0F766E"/>
            <w:left w:val="none" w:sz="0" w:color="auto"/>
            <w:right w:val="none" w:sz="0" w:color="auto"/>
            <w:insideH w:val="none" w:sz="0" w:color="auto"/>
            <w:insideV w:val="none" w:sz="0" w:color="auto"/>
          </w:tcBorders>
        </w:tcPr>
        <w:p>
          <w:pPr>
            <w:jc w:val="right"/>
          </w:pPr>
          <w:r>
            <w:rPr>
              <w:rFonts w:ascii="Inter" w:hAnsi="Inter" w:eastAsia="Inter"/>
              <w:b/>
              <w:i w:val="0"/>
              <w:color w:val="0F172A"/>
              <w:sz w:val="14"/>
            </w:rPr>
            <w:t>CLIENT COMMUNICATION SCRIPTS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