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406"/>
            <w:shd w:val="clear" w:color="auto" w:fill="0F172A"/>
            <w:tcMar>
              <w:top w:w="800" w:type="dxa"/>
              <w:bottom w:w="800" w:type="dxa"/>
              <w:left w:w="700" w:type="dxa"/>
              <w:right w:w="700" w:type="dxa"/>
            </w:tcMar>
            <w:vAlign w:val="center"/>
            <w:tcBorders>
              <w:top w:val="none" w:sz="0" w:color="auto"/>
              <w:bottom w:val="none" w:sz="0" w:color="auto"/>
              <w:left w:val="none" w:sz="0" w:color="auto"/>
              <w:right w:val="none" w:sz="0" w:color="auto"/>
              <w:insideH w:val="none" w:sz="0" w:color="auto"/>
              <w:insideV w:val="none" w:sz="0" w:color="auto"/>
            </w:tcBorders>
          </w:tcPr>
          <w:p>
            <w:pPr>
              <w:shd w:val="clear" w:color="auto" w:fill="0F766E"/>
              <w:spacing w:before="0" w:after="0"/>
            </w:pPr>
          </w:p>
          <w:p/>
          <w:p>
            <w:pPr>
              <w:spacing w:before="0" w:after="240"/>
            </w:pPr>
            <w:r>
              <w:rPr>
                <w:rFonts w:ascii="Poppins" w:hAnsi="Poppins" w:eastAsia="Poppins"/>
                <w:b/>
                <w:i w:val="0"/>
                <w:color w:val="0F766E"/>
                <w:sz w:val="16"/>
              </w:rPr>
              <w:t>03  —  CLIENT DOCUMENTS</w:t>
            </w:r>
          </w:p>
          <w:p>
            <w:pPr>
              <w:spacing w:before="0" w:after="80"/>
            </w:pPr>
            <w:r>
              <w:rPr>
                <w:rFonts w:ascii="Poppins" w:hAnsi="Poppins" w:eastAsia="Poppins"/>
                <w:b/>
                <w:i w:val="0"/>
                <w:color w:val="FFFFFF"/>
                <w:sz w:val="60"/>
              </w:rPr>
              <w:t>Bookkeeping</w:t>
            </w:r>
          </w:p>
          <w:p>
            <w:pPr>
              <w:spacing w:before="0" w:after="80"/>
            </w:pPr>
            <w:r>
              <w:rPr>
                <w:rFonts w:ascii="Poppins" w:hAnsi="Poppins" w:eastAsia="Poppins"/>
                <w:b/>
                <w:i w:val="0"/>
                <w:color w:val="FFFFFF"/>
                <w:sz w:val="60"/>
              </w:rPr>
              <w:t>Engagement Agreement</w:t>
            </w:r>
          </w:p>
          <w:p>
            <w:pPr>
              <w:spacing w:before="120" w:after="400"/>
            </w:pPr>
            <w:r>
              <w:rPr>
                <w:rFonts w:ascii="Inter" w:hAnsi="Inter" w:eastAsia="Inter"/>
                <w:b w:val="0"/>
                <w:i w:val="0"/>
                <w:color w:val="94A3B8"/>
                <w:sz w:val="24"/>
              </w:rPr>
              <w:t>Between [PRACTICE LEGAL NAME] and [CLIENT LEGAL NAME]</w:t>
            </w:r>
          </w:p>
          <w:p>
            <w:pPr>
              <w:spacing w:before="0" w:after="320"/>
              <w:pBdr>
                <w:bottom w:val="single" w:sz="12" w:space="1" w:color="0F766E"/>
              </w:pBdr>
            </w:pPr>
          </w:p>
          <w:p>
            <w:pPr>
              <w:spacing w:before="0" w:after="60"/>
            </w:pPr>
            <w:r>
              <w:rPr>
                <w:rFonts w:ascii="Inter" w:hAnsi="Inter" w:eastAsia="Inter"/>
                <w:b w:val="0"/>
                <w:i w:val="0"/>
                <w:color w:val="64748B"/>
                <w:sz w:val="15"/>
              </w:rPr>
              <w:t xml:space="preserve">PRACTICE  </w:t>
            </w:r>
            <w:r>
              <w:rPr>
                <w:rFonts w:ascii="Inter" w:hAnsi="Inter" w:eastAsia="Inter"/>
                <w:b/>
                <w:i w:val="0"/>
                <w:color w:val="FFFFFF"/>
                <w:sz w:val="16"/>
              </w:rPr>
              <w:t>[PRACTICE LEGAL NAME]</w:t>
            </w:r>
          </w:p>
          <w:p>
            <w:pPr>
              <w:spacing w:before="0" w:after="60"/>
            </w:pPr>
            <w:r>
              <w:rPr>
                <w:rFonts w:ascii="Inter" w:hAnsi="Inter" w:eastAsia="Inter"/>
                <w:b w:val="0"/>
                <w:i w:val="0"/>
                <w:color w:val="64748B"/>
                <w:sz w:val="15"/>
              </w:rPr>
              <w:t xml:space="preserve">CLIENT  </w:t>
            </w:r>
            <w:r>
              <w:rPr>
                <w:rFonts w:ascii="Inter" w:hAnsi="Inter" w:eastAsia="Inter"/>
                <w:b/>
                <w:i w:val="0"/>
                <w:color w:val="FFFFFF"/>
                <w:sz w:val="16"/>
              </w:rPr>
              <w:t>[CLIENT LEGAL NAME]</w:t>
            </w:r>
          </w:p>
          <w:p>
            <w:pPr>
              <w:spacing w:before="0" w:after="60"/>
            </w:pPr>
            <w:r>
              <w:rPr>
                <w:rFonts w:ascii="Inter" w:hAnsi="Inter" w:eastAsia="Inter"/>
                <w:b w:val="0"/>
                <w:i w:val="0"/>
                <w:color w:val="64748B"/>
                <w:sz w:val="15"/>
              </w:rPr>
              <w:t xml:space="preserve">AGREEMENT DATE  </w:t>
            </w:r>
            <w:r>
              <w:rPr>
                <w:rFonts w:ascii="Inter" w:hAnsi="Inter" w:eastAsia="Inter"/>
                <w:b/>
                <w:i w:val="0"/>
                <w:color w:val="FFFFFF"/>
                <w:sz w:val="16"/>
              </w:rPr>
              <w:t>[DATE]</w:t>
            </w:r>
          </w:p>
          <w:p>
            <w:pPr>
              <w:spacing w:before="0" w:after="60"/>
            </w:pPr>
            <w:r>
              <w:rPr>
                <w:rFonts w:ascii="Inter" w:hAnsi="Inter" w:eastAsia="Inter"/>
                <w:b w:val="0"/>
                <w:i w:val="0"/>
                <w:color w:val="64748B"/>
                <w:sz w:val="15"/>
              </w:rPr>
              <w:t xml:space="preserve">GOVERNED BY  </w:t>
            </w:r>
            <w:r>
              <w:rPr>
                <w:rFonts w:ascii="Inter" w:hAnsi="Inter" w:eastAsia="Inter"/>
                <w:b/>
                <w:i w:val="0"/>
                <w:color w:val="FFFFFF"/>
                <w:sz w:val="16"/>
              </w:rPr>
              <w:t>[JURISDICTION]</w:t>
            </w:r>
          </w:p>
          <w:p>
            <w:pPr>
              <w:spacing w:before="800" w:after="0"/>
            </w:pPr>
            <w:r>
              <w:rPr>
                <w:rFonts w:ascii="Poppins" w:hAnsi="Poppins" w:eastAsia="Poppins"/>
                <w:b/>
                <w:i w:val="0"/>
                <w:color w:val="D97706"/>
                <w:sz w:val="15"/>
              </w:rPr>
              <w:t>VERSION 2.0  ·  PREMIUM EDITION  ·  2025</w:t>
            </w:r>
          </w:p>
        </w:tc>
      </w:tr>
    </w:tbl>
    <w:p>
      <w:r>
        <w:br w:type="page"/>
      </w:r>
    </w:p>
    <w:tbl>
      <w:tblPr>
        <w:tblW w:type="auto" w:w="0"/>
        <w:jc w:val="center"/>
        <w:tblLook w:firstColumn="1" w:firstRow="1" w:lastColumn="0" w:lastRow="0" w:noHBand="0" w:noVBand="1" w:val="04A0"/>
      </w:tblPr>
      <w:tblGrid>
        <w:gridCol w:w="9406"/>
      </w:tblGrid>
      <w:tr>
        <w:tc>
          <w:tcPr>
            <w:tcW w:type="dxa" w:w="9406"/>
            <w:shd w:val="clear" w:color="auto" w:fill="FFFBEB"/>
            <w:tcMar>
              <w:top w:w="100" w:type="dxa"/>
              <w:bottom w:w="100" w:type="dxa"/>
              <w:left w:w="160" w:type="dxa"/>
              <w:right w:w="160" w:type="dxa"/>
            </w:tcMar>
            <w:tcBorders>
              <w:left w:val="single" w:sz="14" w:color="D97706"/>
              <w:insideH w:val="none" w:sz="0" w:color="auto"/>
              <w:insideV w:val="none" w:sz="0" w:color="auto"/>
              <w:top w:val="single" w:sz="4" w:color="CBD5E1"/>
              <w:right w:val="single" w:sz="4" w:color="CBD5E1"/>
              <w:bottom w:val="single" w:sz="4" w:color="CBD5E1"/>
            </w:tcBorders>
          </w:tcPr>
          <w:p>
            <w:pPr>
              <w:spacing w:before="0" w:after="0"/>
            </w:pPr>
            <w:r>
              <w:rPr>
                <w:rFonts w:ascii="Inter" w:hAnsi="Inter" w:eastAsia="Inter"/>
                <w:b w:val="0"/>
                <w:i w:val="0"/>
                <w:color w:val="0F172A"/>
                <w:sz w:val="18"/>
              </w:rPr>
              <w:t>This is a general template — not legal advice. Engage a qualified lawyer in your jurisdiction to review it before sending to any client. Do not skip this step.</w:t>
            </w:r>
          </w:p>
          <w:p>
            <w:pPr>
              <w:spacing w:before="0" w:after="80"/>
            </w:pPr>
            <w:r>
              <w:rPr>
                <w:rFonts w:ascii="Poppins" w:hAnsi="Poppins" w:eastAsia="Poppins"/>
                <w:b/>
                <w:i w:val="0"/>
                <w:color w:val="D97706"/>
                <w:sz w:val="14"/>
              </w:rPr>
              <w:t>LEGAL REVIEW REQUIRED BEFORE USE</w:t>
            </w:r>
          </w:p>
        </w:tc>
      </w:tr>
    </w:tbl>
    <w:p>
      <w:pPr>
        <w:spacing w:before="0" w:after="80"/>
      </w:pPr>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00</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AGREEMENT DETAILS</w:t>
            </w:r>
          </w:p>
        </w:tc>
      </w:tr>
    </w:tbl>
    <w:p>
      <w:pPr>
        <w:spacing w:before="120" w:after="120"/>
        <w:pBdr>
          <w:bottom w:val="single" w:sz="8" w:space="1" w:color="0F766E"/>
        </w:pBdr>
      </w:pP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Party / Field</w:t>
            </w:r>
          </w:p>
        </w:tc>
        <w:tc>
          <w:tcPr>
            <w:tcW w:type="dxa" w:w="7370"/>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Details</w:t>
            </w:r>
          </w:p>
        </w:tc>
      </w:tr>
      <w:tr>
        <w:tc>
          <w:tcPr>
            <w:tcW w:type="dxa" w:w="2835"/>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Practice Legal Name</w:t>
            </w:r>
          </w:p>
        </w:tc>
        <w:tc>
          <w:tcPr>
            <w:tcW w:type="dxa" w:w="7370"/>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[PRACTICE LEGAL NAME]</w:t>
            </w:r>
          </w:p>
        </w:tc>
      </w:tr>
      <w:tr>
        <w:tc>
          <w:tcPr>
            <w:tcW w:type="dxa" w:w="2835"/>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Practice Address</w:t>
            </w:r>
          </w:p>
        </w:tc>
        <w:tc>
          <w:tcPr>
            <w:tcW w:type="dxa" w:w="7370"/>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[PRACTICE ADDRESS]</w:t>
            </w:r>
          </w:p>
        </w:tc>
      </w:tr>
      <w:tr>
        <w:tc>
          <w:tcPr>
            <w:tcW w:type="dxa" w:w="2835"/>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Client Legal Name</w:t>
            </w:r>
          </w:p>
        </w:tc>
        <w:tc>
          <w:tcPr>
            <w:tcW w:type="dxa" w:w="7370"/>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[CLIENT LEGAL NAME]</w:t>
            </w:r>
          </w:p>
        </w:tc>
      </w:tr>
      <w:tr>
        <w:tc>
          <w:tcPr>
            <w:tcW w:type="dxa" w:w="2835"/>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Client Address</w:t>
            </w:r>
          </w:p>
        </w:tc>
        <w:tc>
          <w:tcPr>
            <w:tcW w:type="dxa" w:w="7370"/>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[CLIENT ADDRESS]</w:t>
            </w:r>
          </w:p>
        </w:tc>
      </w:tr>
      <w:tr>
        <w:tc>
          <w:tcPr>
            <w:tcW w:type="dxa" w:w="2835"/>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Agreement Date</w:t>
            </w:r>
          </w:p>
        </w:tc>
        <w:tc>
          <w:tcPr>
            <w:tcW w:type="dxa" w:w="7370"/>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[DATE]</w:t>
            </w:r>
          </w:p>
        </w:tc>
      </w:tr>
      <w:tr>
        <w:tc>
          <w:tcPr>
            <w:tcW w:type="dxa" w:w="2835"/>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Governing Law</w:t>
            </w:r>
          </w:p>
        </w:tc>
        <w:tc>
          <w:tcPr>
            <w:tcW w:type="dxa" w:w="7370"/>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[JURISDICTION]</w:t>
            </w:r>
          </w:p>
        </w:tc>
      </w:tr>
    </w:tbl>
    <w:p>
      <w:pPr>
        <w:spacing w:before="0" w:after="120"/>
      </w:pPr>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01</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SERVICES</w:t>
            </w:r>
          </w:p>
        </w:tc>
      </w:tr>
    </w:tbl>
    <w:p>
      <w:pPr>
        <w:spacing w:before="120" w:after="120"/>
        <w:pBdr>
          <w:bottom w:val="single" w:sz="8" w:space="1" w:color="0F766E"/>
        </w:pBdr>
      </w:pPr>
    </w:p>
    <w:p>
      <w:pPr>
        <w:jc w:val="both"/>
        <w:spacing w:before="0" w:after="80"/>
      </w:pPr>
      <w:r>
        <w:rPr>
          <w:rFonts w:ascii="Inter" w:hAnsi="Inter" w:eastAsia="Inter"/>
          <w:b w:val="0"/>
          <w:i w:val="0"/>
          <w:color w:val="0F172A"/>
          <w:sz w:val="19"/>
        </w:rPr>
        <w:t>The Practice will perform the bookkeeping services described in the attached Scope of Work. Services not expressly listed are excluded. The Scope of Work may be updated by written amendment signed by both parties.</w:t>
      </w:r>
    </w:p>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02</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CLIENT RESPONSIBILITIES</w:t>
            </w:r>
          </w:p>
        </w:tc>
      </w:tr>
    </w:tbl>
    <w:p>
      <w:pPr>
        <w:spacing w:before="120" w:after="120"/>
        <w:pBdr>
          <w:bottom w:val="single" w:sz="8" w:space="1" w:color="0F766E"/>
        </w:pBdr>
      </w:pPr>
    </w:p>
    <w:p>
      <w:pPr>
        <w:jc w:val="both"/>
        <w:spacing w:before="0" w:after="80"/>
      </w:pPr>
      <w:r>
        <w:rPr>
          <w:rFonts w:ascii="Inter" w:hAnsi="Inter" w:eastAsia="Inter"/>
          <w:b w:val="0"/>
          <w:i w:val="0"/>
          <w:color w:val="0F172A"/>
          <w:sz w:val="19"/>
        </w:rPr>
        <w:t>Client remains responsible for all business decisions, internal controls, source records, transaction authorisation, legal compliance, and the completeness and accuracy of all information supplied. The Practice relies on information provided by Client and does not independently verify source documents.</w:t>
      </w:r>
    </w:p>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03</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NO ASSURANCE, TAX, OR LEGAL OPINION</w:t>
            </w:r>
          </w:p>
        </w:tc>
      </w:tr>
    </w:tbl>
    <w:p>
      <w:pPr>
        <w:spacing w:before="120" w:after="120"/>
        <w:pBdr>
          <w:bottom w:val="single" w:sz="8" w:space="1" w:color="0F766E"/>
        </w:pBdr>
      </w:pPr>
    </w:p>
    <w:p>
      <w:pPr>
        <w:jc w:val="both"/>
        <w:spacing w:before="0" w:after="80"/>
      </w:pPr>
      <w:r>
        <w:rPr>
          <w:rFonts w:ascii="Inter" w:hAnsi="Inter" w:eastAsia="Inter"/>
          <w:b w:val="0"/>
          <w:i w:val="0"/>
          <w:color w:val="0F172A"/>
          <w:sz w:val="19"/>
        </w:rPr>
        <w:t>Unless separately agreed and legally permitted, this engagement does not include audit, review, assurance, tax advice, tax-return preparation, legal advice, fraud detection, forensic accounting, or independent verification of source information.</w:t>
      </w:r>
    </w:p>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04</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FEES AND PAYMENT</w:t>
            </w:r>
          </w:p>
        </w:tc>
      </w:tr>
    </w:tbl>
    <w:p>
      <w:pPr>
        <w:spacing w:before="120" w:after="120"/>
        <w:pBdr>
          <w:bottom w:val="single" w:sz="8" w:space="1" w:color="0F766E"/>
        </w:pBdr>
      </w:pPr>
    </w:p>
    <w:p>
      <w:pPr>
        <w:jc w:val="both"/>
        <w:spacing w:before="0" w:after="80"/>
      </w:pPr>
      <w:r>
        <w:rPr>
          <w:rFonts w:ascii="Inter" w:hAnsi="Inter" w:eastAsia="Inter"/>
          <w:b w:val="0"/>
          <w:i w:val="0"/>
          <w:color w:val="0F172A"/>
          <w:sz w:val="19"/>
        </w:rPr>
        <w:t>Fees are [AMOUNT/STRUCTURE] as described in the attached Scope of Work. Invoices are due [TERMS]. Work may be suspended for overdue balances after [X] days written notice. Client remains responsible for fees for completed work during any suspension.</w:t>
      </w:r>
    </w:p>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05</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ACCESS AND SECURITY</w:t>
            </w:r>
          </w:p>
        </w:tc>
      </w:tr>
    </w:tbl>
    <w:p>
      <w:pPr>
        <w:spacing w:before="120" w:after="120"/>
        <w:pBdr>
          <w:bottom w:val="single" w:sz="8" w:space="1" w:color="0F766E"/>
        </w:pBdr>
      </w:pPr>
    </w:p>
    <w:p>
      <w:pPr>
        <w:jc w:val="both"/>
        <w:spacing w:before="0" w:after="80"/>
      </w:pPr>
      <w:r>
        <w:rPr>
          <w:rFonts w:ascii="Inter" w:hAnsi="Inter" w:eastAsia="Inter"/>
          <w:b w:val="0"/>
          <w:i w:val="0"/>
          <w:color w:val="0F172A"/>
          <w:sz w:val="19"/>
        </w:rPr>
        <w:t>Both parties will maintain reasonable security controls and use role-based software access. Client will not transmit passwords through ordinary email. Each party will promptly notify the other of any suspected unauthorised access to systems or client data.</w:t>
      </w:r>
    </w:p>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06</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DEADLINES AND DELAYS</w:t>
            </w:r>
          </w:p>
        </w:tc>
      </w:tr>
    </w:tbl>
    <w:p>
      <w:pPr>
        <w:spacing w:before="120" w:after="120"/>
        <w:pBdr>
          <w:bottom w:val="single" w:sz="8" w:space="1" w:color="0F766E"/>
        </w:pBdr>
      </w:pPr>
    </w:p>
    <w:p>
      <w:pPr>
        <w:jc w:val="both"/>
        <w:spacing w:before="0" w:after="80"/>
      </w:pPr>
      <w:r>
        <w:rPr>
          <w:rFonts w:ascii="Inter" w:hAnsi="Inter" w:eastAsia="Inter"/>
          <w:b w:val="0"/>
          <w:i w:val="0"/>
          <w:color w:val="0F172A"/>
          <w:sz w:val="19"/>
        </w:rPr>
        <w:t>Delivery dates depend on timely receipt of records, responses, and approvals from Client. Client delays may shift close and reporting dates by an equivalent period without penalty to the Practice.</w:t>
      </w:r>
    </w:p>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07</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CORRECTIONS AND PRIOR PERIODS</w:t>
            </w:r>
          </w:p>
        </w:tc>
      </w:tr>
    </w:tbl>
    <w:p>
      <w:pPr>
        <w:spacing w:before="120" w:after="120"/>
        <w:pBdr>
          <w:bottom w:val="single" w:sz="8" w:space="1" w:color="0F766E"/>
        </w:pBdr>
      </w:pPr>
    </w:p>
    <w:p>
      <w:pPr>
        <w:jc w:val="both"/>
        <w:spacing w:before="0" w:after="80"/>
      </w:pPr>
      <w:r>
        <w:rPr>
          <w:rFonts w:ascii="Inter" w:hAnsi="Inter" w:eastAsia="Inter"/>
          <w:b w:val="0"/>
          <w:i w:val="0"/>
          <w:color w:val="0F172A"/>
          <w:sz w:val="19"/>
        </w:rPr>
        <w:t>The Practice may correct bookkeeping errors identified during the engagement. Material prior-period or cleanup work outside scope requires written approval and additional fees.</w:t>
      </w:r>
    </w:p>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08</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CONFIDENTIALITY AND PRIVACY</w:t>
            </w:r>
          </w:p>
        </w:tc>
      </w:tr>
    </w:tbl>
    <w:p>
      <w:pPr>
        <w:spacing w:before="120" w:after="120"/>
        <w:pBdr>
          <w:bottom w:val="single" w:sz="8" w:space="1" w:color="0F766E"/>
        </w:pBdr>
      </w:pPr>
    </w:p>
    <w:p>
      <w:pPr>
        <w:jc w:val="both"/>
        <w:spacing w:before="0" w:after="80"/>
      </w:pPr>
      <w:r>
        <w:rPr>
          <w:rFonts w:ascii="Inter" w:hAnsi="Inter" w:eastAsia="Inter"/>
          <w:b w:val="0"/>
          <w:i w:val="0"/>
          <w:color w:val="0F172A"/>
          <w:sz w:val="19"/>
        </w:rPr>
        <w:t>Each party will protect the other's confidential information using at least reasonable care and will comply with applicable privacy obligations. Data-processing terms required by law may be attached as a schedule.</w:t>
      </w:r>
    </w:p>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09</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THIRD-PARTY SYSTEMS</w:t>
            </w:r>
          </w:p>
        </w:tc>
      </w:tr>
    </w:tbl>
    <w:p>
      <w:pPr>
        <w:spacing w:before="120" w:after="120"/>
        <w:pBdr>
          <w:bottom w:val="single" w:sz="8" w:space="1" w:color="0F766E"/>
        </w:pBdr>
      </w:pPr>
    </w:p>
    <w:p>
      <w:pPr>
        <w:jc w:val="both"/>
        <w:spacing w:before="0" w:after="80"/>
      </w:pPr>
      <w:r>
        <w:rPr>
          <w:rFonts w:ascii="Inter" w:hAnsi="Inter" w:eastAsia="Inter"/>
          <w:b w:val="0"/>
          <w:i w:val="0"/>
          <w:color w:val="0F172A"/>
          <w:sz w:val="19"/>
        </w:rPr>
        <w:t>The Practice is not responsible for outages, data loss, policy changes, fees, or errors caused by banks, accounting software, payroll providers, payment processors, or other third parties used in delivering services.</w:t>
      </w:r>
    </w:p>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10</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RECORDS AND RETENTION</w:t>
            </w:r>
          </w:p>
        </w:tc>
      </w:tr>
    </w:tbl>
    <w:p>
      <w:pPr>
        <w:spacing w:before="120" w:after="120"/>
        <w:pBdr>
          <w:bottom w:val="single" w:sz="8" w:space="1" w:color="0F766E"/>
        </w:pBdr>
      </w:pPr>
    </w:p>
    <w:p>
      <w:pPr>
        <w:jc w:val="both"/>
        <w:spacing w:before="0" w:after="80"/>
      </w:pPr>
      <w:r>
        <w:rPr>
          <w:rFonts w:ascii="Inter" w:hAnsi="Inter" w:eastAsia="Inter"/>
          <w:b w:val="0"/>
          <w:i w:val="0"/>
          <w:color w:val="0F172A"/>
          <w:sz w:val="19"/>
        </w:rPr>
        <w:t>Client owns and is responsible for retaining original source documents for the legally required period. The Practice may retain working files in accordance with its retention policy and applicable professional standards.</w:t>
      </w:r>
    </w:p>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11</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TERMINATION</w:t>
            </w:r>
          </w:p>
        </w:tc>
      </w:tr>
    </w:tbl>
    <w:p>
      <w:pPr>
        <w:spacing w:before="120" w:after="120"/>
        <w:pBdr>
          <w:bottom w:val="single" w:sz="8" w:space="1" w:color="0F766E"/>
        </w:pBdr>
      </w:pPr>
    </w:p>
    <w:p>
      <w:pPr>
        <w:jc w:val="both"/>
        <w:spacing w:before="0" w:after="80"/>
      </w:pPr>
      <w:r>
        <w:rPr>
          <w:rFonts w:ascii="Inter" w:hAnsi="Inter" w:eastAsia="Inter"/>
          <w:b w:val="0"/>
          <w:i w:val="0"/>
          <w:color w:val="0F172A"/>
          <w:sz w:val="19"/>
        </w:rPr>
        <w:t>Either party may terminate with [NUMBER] days written notice. Client will pay for all completed work, work in progress, and non-cancellable costs before the effective date. The Practice will deliver a final report package on termination.</w:t>
      </w:r>
    </w:p>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12</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LIMITATION AND DISPUTE RESOLUTION</w:t>
            </w:r>
          </w:p>
        </w:tc>
      </w:tr>
    </w:tbl>
    <w:p>
      <w:pPr>
        <w:spacing w:before="120" w:after="120"/>
        <w:pBdr>
          <w:bottom w:val="single" w:sz="8" w:space="1" w:color="0F766E"/>
        </w:pBdr>
      </w:pPr>
    </w:p>
    <w:p>
      <w:pPr>
        <w:jc w:val="both"/>
        <w:spacing w:before="0" w:after="80"/>
      </w:pPr>
      <w:r>
        <w:rPr>
          <w:rFonts w:ascii="Inter" w:hAnsi="Inter" w:eastAsia="Inter"/>
          <w:b w:val="0"/>
          <w:i w:val="0"/>
          <w:color w:val="0F172A"/>
          <w:sz w:val="19"/>
        </w:rPr>
        <w:t>Liability limits, governing law, venue, and dispute resolution must be customised for the applicable jurisdiction and reviewed by a qualified lawyer before use. [CUSTOMISE FOR YOUR JURISDICTION]</w:t>
      </w:r>
    </w:p>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13</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ENTIRE AGREEMENT</w:t>
            </w:r>
          </w:p>
        </w:tc>
      </w:tr>
    </w:tbl>
    <w:p>
      <w:pPr>
        <w:spacing w:before="120" w:after="120"/>
        <w:pBdr>
          <w:bottom w:val="single" w:sz="8" w:space="1" w:color="0F766E"/>
        </w:pBdr>
      </w:pPr>
    </w:p>
    <w:p>
      <w:pPr>
        <w:jc w:val="both"/>
        <w:spacing w:before="0" w:after="80"/>
      </w:pPr>
      <w:r>
        <w:rPr>
          <w:rFonts w:ascii="Inter" w:hAnsi="Inter" w:eastAsia="Inter"/>
          <w:b w:val="0"/>
          <w:i w:val="0"/>
          <w:color w:val="0F172A"/>
          <w:sz w:val="19"/>
        </w:rPr>
        <w:t>This Agreement and all attached schedules constitute the entire agreement between the parties and supersede all prior discussions. Changes require a written amendment signed by authorised representatives of both parties.</w:t>
      </w:r>
    </w:p>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14</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SCOPE OF WORK</w:t>
            </w:r>
          </w:p>
        </w:tc>
      </w:tr>
    </w:tbl>
    <w:p>
      <w:pPr>
        <w:spacing w:before="120" w:after="120"/>
        <w:pBdr>
          <w:bottom w:val="single" w:sz="8" w:space="1" w:color="0F766E"/>
        </w:pBdr>
      </w:pP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Field</w:t>
            </w:r>
          </w:p>
        </w:tc>
        <w:tc>
          <w:tcPr>
            <w:tcW w:type="dxa" w:w="7087"/>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Details</w:t>
            </w:r>
          </w:p>
        </w:tc>
      </w:tr>
      <w:tr>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Engagement Start Date</w:t>
            </w:r>
          </w:p>
        </w:tc>
        <w:tc>
          <w:tcPr>
            <w:tcW w:type="dxa" w:w="7087"/>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311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Bookkeeping Software</w:t>
            </w:r>
          </w:p>
        </w:tc>
        <w:tc>
          <w:tcPr>
            <w:tcW w:type="dxa" w:w="7087"/>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Accounts / Volume Assumption</w:t>
            </w:r>
          </w:p>
        </w:tc>
        <w:tc>
          <w:tcPr>
            <w:tcW w:type="dxa" w:w="7087"/>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311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Recurring Services</w:t>
            </w:r>
          </w:p>
        </w:tc>
        <w:tc>
          <w:tcPr>
            <w:tcW w:type="dxa" w:w="7087"/>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Excluded Services</w:t>
            </w:r>
          </w:p>
        </w:tc>
        <w:tc>
          <w:tcPr>
            <w:tcW w:type="dxa" w:w="7087"/>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311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Monthly Fee</w:t>
            </w:r>
          </w:p>
        </w:tc>
        <w:tc>
          <w:tcPr>
            <w:tcW w:type="dxa" w:w="7087"/>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Monthly Close Deadline</w:t>
            </w:r>
          </w:p>
        </w:tc>
        <w:tc>
          <w:tcPr>
            <w:tcW w:type="dxa" w:w="7087"/>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311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Client Primary Contact</w:t>
            </w:r>
          </w:p>
        </w:tc>
        <w:tc>
          <w:tcPr>
            <w:tcW w:type="dxa" w:w="7087"/>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Billing Terms</w:t>
            </w:r>
          </w:p>
        </w:tc>
        <w:tc>
          <w:tcPr>
            <w:tcW w:type="dxa" w:w="7087"/>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bl>
    <w:p>
      <w:pPr>
        <w:spacing w:before="0" w:after="120"/>
      </w:pPr>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15</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SIGNATURES</w:t>
            </w:r>
          </w:p>
        </w:tc>
      </w:tr>
    </w:tbl>
    <w:p>
      <w:pPr>
        <w:spacing w:before="120" w:after="120"/>
        <w:pBdr>
          <w:bottom w:val="single" w:sz="8" w:space="1" w:color="0F766E"/>
        </w:pBdr>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Party</w:t>
            </w:r>
          </w:p>
        </w:tc>
        <w:tc>
          <w:tcPr>
            <w:tcW w:type="dxa" w:w="3402"/>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Name &amp; Title</w:t>
            </w:r>
          </w:p>
        </w:tc>
        <w:tc>
          <w:tcPr>
            <w:tcW w:type="dxa" w:w="3118"/>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Signature</w:t>
            </w:r>
          </w:p>
        </w:tc>
        <w:tc>
          <w:tcPr>
            <w:tcW w:type="dxa" w:w="2268"/>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Date</w:t>
            </w:r>
          </w:p>
        </w:tc>
      </w:tr>
      <w:tr>
        <w:tc>
          <w:tcPr>
            <w:tcW w:type="dxa" w:w="1417"/>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Client</w:t>
            </w:r>
          </w:p>
        </w:tc>
        <w:tc>
          <w:tcPr>
            <w:tcW w:type="dxa" w:w="3402"/>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c>
          <w:tcPr>
            <w:tcW w:type="dxa" w:w="226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1417"/>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Practice</w:t>
            </w:r>
          </w:p>
        </w:tc>
        <w:tc>
          <w:tcPr>
            <w:tcW w:type="dxa" w:w="3402"/>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[PRACTICE NAME]</w:t>
            </w:r>
          </w:p>
        </w:tc>
        <w:tc>
          <w:tcPr>
            <w:tcW w:type="dxa" w:w="311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c>
          <w:tcPr>
            <w:tcW w:type="dxa" w:w="226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bl>
    <w:p>
      <w:pPr>
        <w:spacing w:before="0" w:after="120"/>
      </w:pPr>
    </w:p>
    <w:sectPr w:rsidR="00FC693F" w:rsidRPr="0006063C" w:rsidSect="00034616">
      <w:headerReference w:type="default" r:id="rId9"/>
      <w:footerReference w:type="default" r:id="rId10"/>
      <w:pgSz w:w="12240" w:h="15840"/>
      <w:pgMar w:top="1361" w:right="1417" w:bottom="1361"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536"/>
      <w:gridCol w:w="4536"/>
    </w:tblGrid>
    <w:tr>
      <w:tc>
        <w:tcPr>
          <w:tcW w:type="dxa" w:w="4536"/>
          <w:tcBorders>
            <w:top w:val="single" w:sz="4" w:color="CBD5E1"/>
            <w:bottom w:val="none" w:sz="0" w:color="auto"/>
            <w:left w:val="none" w:sz="0" w:color="auto"/>
            <w:right w:val="none" w:sz="0" w:color="auto"/>
            <w:insideH w:val="none" w:sz="0" w:color="auto"/>
            <w:insideV w:val="none" w:sz="0" w:color="auto"/>
          </w:tcBorders>
          <w:tcMar>
            <w:top w:w="50" w:type="dxa"/>
            <w:bottom w:w="50" w:type="dxa"/>
            <w:left w:w="0" w:type="dxa"/>
            <w:right w:w="0" w:type="dxa"/>
          </w:tcMar>
        </w:tcPr>
        <w:p>
          <w:pPr>
            <w:jc w:val="left"/>
          </w:pPr>
          <w:r>
            <w:rPr>
              <w:rFonts w:ascii="Inter" w:hAnsi="Inter" w:eastAsia="Inter"/>
              <w:b w:val="0"/>
              <w:i w:val="0"/>
              <w:color w:val="64748B"/>
              <w:sz w:val="14"/>
            </w:rPr>
            <w:t>Confidential  ·  Commercial Use Licence  ·  © 2025 Bookkeeper Practice Launch System</w:t>
          </w:r>
        </w:p>
      </w:tc>
      <w:tc>
        <w:tcPr>
          <w:tcW w:type="dxa" w:w="4536"/>
          <w:tcBorders>
            <w:top w:val="single" w:sz="4" w:color="CBD5E1"/>
            <w:bottom w:val="none" w:sz="0" w:color="auto"/>
            <w:left w:val="none" w:sz="0" w:color="auto"/>
            <w:right w:val="none" w:sz="0" w:color="auto"/>
            <w:insideH w:val="none" w:sz="0" w:color="auto"/>
            <w:insideV w:val="none" w:sz="0" w:color="auto"/>
          </w:tcBorders>
          <w:tcMar>
            <w:top w:w="50" w:type="dxa"/>
            <w:bottom w:w="50" w:type="dxa"/>
            <w:left w:w="0" w:type="dxa"/>
            <w:right w:w="0" w:type="dxa"/>
          </w:tcMar>
        </w:tcPr>
        <w:p>
          <w:pPr>
            <w:jc w:val="right"/>
          </w:pPr>
          <w:r>
            <w:rPr>
              <w:rFonts w:ascii="Inter" w:hAnsi="Inter" w:eastAsia="Inter"/>
              <w:b w:val="0"/>
              <w:i w:val="0"/>
              <w:color w:val="64748B"/>
              <w:sz w:val="16"/>
            </w:rPr>
            <w:t xml:space="preserve">Page </w:t>
          </w:r>
          <w:r>
            <w:rPr>
              <w:rFonts w:ascii="Inter" w:hAnsi="Inter" w:eastAsia="Inter"/>
              <w:b/>
              <w:i w:val="0"/>
              <w:color w:val="0F766E"/>
              <w:sz w:val="16"/>
            </w:rPr>
            <w:fldChar w:fldCharType="begin"/>
            <w:instrText>PAGE</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536"/>
      <w:gridCol w:w="4536"/>
    </w:tblGrid>
    <w:tr>
      <w:tc>
        <w:tcPr>
          <w:tcW w:type="dxa" w:w="4536"/>
          <w:tcMar>
            <w:top w:w="60" w:type="dxa"/>
            <w:bottom w:w="60" w:type="dxa"/>
            <w:left w:w="0" w:type="dxa"/>
            <w:right w:w="60" w:type="dxa"/>
          </w:tcMar>
          <w:tcBorders>
            <w:top w:val="none" w:sz="0" w:color="auto"/>
            <w:bottom w:val="single" w:sz="12" w:color="0F766E"/>
            <w:left w:val="none" w:sz="0" w:color="auto"/>
            <w:right w:val="none" w:sz="0" w:color="auto"/>
            <w:insideH w:val="none" w:sz="0" w:color="auto"/>
            <w:insideV w:val="none" w:sz="0" w:color="auto"/>
          </w:tcBorders>
        </w:tcPr>
        <w:p>
          <w:pPr>
            <w:jc w:val="left"/>
          </w:pPr>
          <w:r>
            <w:rPr>
              <w:rFonts w:ascii="Inter" w:hAnsi="Inter" w:eastAsia="Inter"/>
              <w:b w:val="0"/>
              <w:i w:val="0"/>
              <w:color w:val="64748B"/>
              <w:sz w:val="14"/>
            </w:rPr>
            <w:t>BOOKKEEPER PRACTICE LAUNCH SYSTEM  ·  v2.0</w:t>
          </w:r>
        </w:p>
      </w:tc>
      <w:tc>
        <w:tcPr>
          <w:tcW w:type="dxa" w:w="4536"/>
          <w:tcMar>
            <w:top w:w="60" w:type="dxa"/>
            <w:bottom w:w="60" w:type="dxa"/>
            <w:left w:w="60" w:type="dxa"/>
            <w:right w:w="0" w:type="dxa"/>
          </w:tcMar>
          <w:tcBorders>
            <w:top w:val="none" w:sz="0" w:color="auto"/>
            <w:bottom w:val="single" w:sz="12" w:color="0F766E"/>
            <w:left w:val="none" w:sz="0" w:color="auto"/>
            <w:right w:val="none" w:sz="0" w:color="auto"/>
            <w:insideH w:val="none" w:sz="0" w:color="auto"/>
            <w:insideV w:val="none" w:sz="0" w:color="auto"/>
          </w:tcBorders>
        </w:tcPr>
        <w:p>
          <w:pPr>
            <w:jc w:val="right"/>
          </w:pPr>
          <w:r>
            <w:rPr>
              <w:rFonts w:ascii="Inter" w:hAnsi="Inter" w:eastAsia="Inter"/>
              <w:b/>
              <w:i w:val="0"/>
              <w:color w:val="0F172A"/>
              <w:sz w:val="14"/>
            </w:rPr>
            <w:t>BOOKKEEPING ENGAGEMENT AGREEMENT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