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0F172A"/>
            <w:tcMar>
              <w:top w:w="800" w:type="dxa"/>
              <w:bottom w:w="800" w:type="dxa"/>
              <w:left w:w="700" w:type="dxa"/>
              <w:right w:w="700" w:type="dxa"/>
            </w:tcMar>
            <w:vAlign w:val="center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pPr>
              <w:shd w:val="clear" w:color="auto" w:fill="0F766E"/>
              <w:spacing w:before="0" w:after="0"/>
            </w:pPr>
          </w:p>
          <w:p/>
          <w:p>
            <w:pPr>
              <w:spacing w:before="0" w:after="240"/>
            </w:pPr>
            <w:r>
              <w:rPr>
                <w:rFonts w:ascii="Poppins" w:hAnsi="Poppins" w:eastAsia="Poppins"/>
                <w:b/>
                <w:i w:val="0"/>
                <w:color w:val="0F766E"/>
                <w:sz w:val="16"/>
              </w:rPr>
              <w:t>03  —  CLIENT DOCUMENTS</w:t>
            </w:r>
          </w:p>
          <w:p>
            <w:pPr>
              <w:spacing w:before="0" w:after="80"/>
            </w:pPr>
            <w:r>
              <w:rPr>
                <w:rFonts w:ascii="Poppins" w:hAnsi="Poppins" w:eastAsia="Poppins"/>
                <w:b/>
                <w:i w:val="0"/>
                <w:color w:val="FFFFFF"/>
                <w:sz w:val="60"/>
              </w:rPr>
              <w:t>Bookkeeping</w:t>
            </w:r>
          </w:p>
          <w:p>
            <w:pPr>
              <w:spacing w:before="0" w:after="80"/>
            </w:pPr>
            <w:r>
              <w:rPr>
                <w:rFonts w:ascii="Poppins" w:hAnsi="Poppins" w:eastAsia="Poppins"/>
                <w:b/>
                <w:i w:val="0"/>
                <w:color w:val="FFFFFF"/>
                <w:sz w:val="60"/>
              </w:rPr>
              <w:t>Service Guide</w:t>
            </w:r>
          </w:p>
          <w:p>
            <w:pPr>
              <w:spacing w:before="120" w:after="400"/>
            </w:pPr>
            <w:r>
              <w:rPr>
                <w:rFonts w:ascii="Inter" w:hAnsi="Inter" w:eastAsia="Inter"/>
                <w:b w:val="0"/>
                <w:i w:val="0"/>
                <w:color w:val="94A3B8"/>
                <w:sz w:val="24"/>
              </w:rPr>
              <w:t>Your complete guide to our services, packages, and process</w:t>
            </w:r>
          </w:p>
          <w:p>
            <w:pPr>
              <w:spacing w:before="0" w:after="320"/>
              <w:pBdr>
                <w:bottom w:val="single" w:sz="12" w:space="1" w:color="0F766E"/>
              </w:pBdr>
            </w:pPr>
          </w:p>
          <w:p>
            <w:pPr>
              <w:spacing w:before="0" w:after="6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PREPARED BY  </w:t>
            </w:r>
            <w:r>
              <w:rPr>
                <w:rFonts w:ascii="Inter" w:hAnsi="Inter" w:eastAsia="Inter"/>
                <w:b/>
                <w:i w:val="0"/>
                <w:color w:val="FFFFFF"/>
                <w:sz w:val="16"/>
              </w:rPr>
              <w:t>[PRACTICE NAME]</w:t>
            </w:r>
          </w:p>
          <w:p>
            <w:pPr>
              <w:spacing w:before="0" w:after="6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DOCUMENT TYPE  </w:t>
            </w:r>
            <w:r>
              <w:rPr>
                <w:rFonts w:ascii="Inter" w:hAnsi="Inter" w:eastAsia="Inter"/>
                <w:b/>
                <w:i w:val="0"/>
                <w:color w:val="FFFFFF"/>
                <w:sz w:val="16"/>
              </w:rPr>
              <w:t>Client-Facing Guide</w:t>
            </w:r>
          </w:p>
          <w:p>
            <w:pPr>
              <w:spacing w:before="800" w:after="0"/>
            </w:pPr>
            <w:r>
              <w:rPr>
                <w:rFonts w:ascii="Poppins" w:hAnsi="Poppins" w:eastAsia="Poppins"/>
                <w:b/>
                <w:i w:val="0"/>
                <w:color w:val="D97706"/>
                <w:sz w:val="15"/>
              </w:rPr>
              <w:t>VERSION 2.0  ·  PREMIUM EDITION  ·  2025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BEB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4" w:color="D97706"/>
              <w:insideH w:val="none" w:sz="0" w:color="auto"/>
              <w:insideV w:val="none" w:sz="0" w:color="auto"/>
              <w:top w:val="single" w:sz="4" w:color="CBD5E1"/>
              <w:right w:val="single" w:sz="4" w:color="CBD5E1"/>
              <w:bottom w:val="single" w:sz="4" w:color="CBD5E1"/>
            </w:tcBorders>
          </w:tcPr>
          <w:p>
            <w:pPr>
              <w:spacing w:before="0" w:after="0"/>
            </w:pPr>
            <w:r>
              <w:rPr>
                <w:rFonts w:ascii="Inter" w:hAnsi="Inter" w:eastAsia="Inter"/>
                <w:b w:val="0"/>
                <w:i w:val="0"/>
                <w:color w:val="0F172A"/>
                <w:sz w:val="18"/>
              </w:rPr>
              <w:t>Replace all [BRACKETED TEXT] with your practice details before sending to clients.</w:t>
            </w:r>
          </w:p>
          <w:p>
            <w:pPr>
              <w:spacing w:before="0" w:after="80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CUSTOMISATION REQUIRED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01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WHAT MONTHLY BOOKKEEPING INCLUDES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p>
      <w:pPr>
        <w:jc w:val="both"/>
        <w:spacing w:before="0" w:after="80"/>
      </w:pPr>
      <w:r>
        <w:rPr>
          <w:rFonts w:ascii="Inter" w:hAnsi="Inter" w:eastAsia="Inter"/>
          <w:b w:val="0"/>
          <w:i w:val="0"/>
          <w:color w:val="0F172A"/>
          <w:sz w:val="19"/>
        </w:rPr>
        <w:t>Every monthly bookkeeping engagement with [PRACTICE NAME] includes the following services as standard: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Transaction categorisation and ledger review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Bank and credit-card reconciliations for all agreed accounts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Balance-sheet account review and exception documentation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Monthly financial statements — Profit &amp; Loss and Balance Sheet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Consolidated exception log and missing-document requests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Agreed monthly communication cadence and close schedule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Secure report delivery via client portal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02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SERVICE PACKAGES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Package</w:t>
            </w:r>
          </w:p>
        </w:tc>
        <w:tc>
          <w:tcPr>
            <w:tcW w:type="dxa" w:w="3118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Typical Scope</w:t>
            </w:r>
          </w:p>
        </w:tc>
        <w:tc>
          <w:tcPr>
            <w:tcW w:type="dxa" w:w="3685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Includes</w:t>
            </w:r>
          </w:p>
        </w:tc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Starting Price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Essentials</w:t>
            </w:r>
          </w:p>
        </w:tc>
        <w:tc>
          <w:tcPr>
            <w:tcW w:type="dxa" w:w="3118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Up to [X] accounts, [X] transactions / month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Monthly P&amp;L, Balance Sheet, reconciliations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€[ ] / month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Growth</w:t>
            </w:r>
          </w:p>
        </w:tc>
        <w:tc>
          <w:tcPr>
            <w:tcW w:type="dxa" w:w="3118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Higher volume, class or location tracking</w:t>
            </w:r>
          </w:p>
        </w:tc>
        <w:tc>
          <w:tcPr>
            <w:tcW w:type="dxa" w:w="3685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All Essentials + monthly review call, cash summary</w:t>
            </w:r>
          </w:p>
        </w:tc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€[ ] / month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Advanced</w:t>
            </w:r>
          </w:p>
        </w:tc>
        <w:tc>
          <w:tcPr>
            <w:tcW w:type="dxa" w:w="3118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Multi-entity or complex workflows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All Growth + custom reporting, priority support</w:t>
            </w:r>
          </w:p>
        </w:tc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€[ ] / month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Tax Ready Add-On</w:t>
            </w:r>
          </w:p>
        </w:tc>
        <w:tc>
          <w:tcPr>
            <w:tcW w:type="dxa" w:w="3118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Year-end package preparation</w:t>
            </w:r>
          </w:p>
        </w:tc>
        <w:tc>
          <w:tcPr>
            <w:tcW w:type="dxa" w:w="3685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Tax document checklist + preparer coordination</w:t>
            </w:r>
          </w:p>
        </w:tc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€[ ] / year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03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OPTIONAL PROJECT SERVICES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Service</w:t>
            </w:r>
          </w:p>
        </w:tc>
        <w:tc>
          <w:tcPr>
            <w:tcW w:type="dxa" w:w="396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340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Pricing Basis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Catch-up / Cleanup Bookkeeping</w:t>
            </w:r>
          </w:p>
        </w:tc>
        <w:tc>
          <w:tcPr>
            <w:tcW w:type="dxa" w:w="3969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Bring overdue or disorganised books current</w:t>
            </w:r>
          </w:p>
        </w:tc>
        <w:tc>
          <w:tcPr>
            <w:tcW w:type="dxa" w:w="3402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Quote after diagnostic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Historical Reconciliations</w:t>
            </w:r>
          </w:p>
        </w:tc>
        <w:tc>
          <w:tcPr>
            <w:tcW w:type="dxa" w:w="3969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Reconcile prior months or years</w:t>
            </w:r>
          </w:p>
        </w:tc>
        <w:tc>
          <w:tcPr>
            <w:tcW w:type="dxa" w:w="3402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Quote after diagnostic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Chart-of-Accounts Redesign</w:t>
            </w:r>
          </w:p>
        </w:tc>
        <w:tc>
          <w:tcPr>
            <w:tcW w:type="dxa" w:w="3969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Rebuild account structure for clarity and reporting</w:t>
            </w:r>
          </w:p>
        </w:tc>
        <w:tc>
          <w:tcPr>
            <w:tcW w:type="dxa" w:w="3402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Fixed fee: €[ ]</w:t>
            </w:r>
          </w:p>
        </w:tc>
      </w:tr>
      <w:tr>
        <w:tc>
          <w:tcPr>
            <w:tcW w:type="dxa" w:w="2835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Software Migration &amp; Setup</w:t>
            </w:r>
          </w:p>
        </w:tc>
        <w:tc>
          <w:tcPr>
            <w:tcW w:type="dxa" w:w="3969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Move from one platform to another</w:t>
            </w:r>
          </w:p>
        </w:tc>
        <w:tc>
          <w:tcPr>
            <w:tcW w:type="dxa" w:w="3402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Quote per project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Accounts Payable / Receivable</w:t>
            </w:r>
          </w:p>
        </w:tc>
        <w:tc>
          <w:tcPr>
            <w:tcW w:type="dxa" w:w="3969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Invoice management and payment tracking support</w:t>
            </w:r>
          </w:p>
        </w:tc>
        <w:tc>
          <w:tcPr>
            <w:tcW w:type="dxa" w:w="3402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€[ ] / month add-on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04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SERVICE BOUNDARIES — WHAT IS NOT INCLUDED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BEB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4" w:color="D97706"/>
              <w:insideH w:val="none" w:sz="0" w:color="auto"/>
              <w:insideV w:val="none" w:sz="0" w:color="auto"/>
              <w:top w:val="single" w:sz="4" w:color="CBD5E1"/>
              <w:right w:val="single" w:sz="4" w:color="CBD5E1"/>
              <w:bottom w:val="single" w:sz="4" w:color="CBD5E1"/>
            </w:tcBorders>
          </w:tcPr>
          <w:p>
            <w:pPr>
              <w:spacing w:before="0" w:after="0"/>
            </w:pPr>
            <w:r>
              <w:rPr>
                <w:rFonts w:ascii="Inter" w:hAnsi="Inter" w:eastAsia="Inter"/>
                <w:b w:val="0"/>
                <w:i w:val="0"/>
                <w:color w:val="0F172A"/>
                <w:sz w:val="18"/>
              </w:rPr>
              <w:t>The following are outside the scope of bookkeeping unless separately contracted and legally permitted in your jurisdiction: tax advice and return preparation, audit and assurance services, payroll processing, legal advice, regulatory compliance, CFO services.</w:t>
            </w:r>
          </w:p>
          <w:p>
            <w:pPr>
              <w:spacing w:before="0" w:after="80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SERVICE SCOPE EXCLUSIONS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05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CLIENT RESPONSIBILITIES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p>
      <w:pPr>
        <w:jc w:val="both"/>
        <w:spacing w:before="0" w:after="80"/>
      </w:pPr>
      <w:r>
        <w:rPr>
          <w:rFonts w:ascii="Inter" w:hAnsi="Inter" w:eastAsia="Inter"/>
          <w:b w:val="0"/>
          <w:i w:val="0"/>
          <w:color w:val="0F172A"/>
          <w:sz w:val="19"/>
        </w:rPr>
        <w:t>A successful engagement requires active client participation. Clients are responsible for: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Providing complete and accurate records by the agreed deadline each month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Maintaining secure account access and approving role-based software invitations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Answering transaction questions within [X] business days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Retaining original source documents for the legally required period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Reviewing reports and notifying us promptly of errors or material events</w:t>
      </w:r>
    </w:p>
    <w:p>
      <w:pPr>
        <w:pStyle w:val="ListBullet"/>
        <w:spacing w:before="0" w:after="40"/>
      </w:pPr>
      <w:r>
        <w:rPr>
          <w:rFonts w:ascii="Inter" w:hAnsi="Inter" w:eastAsia="Inter"/>
          <w:b w:val="0"/>
          <w:i w:val="0"/>
          <w:color w:val="0F172A"/>
          <w:sz w:val="19"/>
        </w:rPr>
        <w:t>Engaging a qualified tax professional for all tax advice and return filings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850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766E"/>
                <w:sz w:val="20"/>
              </w:rPr>
              <w:t>06</w:t>
            </w:r>
          </w:p>
        </w:tc>
        <w:tc>
          <w:tcPr>
            <w:tcW w:type="dxa" w:w="4703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oppins" w:hAnsi="Poppins" w:eastAsia="Poppins"/>
                <w:b/>
                <w:i w:val="0"/>
                <w:color w:val="0F172A"/>
                <w:sz w:val="20"/>
              </w:rPr>
              <w:t>—  MONTHLY TIMELINE</w:t>
            </w:r>
          </w:p>
        </w:tc>
      </w:tr>
    </w:tbl>
    <w:p>
      <w:pPr>
        <w:spacing w:before="120" w:after="120"/>
        <w:pBdr>
          <w:bottom w:val="single" w:sz="8" w:space="1" w:color="0F766E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Day of Month</w:t>
            </w:r>
          </w:p>
        </w:tc>
        <w:tc>
          <w:tcPr>
            <w:tcW w:type="dxa" w:w="6236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Activity</w:t>
            </w:r>
          </w:p>
        </w:tc>
        <w:tc>
          <w:tcPr>
            <w:tcW w:type="dxa" w:w="2268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one" w:sz="0" w:color="auto"/>
              <w:bottom w:val="single" w:sz="8" w:color="0F766E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Responsible Party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Days 1–5</w:t>
            </w:r>
          </w:p>
        </w:tc>
        <w:tc>
          <w:tcPr>
            <w:tcW w:type="dxa" w:w="6236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Client provides bank statements, payroll reports, loan records, and missing documents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Client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Days 5–12</w:t>
            </w:r>
          </w:p>
        </w:tc>
        <w:tc>
          <w:tcPr>
            <w:tcW w:type="dxa" w:w="6236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Bookkeeper imports transactions, categorises, reconciles, and raises questions</w:t>
            </w:r>
          </w:p>
        </w:tc>
        <w:tc>
          <w:tcPr>
            <w:tcW w:type="dxa" w:w="2268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Bookkeeper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Days 12–18</w:t>
            </w:r>
          </w:p>
        </w:tc>
        <w:tc>
          <w:tcPr>
            <w:tcW w:type="dxa" w:w="6236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Client answers questions; bookkeeper posts adjustments and finalises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Both</w:t>
            </w:r>
          </w:p>
        </w:tc>
      </w:tr>
      <w:tr>
        <w:tc>
          <w:tcPr>
            <w:tcW w:type="dxa" w:w="1701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By Day [X]</w:t>
            </w:r>
          </w:p>
        </w:tc>
        <w:tc>
          <w:tcPr>
            <w:tcW w:type="dxa" w:w="6236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Reports and action summary delivered through the secure portal</w:t>
            </w:r>
          </w:p>
        </w:tc>
        <w:tc>
          <w:tcPr>
            <w:tcW w:type="dxa" w:w="2268"/>
            <w:shd w:val="clear" w:color="auto" w:fill="F8FAFC"/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  <w:insideH w:val="none" w:sz="0" w:color="auto"/>
              <w:insideV w:val="none" w:sz="0" w:color="auto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r>
              <w:rPr>
                <w:rFonts w:ascii="Inter" w:hAnsi="Inter" w:eastAsia="Inter"/>
                <w:b w:val="0"/>
                <w:i w:val="0"/>
                <w:color w:val="0F172A"/>
                <w:sz w:val="17"/>
              </w:rPr>
              <w:t>Bookkeeper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1F5F9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left w:val="single" w:sz="14" w:color="64748B"/>
              <w:insideH w:val="none" w:sz="0" w:color="auto"/>
              <w:insideV w:val="none" w:sz="0" w:color="auto"/>
              <w:top w:val="single" w:sz="4" w:color="CBD5E1"/>
              <w:right w:val="single" w:sz="4" w:color="CBD5E1"/>
              <w:bottom w:val="single" w:sz="4" w:color="CBD5E1"/>
            </w:tcBorders>
          </w:tcPr>
          <w:p>
            <w:pPr>
              <w:spacing w:before="0" w:after="0"/>
            </w:pPr>
            <w:r>
              <w:rPr>
                <w:rFonts w:ascii="Inter" w:hAnsi="Inter" w:eastAsia="Inter"/>
                <w:b w:val="0"/>
                <w:i w:val="0"/>
                <w:color w:val="0F172A"/>
                <w:sz w:val="18"/>
              </w:rPr>
              <w:t>We use secure client portals, read-only accountant access, and approved password managers. We will never ask you to share banking credentials by email. All document exchange happens through your secure portal at [PORTAL LINK].</w:t>
            </w:r>
          </w:p>
          <w:p>
            <w:pPr>
              <w:spacing w:before="0" w:after="80"/>
            </w:pPr>
            <w:r>
              <w:rPr>
                <w:rFonts w:ascii="Poppins" w:hAnsi="Poppins" w:eastAsia="Poppins"/>
                <w:b/>
                <w:i w:val="0"/>
                <w:color w:val="64748B"/>
                <w:sz w:val="14"/>
              </w:rPr>
              <w:t>SECURITY &amp; DATA PROTECTION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0" w:type="dxa"/>
            <w:bottom w:w="50" w:type="dxa"/>
            <w:left w:w="0" w:type="dxa"/>
            <w:right w:w="0" w:type="dxa"/>
          </w:tcMar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4"/>
            </w:rPr>
            <w:t>Confidential  ·  Commercial Use Licence  ·  © 2025 Bookkeeper Practice Launch System</w:t>
          </w:r>
        </w:p>
      </w:tc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0" w:type="dxa"/>
            <w:bottom w:w="50" w:type="dxa"/>
            <w:left w:w="0" w:type="dxa"/>
            <w:right w:w="0" w:type="dxa"/>
          </w:tcMar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64748B"/>
              <w:sz w:val="16"/>
            </w:rPr>
            <w:t xml:space="preserve">Page </w:t>
          </w:r>
          <w:r>
            <w:rPr>
              <w:rFonts w:ascii="Inter" w:hAnsi="Inter" w:eastAsia="Inter"/>
              <w:b/>
              <w:i w:val="0"/>
              <w:color w:val="0F766E"/>
              <w:sz w:val="16"/>
            </w:rPr>
            <w:fldChar w:fldCharType="begin"/>
            <w:instrText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Mar>
            <w:top w:w="60" w:type="dxa"/>
            <w:bottom w:w="60" w:type="dxa"/>
            <w:left w:w="0" w:type="dxa"/>
            <w:right w:w="60" w:type="dxa"/>
          </w:tcMar>
          <w:tcBorders>
            <w:top w:val="none" w:sz="0" w:color="auto"/>
            <w:bottom w:val="single" w:sz="12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4"/>
            </w:rPr>
            <w:t>BOOKKEEPER PRACTICE LAUNCH SYSTEM  ·  v2.0</w:t>
          </w:r>
        </w:p>
      </w:tc>
      <w:tc>
        <w:tcPr>
          <w:tcW w:type="dxa" w:w="4536"/>
          <w:tcMar>
            <w:top w:w="60" w:type="dxa"/>
            <w:bottom w:w="60" w:type="dxa"/>
            <w:left w:w="60" w:type="dxa"/>
            <w:right w:w="0" w:type="dxa"/>
          </w:tcMar>
          <w:tcBorders>
            <w:top w:val="none" w:sz="0" w:color="auto"/>
            <w:bottom w:val="single" w:sz="12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right"/>
          </w:pPr>
          <w:r>
            <w:rPr>
              <w:rFonts w:ascii="Inter" w:hAnsi="Inter" w:eastAsia="Inter"/>
              <w:b/>
              <w:i w:val="0"/>
              <w:color w:val="0F172A"/>
              <w:sz w:val="14"/>
            </w:rPr>
            <w:t>BOOKKEEPING SERVICE GUIDE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