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800" w:type="dxa"/>
              <w:bottom w:w="800" w:type="dxa"/>
              <w:left w:w="700" w:type="dxa"/>
              <w:right w:w="700" w:type="dxa"/>
            </w:tcMar>
            <w:vAlign w:val="center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hd w:val="clear" w:color="auto" w:fill="0F766E"/>
              <w:spacing w:before="0" w:after="0"/>
            </w:pPr>
          </w:p>
          <w:p/>
          <w:p>
            <w:pPr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03  —  CLIENT DOCUMENTS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Client Intake &amp;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Onboarding Pack</w:t>
            </w:r>
          </w:p>
          <w:p>
            <w:pPr>
              <w:spacing w:before="120" w:after="40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Everything needed for a clean, confident engagement start</w:t>
            </w:r>
          </w:p>
          <w:p>
            <w:pPr>
              <w:spacing w:before="0" w:after="320"/>
              <w:pBdr>
                <w:bottom w:val="single" w:sz="12" w:space="1" w:color="0F766E"/>
              </w:pBdr>
            </w:pP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PREPARED BY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[PRACTICE NAME]</w:t>
            </w: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CLIENT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[CLIENT COMPANY]</w:t>
            </w:r>
          </w:p>
          <w:p>
            <w:pPr>
              <w:spacing w:before="800" w:after="0"/>
            </w:pPr>
            <w:r>
              <w:rPr>
                <w:rFonts w:ascii="Poppins" w:hAnsi="Poppins" w:eastAsia="Poppins"/>
                <w:b/>
                <w:i w:val="0"/>
                <w:color w:val="D97706"/>
                <w:sz w:val="15"/>
              </w:rPr>
              <w:t>VERSION 2.0  ·  PREMIUM EDITION  ·  2025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D97706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Complete Sections 1–4 with the client during or before the kickoff call. Replace all [BRACKETED TEXT] before sending.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4"/>
              </w:rPr>
              <w:t>INSTRUCTIONS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01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BUSINESS PROFILE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6236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Legal Business Name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Trading Name (if different)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Entity Type &amp; Jurisdiction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Business Address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Primary Contact &amp; Approver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Fiscal Year End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Industry &amp; Business Model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Number of Entities / Locations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Current Accounting Basis (Cash / Accrual)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Current Bookkeeping Software &amp; Subscription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02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VOLUME &amp; COMPLEXITY ASSESSMENT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Assessment Question</w:t>
            </w:r>
          </w:p>
        </w:tc>
        <w:tc>
          <w:tcPr>
            <w:tcW w:type="dxa" w:w="5669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Average monthly bank and card transactions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Number of bank accounts</w:t>
            </w:r>
          </w:p>
        </w:tc>
        <w:tc>
          <w:tcPr>
            <w:tcW w:type="dxa" w:w="56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Number of credit cards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 provider and employee count</w:t>
            </w:r>
          </w:p>
        </w:tc>
        <w:tc>
          <w:tcPr>
            <w:tcW w:type="dxa" w:w="56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Loans / lines of credit outstanding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Inventory (Yes/No + brief description)</w:t>
            </w:r>
          </w:p>
        </w:tc>
        <w:tc>
          <w:tcPr>
            <w:tcW w:type="dxa" w:w="56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Sales channels and payment processors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Foreign currency or cross-border activity</w:t>
            </w:r>
          </w:p>
        </w:tc>
        <w:tc>
          <w:tcPr>
            <w:tcW w:type="dxa" w:w="56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Class, project, or location tracking required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Last fully reconciled month</w:t>
            </w:r>
          </w:p>
        </w:tc>
        <w:tc>
          <w:tcPr>
            <w:tcW w:type="dxa" w:w="56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Known backlogs, issues, or prior-year adjustments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03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DOCUMENTS REQUIRED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Please upload the following documents to your secure portal at [PORTAL LINK] before the kickoff call: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Prior-year financial statements and trial balance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Bank and credit-card statements from the agreed engagement start date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Loan statements and amortisation schedules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Payroll summaries and payroll tax liability reports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Sales-tax / VAT filings and any outstanding notices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Merchant processor and e-commerce platform reports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Fixed-asset list with purchase dates and costs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Outstanding accounts receivable and payable ageing reports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Tax return or tax-preparer adjusting entries (where appropriate)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D97706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Never share banking passwords by email. Use secure portals, read-only accountant access, or an approved password manager only. We will never request passwords by ordinary email.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4"/>
              </w:rPr>
              <w:t>SECURITY NOTICE — READ BEFORE SUBMITTING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04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KICKOFF DECISIONS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6236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Agreed Approach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close deadline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Document cutoff day (when statements are available)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Primary question and approval contact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Preferred communication channel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 package (P&amp;L, Balance Sheet, Cash, Custom)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Escalation process for urgent items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First close period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scope and start date (if applicable)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05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ACCESS &amp; INTEGRATION CHECKLIST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252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Access Item</w:t>
            </w:r>
          </w:p>
        </w:tc>
        <w:tc>
          <w:tcPr>
            <w:tcW w:type="dxa" w:w="1701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4252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Bookkeeping software (accountant role)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Bank feed connection or read-only access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25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Payroll platform (read-only)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Payment processor / e-commerce reports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Granted</w:t>
            </w:r>
          </w:p>
        </w:tc>
        <w:tc>
          <w:tcPr>
            <w:tcW w:type="dxa" w:w="425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portal invitation accepted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Accepted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425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Document upload folder shared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 ] Shared</w:t>
            </w:r>
          </w:p>
        </w:tc>
        <w:tc>
          <w:tcPr>
            <w:tcW w:type="dxa" w:w="425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17" w:bottom="1361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Confidential  ·  Commercial Use Licence  ·  © 2025 Bookkeeper Practice Launch System</w:t>
          </w:r>
        </w:p>
      </w:tc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t xml:space="preserve">Page </w:t>
          </w:r>
          <w:r>
            <w:rPr>
              <w:rFonts w:ascii="Inter" w:hAnsi="Inter" w:eastAsia="Inter"/>
              <w:b/>
              <w:i w:val="0"/>
              <w:color w:val="0F766E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BOOKKEEPER PRACTICE LAUNCH SYSTEM  ·  v2.0</w:t>
          </w:r>
        </w:p>
      </w:tc>
      <w:tc>
        <w:tcPr>
          <w:tcW w:type="dxa" w:w="4536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172A"/>
              <w:sz w:val="14"/>
            </w:rPr>
            <w:t>CLIENT INTAKE &amp; ONBOARDING PACK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