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0F172A"/>
            <w:tcMar>
              <w:top w:w="800" w:type="dxa"/>
              <w:bottom w:w="800" w:type="dxa"/>
              <w:left w:w="700" w:type="dxa"/>
              <w:right w:w="700" w:type="dxa"/>
            </w:tcMar>
            <w:vAlign w:val="center"/>
            <w:tcBorders>
              <w:top w:val="none" w:sz="0" w:color="auto"/>
              <w:bottom w:val="none" w:sz="0" w:color="auto"/>
              <w:left w:val="none" w:sz="0" w:color="auto"/>
              <w:right w:val="none" w:sz="0" w:color="auto"/>
              <w:insideH w:val="none" w:sz="0" w:color="auto"/>
              <w:insideV w:val="none" w:sz="0" w:color="auto"/>
            </w:tcBorders>
          </w:tcPr>
          <w:p>
            <w:pPr>
              <w:shd w:val="clear" w:color="auto" w:fill="0F766E"/>
              <w:spacing w:before="0" w:after="0"/>
            </w:pPr>
          </w:p>
          <w:p/>
          <w:p>
            <w:pPr>
              <w:spacing w:before="0" w:after="240"/>
            </w:pPr>
            <w:r>
              <w:rPr>
                <w:rFonts w:ascii="Poppins" w:hAnsi="Poppins" w:eastAsia="Poppins"/>
                <w:b/>
                <w:i w:val="0"/>
                <w:color w:val="0F766E"/>
                <w:sz w:val="16"/>
              </w:rPr>
              <w:t>04  —  OPERATIONS LIBRARY</w:t>
            </w:r>
          </w:p>
          <w:p>
            <w:pPr>
              <w:spacing w:before="0" w:after="80"/>
            </w:pPr>
            <w:r>
              <w:rPr>
                <w:rFonts w:ascii="Poppins" w:hAnsi="Poppins" w:eastAsia="Poppins"/>
                <w:b/>
                <w:i w:val="0"/>
                <w:color w:val="FFFFFF"/>
                <w:sz w:val="60"/>
              </w:rPr>
              <w:t>Annual Tax Prep</w:t>
            </w:r>
          </w:p>
          <w:p>
            <w:pPr>
              <w:spacing w:before="0" w:after="80"/>
            </w:pPr>
            <w:r>
              <w:rPr>
                <w:rFonts w:ascii="Poppins" w:hAnsi="Poppins" w:eastAsia="Poppins"/>
                <w:b/>
                <w:i w:val="0"/>
                <w:color w:val="FFFFFF"/>
                <w:sz w:val="60"/>
              </w:rPr>
              <w:t>Checklist</w:t>
            </w:r>
          </w:p>
          <w:p>
            <w:pPr>
              <w:spacing w:before="120" w:after="400"/>
            </w:pPr>
            <w:r>
              <w:rPr>
                <w:rFonts w:ascii="Inter" w:hAnsi="Inter" w:eastAsia="Inter"/>
                <w:b w:val="0"/>
                <w:i w:val="0"/>
                <w:color w:val="94A3B8"/>
                <w:sz w:val="24"/>
              </w:rPr>
              <w:t>Year-end document preparation — 4-phase guide for bookkeepers</w:t>
            </w:r>
          </w:p>
          <w:p>
            <w:pPr>
              <w:spacing w:before="0" w:after="320"/>
              <w:pBdr>
                <w:bottom w:val="single" w:sz="12" w:space="1" w:color="0F766E"/>
              </w:pBdr>
            </w:pPr>
          </w:p>
          <w:p>
            <w:pPr>
              <w:spacing w:before="0" w:after="60"/>
            </w:pPr>
            <w:r>
              <w:rPr>
                <w:rFonts w:ascii="Inter" w:hAnsi="Inter" w:eastAsia="Inter"/>
                <w:b w:val="0"/>
                <w:i w:val="0"/>
                <w:color w:val="64748B"/>
                <w:sz w:val="15"/>
              </w:rPr>
              <w:t xml:space="preserve">DOCUMENT TYPE  </w:t>
            </w:r>
            <w:r>
              <w:rPr>
                <w:rFonts w:ascii="Inter" w:hAnsi="Inter" w:eastAsia="Inter"/>
                <w:b/>
                <w:i w:val="0"/>
                <w:color w:val="FFFFFF"/>
                <w:sz w:val="16"/>
              </w:rPr>
              <w:t>Operational Checklist</w:t>
            </w:r>
          </w:p>
          <w:p>
            <w:pPr>
              <w:spacing w:before="0" w:after="60"/>
            </w:pPr>
            <w:r>
              <w:rPr>
                <w:rFonts w:ascii="Inter" w:hAnsi="Inter" w:eastAsia="Inter"/>
                <w:b w:val="0"/>
                <w:i w:val="0"/>
                <w:color w:val="64748B"/>
                <w:sz w:val="15"/>
              </w:rPr>
              <w:t xml:space="preserve">PHASES  </w:t>
            </w:r>
            <w:r>
              <w:rPr>
                <w:rFonts w:ascii="Inter" w:hAnsi="Inter" w:eastAsia="Inter"/>
                <w:b/>
                <w:i w:val="0"/>
                <w:color w:val="FFFFFF"/>
                <w:sz w:val="16"/>
              </w:rPr>
              <w:t>4</w:t>
            </w:r>
          </w:p>
          <w:p>
            <w:pPr>
              <w:spacing w:before="800" w:after="0"/>
            </w:pPr>
            <w:r>
              <w:rPr>
                <w:rFonts w:ascii="Poppins" w:hAnsi="Poppins" w:eastAsia="Poppins"/>
                <w:b/>
                <w:i w:val="0"/>
                <w:color w:val="D97706"/>
                <w:sz w:val="15"/>
              </w:rPr>
              <w:t>VERSION 2.0  ·  PREMIUM EDITION  ·  2025</w:t>
            </w:r>
          </w:p>
        </w:tc>
      </w:tr>
    </w:tbl>
    <w:p>
      <w:r>
        <w:br w:type="page"/>
      </w:r>
    </w:p>
    <w:tbl>
      <w:tblPr>
        <w:tblW w:type="auto" w:w="0"/>
        <w:jc w:val="center"/>
        <w:tblLook w:firstColumn="1" w:firstRow="1" w:lastColumn="0" w:lastRow="0" w:noHBand="0" w:noVBand="1" w:val="04A0"/>
      </w:tblPr>
      <w:tblGrid>
        <w:gridCol w:w="9406"/>
      </w:tblGrid>
      <w:tr>
        <w:tc>
          <w:tcPr>
            <w:tcW w:type="dxa" w:w="9406"/>
            <w:shd w:val="clear" w:color="auto" w:fill="F1F5F9"/>
            <w:tcMar>
              <w:top w:w="100" w:type="dxa"/>
              <w:bottom w:w="100" w:type="dxa"/>
              <w:left w:w="160" w:type="dxa"/>
              <w:right w:w="160" w:type="dxa"/>
            </w:tcMar>
            <w:tcBorders>
              <w:left w:val="single" w:sz="14" w:color="64748B"/>
              <w:insideH w:val="none" w:sz="0" w:color="auto"/>
              <w:insideV w:val="none" w:sz="0" w:color="auto"/>
              <w:top w:val="single" w:sz="4" w:color="CBD5E1"/>
              <w:right w:val="single" w:sz="4" w:color="CBD5E1"/>
              <w:bottom w:val="single" w:sz="4" w:color="CBD5E1"/>
            </w:tcBorders>
          </w:tcPr>
          <w:p>
            <w:pPr>
              <w:spacing w:before="0" w:after="0"/>
            </w:pPr>
            <w:r>
              <w:rPr>
                <w:rFonts w:ascii="Inter" w:hAnsi="Inter" w:eastAsia="Inter"/>
                <w:b w:val="0"/>
                <w:i w:val="0"/>
                <w:color w:val="0F172A"/>
                <w:sz w:val="18"/>
              </w:rPr>
              <w:t>This checklist supports year-end bookkeeping package preparation only. It is not tax advice.</w:t>
            </w:r>
          </w:p>
          <w:p>
            <w:pPr>
              <w:spacing w:before="0" w:after="80"/>
            </w:pPr>
            <w:r>
              <w:rPr>
                <w:rFonts w:ascii="Poppins" w:hAnsi="Poppins" w:eastAsia="Poppins"/>
                <w:b/>
                <w:i w:val="0"/>
                <w:color w:val="64748B"/>
                <w:sz w:val="14"/>
              </w:rPr>
              <w:t>SCOPE NOTICE</w:t>
            </w:r>
          </w:p>
        </w:tc>
      </w:tr>
    </w:tbl>
    <w:p>
      <w:pPr>
        <w:spacing w:before="0" w:after="8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00</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ENGAGEMENT DETAILS</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Field</w:t>
            </w:r>
          </w:p>
        </w:tc>
        <w:tc>
          <w:tcPr>
            <w:tcW w:type="dxa" w:w="7087"/>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Details</w:t>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Client Name</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Fiscal Year End</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Tax Preparer Name / Firm</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Bookkeeping Software</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Package Delivery Deadline</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Prepared By</w:t>
            </w:r>
          </w:p>
        </w:tc>
        <w:tc>
          <w:tcPr>
            <w:tcW w:type="dxa" w:w="7087"/>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Review / Sign-Off Date</w:t>
            </w:r>
          </w:p>
        </w:tc>
        <w:tc>
          <w:tcPr>
            <w:tcW w:type="dxa" w:w="7087"/>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01</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PHASE 1 — FINAL MONTH CLOSE</w:t>
            </w:r>
          </w:p>
        </w:tc>
      </w:tr>
    </w:tbl>
    <w:p>
      <w:pPr>
        <w:spacing w:before="120" w:after="120"/>
        <w:pBdr>
          <w:bottom w:val="single" w:sz="8" w:space="1" w:color="0F766E"/>
        </w:pBdr>
      </w:pPr>
    </w:p>
    <w:p>
      <w:pPr>
        <w:jc w:val="both"/>
        <w:spacing w:before="0" w:after="80"/>
      </w:pPr>
      <w:r>
        <w:rPr>
          <w:rFonts w:ascii="Inter" w:hAnsi="Inter" w:eastAsia="Inter"/>
          <w:b w:val="0"/>
          <w:i w:val="0"/>
          <w:color w:val="0F172A"/>
          <w:sz w:val="19"/>
        </w:rPr>
        <w:t>Complete the standard monthly close for the final month of the fiscal year before beginning the tax package.</w:t>
      </w:r>
    </w:p>
    <w:tbl>
      <w:tblPr>
        <w:tblStyle w:val="TableGrid"/>
        <w:tblW w:type="auto" w:w="0"/>
        <w:jc w:val="center"/>
        <w:tblLook w:firstColumn="1" w:firstRow="1" w:lastColumn="0" w:lastRow="0" w:noHBand="0" w:noVBand="1" w:val="04A0"/>
      </w:tblPr>
      <w:tblGrid>
        <w:gridCol w:w="3135"/>
        <w:gridCol w:w="3135"/>
        <w:gridCol w:w="3135"/>
      </w:tblGrid>
      <w:tr>
        <w:tc>
          <w:tcPr>
            <w:tcW w:type="dxa" w:w="6236"/>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Task</w:t>
            </w:r>
          </w:p>
        </w:tc>
        <w:tc>
          <w:tcPr>
            <w:tcW w:type="dxa" w:w="850"/>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Done</w:t>
            </w:r>
          </w:p>
        </w:tc>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Notes</w:t>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Final month close completed per monthly close checklist</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All bank and credit-card accounts reconciled to year-end statements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All loan accounts reconciled to year-end statements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Payroll liabilities reconciled to payroll year-end reports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Sales-tax / VAT accounts reconciled to filings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Accounts receivable ageing reviewed and confirmed</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Accounts payable ageing reviewed and confirmed</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All suspense and clearing accounts at zero or fully documented</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02</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PHASE 2 — YEAR-END ADJUSTMENTS</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3135"/>
        <w:gridCol w:w="3135"/>
        <w:gridCol w:w="3135"/>
      </w:tblGrid>
      <w:tr>
        <w:tc>
          <w:tcPr>
            <w:tcW w:type="dxa" w:w="6236"/>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Adjustment Type</w:t>
            </w:r>
          </w:p>
        </w:tc>
        <w:tc>
          <w:tcPr>
            <w:tcW w:type="dxa" w:w="850"/>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Done</w:t>
            </w:r>
          </w:p>
        </w:tc>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Notes</w:t>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Depreciation / amortisation recorded (within scope)</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Prepaid expenses adjusted to correct period</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Accrued revenue or expenses recorded (within scope)</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Owner draw and contribution accounts reviewed</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Loans to / from owners fully documented</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Inventory count reconciled to ledger (if applicable)</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6236"/>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Prior-year adjusting entries from tax preparer posted</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03</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PHASE 3 — DOCUMENT COLLECTION</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Category</w:t>
            </w:r>
          </w:p>
        </w:tc>
        <w:tc>
          <w:tcPr>
            <w:tcW w:type="dxa" w:w="4252"/>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Documents Required</w:t>
            </w:r>
          </w:p>
        </w:tc>
        <w:tc>
          <w:tcPr>
            <w:tcW w:type="dxa" w:w="850"/>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Received</w:t>
            </w:r>
          </w:p>
        </w:tc>
        <w:tc>
          <w:tcPr>
            <w:tcW w:type="dxa" w:w="3118"/>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Notes</w:t>
            </w:r>
          </w:p>
        </w:tc>
      </w:tr>
      <w:tr>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Income</w:t>
            </w:r>
          </w:p>
        </w:tc>
        <w:tc>
          <w:tcPr>
            <w:tcW w:type="dxa" w:w="4252"/>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All sales reports, merchant statements, platform reports, interest income</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Banking</w:t>
            </w:r>
          </w:p>
        </w:tc>
        <w:tc>
          <w:tcPr>
            <w:tcW w:type="dxa" w:w="4252"/>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Year-end bank and credit-card statements for all accounts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Payroll</w:t>
            </w:r>
          </w:p>
        </w:tc>
        <w:tc>
          <w:tcPr>
            <w:tcW w:type="dxa" w:w="4252"/>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Annual payroll summary, W-2/1099 or equivalent, payroll tax filings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Major Expenses</w:t>
            </w:r>
          </w:p>
        </w:tc>
        <w:tc>
          <w:tcPr>
            <w:tcW w:type="dxa" w:w="4252"/>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Rent, insurance, professional fees, travel, vehicle records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Fixed Assets</w:t>
            </w:r>
          </w:p>
        </w:tc>
        <w:tc>
          <w:tcPr>
            <w:tcW w:type="dxa" w:w="4252"/>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Asset purchases and disposals with dates and amounts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Loans &amp; Financing</w:t>
            </w:r>
          </w:p>
        </w:tc>
        <w:tc>
          <w:tcPr>
            <w:tcW w:type="dxa" w:w="4252"/>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Year-end loan statements, amortisation schedules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Tax &amp; Compliance</w:t>
            </w:r>
          </w:p>
        </w:tc>
        <w:tc>
          <w:tcPr>
            <w:tcW w:type="dxa" w:w="4252"/>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Prior-year return, estimated payments, notices, VAT/sales-tax filings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Owner Activity</w:t>
            </w:r>
          </w:p>
        </w:tc>
        <w:tc>
          <w:tcPr>
            <w:tcW w:type="dxa" w:w="4252"/>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Contributions, draws, distributions, shareholder/partner transactions</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3118"/>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4703"/>
        <w:gridCol w:w="4703"/>
      </w:tblGrid>
      <w:tr>
        <w:tc>
          <w:tcPr>
            <w:tcW w:type="dxa" w:w="850"/>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60" w:type="dxa"/>
            </w:tcMar>
          </w:tcPr>
          <w:p>
            <w:pPr>
              <w:spacing w:before="0" w:after="0"/>
            </w:pPr>
            <w:r>
              <w:rPr>
                <w:rFonts w:ascii="Poppins" w:hAnsi="Poppins" w:eastAsia="Poppins"/>
                <w:b/>
                <w:i w:val="0"/>
                <w:color w:val="0F766E"/>
                <w:sz w:val="20"/>
              </w:rPr>
              <w:t>04</w:t>
            </w:r>
          </w:p>
        </w:tc>
        <w:tc>
          <w:tcPr>
            <w:tcW w:type="dxa" w:w="4703"/>
            <w:tcBorders>
              <w:top w:val="none" w:sz="0" w:color="auto"/>
              <w:bottom w:val="none" w:sz="0" w:color="auto"/>
              <w:left w:val="none" w:sz="0" w:color="auto"/>
              <w:right w:val="none" w:sz="0" w:color="auto"/>
              <w:insideH w:val="none" w:sz="0" w:color="auto"/>
              <w:insideV w:val="none" w:sz="0" w:color="auto"/>
            </w:tcBorders>
            <w:tcMar>
              <w:top w:w="0" w:type="dxa"/>
              <w:bottom w:w="0" w:type="dxa"/>
              <w:left w:w="0" w:type="dxa"/>
              <w:right w:w="0" w:type="dxa"/>
            </w:tcMar>
          </w:tcPr>
          <w:p>
            <w:pPr>
              <w:spacing w:before="0" w:after="0"/>
            </w:pPr>
            <w:r>
              <w:rPr>
                <w:rFonts w:ascii="Poppins" w:hAnsi="Poppins" w:eastAsia="Poppins"/>
                <w:b/>
                <w:i w:val="0"/>
                <w:color w:val="0F172A"/>
                <w:sz w:val="20"/>
              </w:rPr>
              <w:t>—  PHASE 4 — PACKAGE ASSEMBLY</w:t>
            </w:r>
          </w:p>
        </w:tc>
      </w:tr>
    </w:tbl>
    <w:p>
      <w:pPr>
        <w:spacing w:before="120" w:after="120"/>
        <w:pBdr>
          <w:bottom w:val="single" w:sz="8" w:space="1" w:color="0F766E"/>
        </w:pBdr>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535"/>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Report / Item</w:t>
            </w:r>
          </w:p>
        </w:tc>
        <w:tc>
          <w:tcPr>
            <w:tcW w:type="dxa" w:w="1984"/>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Format</w:t>
            </w:r>
          </w:p>
        </w:tc>
        <w:tc>
          <w:tcPr>
            <w:tcW w:type="dxa" w:w="850"/>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Done</w:t>
            </w:r>
          </w:p>
        </w:tc>
        <w:tc>
          <w:tcPr>
            <w:tcW w:type="dxa" w:w="2835"/>
            <w:shd w:val="clear" w:color="auto" w:fill="0F766E"/>
            <w:tcMar>
              <w:top w:w="70" w:type="dxa"/>
              <w:bottom w:w="70" w:type="dxa"/>
              <w:left w:w="100" w:type="dxa"/>
              <w:right w:w="100" w:type="dxa"/>
            </w:tcMar>
            <w:tcBorders>
              <w:top w:val="none" w:sz="0" w:color="auto"/>
              <w:bottom w:val="single" w:sz="8" w:color="0F766E"/>
              <w:left w:val="none" w:sz="0" w:color="auto"/>
              <w:right w:val="none" w:sz="0" w:color="auto"/>
              <w:insideH w:val="none" w:sz="0" w:color="auto"/>
              <w:insideV w:val="none" w:sz="0" w:color="auto"/>
            </w:tcBorders>
          </w:tcPr>
          <w:p>
            <w:r>
              <w:rPr>
                <w:rFonts w:ascii="Poppins" w:hAnsi="Poppins" w:eastAsia="Poppins"/>
                <w:b/>
                <w:i w:val="0"/>
                <w:color w:val="FFFFFF"/>
                <w:sz w:val="16"/>
              </w:rPr>
              <w:t>Notes</w:t>
            </w:r>
          </w:p>
        </w:tc>
      </w:tr>
      <w:tr>
        <w:tc>
          <w:tcPr>
            <w:tcW w:type="dxa" w:w="45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Annual Profit &amp; Loss (full year)</w:t>
            </w:r>
          </w:p>
        </w:tc>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Annual Balance Sheet (year-end)</w:t>
            </w:r>
          </w:p>
        </w:tc>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Cash Flow Statement (if applicable)</w:t>
            </w:r>
          </w:p>
        </w:tc>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Monthly P&amp;L comparison (all 12 months)</w:t>
            </w:r>
          </w:p>
        </w:tc>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 or Excel</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Bank reconciliation summaries</w:t>
            </w:r>
          </w:p>
        </w:tc>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Trial balance (year-end)</w:t>
            </w:r>
          </w:p>
        </w:tc>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Excel or PDF</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Open items and bookkeeping judgment log</w:t>
            </w:r>
          </w:p>
        </w:tc>
        <w:tc>
          <w:tcPr>
            <w:tcW w:type="dxa" w:w="1984"/>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 or Notes</w:t>
            </w:r>
          </w:p>
        </w:tc>
        <w:tc>
          <w:tcPr>
            <w:tcW w:type="dxa" w:w="850"/>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FFFFF"/>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r>
        <w:tc>
          <w:tcPr>
            <w:tcW w:type="dxa" w:w="45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Chart of accounts (year-end)</w:t>
            </w:r>
          </w:p>
        </w:tc>
        <w:tc>
          <w:tcPr>
            <w:tcW w:type="dxa" w:w="1984"/>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PDF</w:t>
            </w:r>
          </w:p>
        </w:tc>
        <w:tc>
          <w:tcPr>
            <w:tcW w:type="dxa" w:w="850"/>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t>[ ]</w:t>
            </w:r>
          </w:p>
        </w:tc>
        <w:tc>
          <w:tcPr>
            <w:tcW w:type="dxa" w:w="2835"/>
            <w:shd w:val="clear" w:color="auto" w:fill="F8FAFC"/>
            <w:tcBorders>
              <w:top w:val="single" w:sz="4" w:color="CBD5E1"/>
              <w:bottom w:val="single" w:sz="4" w:color="CBD5E1"/>
              <w:left w:val="single" w:sz="4" w:color="CBD5E1"/>
              <w:right w:val="single" w:sz="4" w:color="CBD5E1"/>
              <w:insideH w:val="none" w:sz="0" w:color="auto"/>
              <w:insideV w:val="none" w:sz="0" w:color="auto"/>
            </w:tcBorders>
            <w:tcMar>
              <w:top w:w="55" w:type="dxa"/>
              <w:bottom w:w="55" w:type="dxa"/>
              <w:left w:w="100" w:type="dxa"/>
              <w:right w:w="100" w:type="dxa"/>
            </w:tcMar>
          </w:tcPr>
          <w:p>
            <w:r>
              <w:rPr>
                <w:rFonts w:ascii="Inter" w:hAnsi="Inter" w:eastAsia="Inter"/>
                <w:b w:val="0"/>
                <w:i w:val="0"/>
                <w:color w:val="0F172A"/>
                <w:sz w:val="17"/>
              </w:rPr>
            </w:r>
          </w:p>
        </w:tc>
      </w:tr>
    </w:tbl>
    <w:p>
      <w:pPr>
        <w:spacing w:before="0" w:after="120"/>
      </w:pPr>
    </w:p>
    <w:tbl>
      <w:tblPr>
        <w:tblW w:type="auto" w:w="0"/>
        <w:jc w:val="center"/>
        <w:tblLook w:firstColumn="1" w:firstRow="1" w:lastColumn="0" w:lastRow="0" w:noHBand="0" w:noVBand="1" w:val="04A0"/>
      </w:tblPr>
      <w:tblGrid>
        <w:gridCol w:w="9406"/>
      </w:tblGrid>
      <w:tr>
        <w:tc>
          <w:tcPr>
            <w:tcW w:type="dxa" w:w="9406"/>
            <w:shd w:val="clear" w:color="auto" w:fill="FFFBEB"/>
            <w:tcMar>
              <w:top w:w="100" w:type="dxa"/>
              <w:bottom w:w="100" w:type="dxa"/>
              <w:left w:w="160" w:type="dxa"/>
              <w:right w:w="160" w:type="dxa"/>
            </w:tcMar>
            <w:tcBorders>
              <w:left w:val="single" w:sz="14" w:color="D97706"/>
              <w:insideH w:val="none" w:sz="0" w:color="auto"/>
              <w:insideV w:val="none" w:sz="0" w:color="auto"/>
              <w:top w:val="single" w:sz="4" w:color="CBD5E1"/>
              <w:right w:val="single" w:sz="4" w:color="CBD5E1"/>
              <w:bottom w:val="single" w:sz="4" w:color="CBD5E1"/>
            </w:tcBorders>
          </w:tcPr>
          <w:p>
            <w:pPr>
              <w:spacing w:before="0" w:after="0"/>
            </w:pPr>
            <w:r>
              <w:rPr>
                <w:rFonts w:ascii="Inter" w:hAnsi="Inter" w:eastAsia="Inter"/>
                <w:b w:val="0"/>
                <w:i w:val="0"/>
                <w:color w:val="0F172A"/>
                <w:sz w:val="18"/>
              </w:rPr>
              <w:t>Upload the completed package to the client's secure portal and notify the tax preparer through the appropriate channel. Do not email sensitive financial reports. The tax preparer is responsible for all tax judgments and filings.</w:t>
            </w:r>
          </w:p>
          <w:p>
            <w:pPr>
              <w:spacing w:before="0" w:after="80"/>
            </w:pPr>
            <w:r>
              <w:rPr>
                <w:rFonts w:ascii="Poppins" w:hAnsi="Poppins" w:eastAsia="Poppins"/>
                <w:b/>
                <w:i w:val="0"/>
                <w:color w:val="D97706"/>
                <w:sz w:val="14"/>
              </w:rPr>
              <w:t>DELIVERY AND SCOPE NOTICE</w:t>
            </w:r>
          </w:p>
        </w:tc>
      </w:tr>
    </w:tbl>
    <w:p>
      <w:pPr>
        <w:spacing w:before="0" w:after="80"/>
      </w:pPr>
    </w:p>
    <w:sectPr w:rsidR="00FC693F" w:rsidRPr="0006063C" w:rsidSect="00034616">
      <w:headerReference w:type="default" r:id="rId9"/>
      <w:footerReference w:type="default" r:id="rId10"/>
      <w:pgSz w:w="12240" w:h="15840"/>
      <w:pgMar w:top="1361" w:right="1417" w:bottom="1361"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6"/>
      <w:gridCol w:w="4536"/>
    </w:tblGrid>
    <w:tr>
      <w:tc>
        <w:tcPr>
          <w:tcW w:type="dxa" w:w="4536"/>
          <w:tcBorders>
            <w:top w:val="single" w:sz="4" w:color="CBD5E1"/>
            <w:bottom w:val="none" w:sz="0" w:color="auto"/>
            <w:left w:val="none" w:sz="0" w:color="auto"/>
            <w:right w:val="none" w:sz="0" w:color="auto"/>
            <w:insideH w:val="none" w:sz="0" w:color="auto"/>
            <w:insideV w:val="none" w:sz="0" w:color="auto"/>
          </w:tcBorders>
          <w:tcMar>
            <w:top w:w="50" w:type="dxa"/>
            <w:bottom w:w="50" w:type="dxa"/>
            <w:left w:w="0" w:type="dxa"/>
            <w:right w:w="0" w:type="dxa"/>
          </w:tcMar>
        </w:tcPr>
        <w:p>
          <w:pPr>
            <w:jc w:val="left"/>
          </w:pPr>
          <w:r>
            <w:rPr>
              <w:rFonts w:ascii="Inter" w:hAnsi="Inter" w:eastAsia="Inter"/>
              <w:b w:val="0"/>
              <w:i w:val="0"/>
              <w:color w:val="64748B"/>
              <w:sz w:val="14"/>
            </w:rPr>
            <w:t>Confidential  ·  Commercial Use Licence  ·  © 2025 Bookkeeper Practice Launch System</w:t>
          </w:r>
        </w:p>
      </w:tc>
      <w:tc>
        <w:tcPr>
          <w:tcW w:type="dxa" w:w="4536"/>
          <w:tcBorders>
            <w:top w:val="single" w:sz="4" w:color="CBD5E1"/>
            <w:bottom w:val="none" w:sz="0" w:color="auto"/>
            <w:left w:val="none" w:sz="0" w:color="auto"/>
            <w:right w:val="none" w:sz="0" w:color="auto"/>
            <w:insideH w:val="none" w:sz="0" w:color="auto"/>
            <w:insideV w:val="none" w:sz="0" w:color="auto"/>
          </w:tcBorders>
          <w:tcMar>
            <w:top w:w="50" w:type="dxa"/>
            <w:bottom w:w="50" w:type="dxa"/>
            <w:left w:w="0" w:type="dxa"/>
            <w:right w:w="0" w:type="dxa"/>
          </w:tcMar>
        </w:tcPr>
        <w:p>
          <w:pPr>
            <w:jc w:val="right"/>
          </w:pPr>
          <w:r>
            <w:rPr>
              <w:rFonts w:ascii="Inter" w:hAnsi="Inter" w:eastAsia="Inter"/>
              <w:b w:val="0"/>
              <w:i w:val="0"/>
              <w:color w:val="64748B"/>
              <w:sz w:val="16"/>
            </w:rPr>
            <w:t xml:space="preserve">Page </w:t>
          </w:r>
          <w:r>
            <w:rPr>
              <w:rFonts w:ascii="Inter" w:hAnsi="Inter" w:eastAsia="Inter"/>
              <w:b/>
              <w:i w:val="0"/>
              <w:color w:val="0F766E"/>
              <w:sz w:val="16"/>
            </w:rPr>
            <w:fldChar w:fldCharType="begin"/>
            <w:instrText>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536"/>
      <w:gridCol w:w="4536"/>
    </w:tblGrid>
    <w:tr>
      <w:tc>
        <w:tcPr>
          <w:tcW w:type="dxa" w:w="4536"/>
          <w:tcMar>
            <w:top w:w="60" w:type="dxa"/>
            <w:bottom w:w="60" w:type="dxa"/>
            <w:left w:w="0" w:type="dxa"/>
            <w:right w:w="60" w:type="dxa"/>
          </w:tcMar>
          <w:tcBorders>
            <w:top w:val="none" w:sz="0" w:color="auto"/>
            <w:bottom w:val="single" w:sz="12" w:color="0F766E"/>
            <w:left w:val="none" w:sz="0" w:color="auto"/>
            <w:right w:val="none" w:sz="0" w:color="auto"/>
            <w:insideH w:val="none" w:sz="0" w:color="auto"/>
            <w:insideV w:val="none" w:sz="0" w:color="auto"/>
          </w:tcBorders>
        </w:tcPr>
        <w:p>
          <w:pPr>
            <w:jc w:val="left"/>
          </w:pPr>
          <w:r>
            <w:rPr>
              <w:rFonts w:ascii="Inter" w:hAnsi="Inter" w:eastAsia="Inter"/>
              <w:b w:val="0"/>
              <w:i w:val="0"/>
              <w:color w:val="64748B"/>
              <w:sz w:val="14"/>
            </w:rPr>
            <w:t>BOOKKEEPER PRACTICE LAUNCH SYSTEM  ·  v2.0</w:t>
          </w:r>
        </w:p>
      </w:tc>
      <w:tc>
        <w:tcPr>
          <w:tcW w:type="dxa" w:w="4536"/>
          <w:tcMar>
            <w:top w:w="60" w:type="dxa"/>
            <w:bottom w:w="60" w:type="dxa"/>
            <w:left w:w="60" w:type="dxa"/>
            <w:right w:w="0" w:type="dxa"/>
          </w:tcMar>
          <w:tcBorders>
            <w:top w:val="none" w:sz="0" w:color="auto"/>
            <w:bottom w:val="single" w:sz="12" w:color="0F766E"/>
            <w:left w:val="none" w:sz="0" w:color="auto"/>
            <w:right w:val="none" w:sz="0" w:color="auto"/>
            <w:insideH w:val="none" w:sz="0" w:color="auto"/>
            <w:insideV w:val="none" w:sz="0" w:color="auto"/>
          </w:tcBorders>
        </w:tcPr>
        <w:p>
          <w:pPr>
            <w:jc w:val="right"/>
          </w:pPr>
          <w:r>
            <w:rPr>
              <w:rFonts w:ascii="Inter" w:hAnsi="Inter" w:eastAsia="Inter"/>
              <w:b/>
              <w:i w:val="0"/>
              <w:color w:val="0F172A"/>
              <w:sz w:val="14"/>
            </w:rPr>
            <w:t>ANNUAL TAX PREP CHECKLIST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