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800" w:type="dxa"/>
              <w:bottom w:w="800" w:type="dxa"/>
              <w:left w:w="700" w:type="dxa"/>
              <w:right w:w="700" w:type="dxa"/>
            </w:tcMar>
            <w:vAlign w:val="center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hd w:val="clear" w:color="auto" w:fill="0F766E"/>
              <w:spacing w:before="0" w:after="0"/>
            </w:pPr>
          </w:p>
          <w:p/>
          <w:p>
            <w:pPr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04  —  OPERATIONS LIBRARY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FFFFFF"/>
                <w:sz w:val="60"/>
              </w:rPr>
              <w:t>Bookkeeping SOPs &amp;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FFFFFF"/>
                <w:sz w:val="60"/>
              </w:rPr>
              <w:t>Checklists</w:t>
            </w:r>
          </w:p>
          <w:p>
            <w:pPr>
              <w:spacing w:before="120" w:after="40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Internal operating manual — onboarding, monthly close, QC, and documents</w:t>
            </w:r>
          </w:p>
          <w:p>
            <w:pPr>
              <w:spacing w:before="0" w:after="320"/>
              <w:pBdr>
                <w:bottom w:val="single" w:sz="12" w:space="1" w:color="0F766E"/>
              </w:pBdr>
            </w:pPr>
          </w:p>
          <w:p>
            <w:pPr>
              <w:spacing w:before="0" w:after="6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DOCUMENT TYPE  </w:t>
            </w: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Internal Procedures</w:t>
            </w:r>
          </w:p>
          <w:p>
            <w:pPr>
              <w:spacing w:before="0" w:after="6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AUDIENCE  </w:t>
            </w: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Bookkeeper / Practice Owner</w:t>
            </w:r>
          </w:p>
          <w:p>
            <w:pPr>
              <w:spacing w:before="800" w:after="0"/>
            </w:pPr>
            <w:r>
              <w:rPr>
                <w:rFonts w:ascii="Poppins" w:hAnsi="Poppins" w:eastAsia="Poppins"/>
                <w:b/>
                <w:i w:val="0"/>
                <w:color w:val="D97706"/>
                <w:sz w:val="15"/>
              </w:rPr>
              <w:t>VERSION 2.0  ·  PREMIUM EDITION  ·  2025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4" w:color="64748B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Internal use only — not for clients. Customise [BRACKETED TEXT] to match your tools and workflow.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64748B"/>
                <w:sz w:val="14"/>
              </w:rPr>
              <w:t>INTERNAL DOCUMENT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01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SOP — CLIENT ONBOARDING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Complete these steps for every new client before the first monthly close. Sign off each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701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2268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Deadline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Confirm signed engagement agreement and initial payment received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Before kickoff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510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Create client folder in [SYSTEM] with standard subfolder structure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Create client record in Notion with all profile data from intake pack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1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type="dxa" w:w="510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Set up recurring tasks in [PROJECT TOOL] for monthly close cadence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2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Request secure accountant / user access to bookkeeping software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2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type="dxa" w:w="510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Request required source documents via secure portal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2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Capture entity type, fiscal year, accounting basis, integrations, payroll, taxes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Kickoff call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type="dxa" w:w="510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Review opening balances and last fully reconciled period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Week 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Document known issues, cleanup scope, deadlines, and responsibilities in writing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Week 1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type="dxa" w:w="510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Run kickoff call and send written action summary within 24 hours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[OWNER]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Week 1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02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MONTHLY CLOSE CHECKLIST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Step</w:t>
            </w:r>
          </w:p>
        </w:tc>
        <w:tc>
          <w:tcPr>
            <w:tcW w:type="dxa" w:w="7937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Control Point</w:t>
            </w:r>
          </w:p>
        </w:tc>
        <w:tc>
          <w:tcPr>
            <w:tcW w:type="dxa" w:w="1134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Confirm all bank, card, loan, payroll, and processor data is available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7937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Import / sync transactions; investigate duplicates or failed feeds</w:t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Categorise all transactions; resolve uncategorised / suspense items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type="dxa" w:w="7937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Reconcile every bank and credit-card account to statements</w:t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Reconcile loans, payroll liabilities, sales-tax/VAT, and clearing accounts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type="dxa" w:w="7937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Review accounts receivable, payable, negative balances, and stale items</w:t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Record approved accruals, prepayments, depreciation, and adjustments within scope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type="dxa" w:w="7937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Compare current month with prior month and budget; document material variances</w:t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Run balance-sheet integrity and reasonableness checks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type="dxa" w:w="7937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Prepare consolidated question list and obtain documented responses from client</w:t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Finalise P&amp;L, balance sheet, cash summary, and all agreed reports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type="dxa" w:w="7937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Complete reviewer sign-off, lock or close period, and deliver to client portal</w:t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03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TAX DOCUMENT COLLECTION CHECKLIST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Use at year-end or when preparing the annual bookkeeping package for the tax preparer.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8220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Documents Required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Income</w:t>
            </w:r>
          </w:p>
        </w:tc>
        <w:tc>
          <w:tcPr>
            <w:tcW w:type="dxa" w:w="82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Sales summaries, invoices, merchant reports, platform statements, interest income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Banking</w:t>
            </w:r>
          </w:p>
        </w:tc>
        <w:tc>
          <w:tcPr>
            <w:tcW w:type="dxa" w:w="822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Year-end bank and credit-card statements, final reconciliations for all accounts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Payroll</w:t>
            </w:r>
          </w:p>
        </w:tc>
        <w:tc>
          <w:tcPr>
            <w:tcW w:type="dxa" w:w="82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Annual payroll summary, W-2 / 1099 or local equivalent, payroll tax filings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Expenses</w:t>
            </w:r>
          </w:p>
        </w:tc>
        <w:tc>
          <w:tcPr>
            <w:tcW w:type="dxa" w:w="822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Major receipts, insurance, rent, professional fees, travel, vehicle records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Assets &amp; Debt</w:t>
            </w:r>
          </w:p>
        </w:tc>
        <w:tc>
          <w:tcPr>
            <w:tcW w:type="dxa" w:w="82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Asset purchases/disposals with dates/amounts, year-end loan statements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Tax &amp; Compliance</w:t>
            </w:r>
          </w:p>
        </w:tc>
        <w:tc>
          <w:tcPr>
            <w:tcW w:type="dxa" w:w="822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Prior-year return, estimated payments, notices, sales-tax/VAT filings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Owner Activity</w:t>
            </w:r>
          </w:p>
        </w:tc>
        <w:tc>
          <w:tcPr>
            <w:tcW w:type="dxa" w:w="82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contributions, draws, distributions, shareholder/partner transactions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4" w:color="D97706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Document collection is not tax advice. Confirm the final list and filing deadlines with the client's qualified tax professional.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D97706"/>
                <w:sz w:val="14"/>
              </w:rPr>
              <w:t>SCOPE REMINDER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04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QUALITY CONTROL REVIEW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Complete before delivering any reports to any client. Both bookkeeper and reviewer must sign 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520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QC Check</w:t>
            </w:r>
          </w:p>
        </w:tc>
        <w:tc>
          <w:tcPr>
            <w:tcW w:type="dxa" w:w="2268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Verified By</w:t>
            </w:r>
          </w:p>
        </w:tc>
        <w:tc>
          <w:tcPr>
            <w:tcW w:type="dxa" w:w="1134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Done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statement balances agree to the ledger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No unexplained suspense or uncategorised balances remaining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Opening balances and retained earnings are understood and documented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Negative assets / liabilities and unusual balances investigated and documented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Payroll, loans, sales-tax/VAT, and processor clearing fully reconciled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material variances have documented explanations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Reports use correct period, basis, entity, and comparison column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questions, judgments, and client approvals are documented in writing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Period is locked or closed in the software after review sign-off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652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Reports delivered to client portal — not by ordinary email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  <w:tc>
          <w:tcPr>
            <w:tcW w:type="dxa" w:w="113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417" w:bottom="1361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  <w:tcBorders>
            <w:top w:val="single" w:sz="4" w:color="CBD5E1"/>
            <w:bottom w:val="none" w:sz="0" w:color="auto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  <w:tcMar>
            <w:top w:w="50" w:type="dxa"/>
            <w:bottom w:w="50" w:type="dxa"/>
            <w:left w:w="0" w:type="dxa"/>
            <w:right w:w="0" w:type="dxa"/>
          </w:tcMar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4"/>
            </w:rPr>
            <w:t>Confidential  ·  Commercial Use Licence  ·  © 2025 Bookkeeper Practice Launch System</w:t>
          </w:r>
        </w:p>
      </w:tc>
      <w:tc>
        <w:tcPr>
          <w:tcW w:type="dxa" w:w="4536"/>
          <w:tcBorders>
            <w:top w:val="single" w:sz="4" w:color="CBD5E1"/>
            <w:bottom w:val="none" w:sz="0" w:color="auto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  <w:tcMar>
            <w:top w:w="50" w:type="dxa"/>
            <w:bottom w:w="50" w:type="dxa"/>
            <w:left w:w="0" w:type="dxa"/>
            <w:right w:w="0" w:type="dxa"/>
          </w:tcMar>
        </w:tcPr>
        <w:p>
          <w:pPr>
            <w:jc w:val="right"/>
          </w:pP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t xml:space="preserve">Page </w:t>
          </w:r>
          <w:r>
            <w:rPr>
              <w:rFonts w:ascii="Inter" w:hAnsi="Inter" w:eastAsia="Inter"/>
              <w:b/>
              <w:i w:val="0"/>
              <w:color w:val="0F766E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color="auto"/>
            <w:bottom w:val="single" w:sz="12" w:color="0F766E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4"/>
            </w:rPr>
            <w:t>BOOKKEEPER PRACTICE LAUNCH SYSTEM  ·  v2.0</w:t>
          </w:r>
        </w:p>
      </w:tc>
      <w:tc>
        <w:tcPr>
          <w:tcW w:type="dxa" w:w="4536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color="auto"/>
            <w:bottom w:val="single" w:sz="12" w:color="0F766E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172A"/>
              <w:sz w:val="14"/>
            </w:rPr>
            <w:t>BOOKKEEPING SOPS &amp; CHECKLISTS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