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Confidentiality Policy</w:t>
      </w:r>
    </w:p>
    <w:p>
      <w:pPr/>
      <w:r>
        <w:rPr>
          <w:color w:val="7F8C8D"/>
          <w:sz w:val="20"/>
        </w:rPr>
        <w:t>Bookkeeping Business Operating System | Compliance &amp; Legal</w:t>
      </w:r>
    </w:p>
    <w:p>
      <w:pPr>
        <w:pStyle w:val="Heading1"/>
      </w:pPr>
      <w:r>
        <w:rPr>
          <w:color w:val="0F3460"/>
        </w:rPr>
        <w:t>PURPOSE</w:t>
      </w:r>
    </w:p>
    <w:p>
      <w:r>
        <w:t>[Business Name] handles sensitive financial information for multiple clients. This policy establishes our commitment to protecting client confidentiality and defines how financial data is handled.</w:t>
      </w:r>
    </w:p>
    <w:p>
      <w:pPr>
        <w:pStyle w:val="Heading1"/>
      </w:pPr>
      <w:r>
        <w:rPr>
          <w:color w:val="0F3460"/>
        </w:rPr>
        <w:t>SCOPE</w:t>
      </w:r>
    </w:p>
    <w:p>
      <w:r>
        <w:t>This policy applies to all employees, contractors, and partners of [Business Name] who have access to client financial information.</w:t>
      </w:r>
    </w:p>
    <w:p>
      <w:pPr>
        <w:pStyle w:val="Heading1"/>
      </w:pPr>
      <w:r>
        <w:rPr>
          <w:color w:val="0F3460"/>
        </w:rPr>
        <w:t>DATA WE HANDLE</w:t>
      </w:r>
    </w:p>
    <w:p>
      <w:pPr>
        <w:pStyle w:val="ListBullet"/>
      </w:pPr>
      <w:r>
        <w:t>Business financial records (income, expenses, assets, liabilities)</w:t>
      </w:r>
    </w:p>
    <w:p>
      <w:pPr>
        <w:pStyle w:val="ListBullet"/>
      </w:pPr>
      <w:r>
        <w:t>Bank account numbers and routing numbers</w:t>
      </w:r>
    </w:p>
    <w:p>
      <w:pPr>
        <w:pStyle w:val="ListBullet"/>
      </w:pPr>
      <w:r>
        <w:t>Payroll data including employee names, compensation, and SSNs</w:t>
      </w:r>
    </w:p>
    <w:p>
      <w:pPr>
        <w:pStyle w:val="ListBullet"/>
      </w:pPr>
      <w:r>
        <w:t>Tax ID numbers (EIN, SSN)</w:t>
      </w:r>
    </w:p>
    <w:p>
      <w:pPr>
        <w:pStyle w:val="ListBullet"/>
      </w:pPr>
      <w:r>
        <w:t>Vendor and customer payment information</w:t>
      </w:r>
    </w:p>
    <w:p>
      <w:pPr>
        <w:pStyle w:val="Heading1"/>
      </w:pPr>
      <w:r>
        <w:rPr>
          <w:color w:val="0F3460"/>
        </w:rPr>
        <w:t>CONFIDENTIALITY OBLIGATIONS</w:t>
      </w:r>
    </w:p>
    <w:p>
      <w:pPr>
        <w:pStyle w:val="ListBullet"/>
      </w:pPr>
      <w:r>
        <w:t>All client financial data is strictly confidential</w:t>
      </w:r>
    </w:p>
    <w:p>
      <w:pPr>
        <w:pStyle w:val="ListBullet"/>
      </w:pPr>
      <w:r>
        <w:t>We never share, sell, or disclose client information to third parties without written consent</w:t>
      </w:r>
    </w:p>
    <w:p>
      <w:pPr>
        <w:pStyle w:val="ListBullet"/>
      </w:pPr>
      <w:r>
        <w:t>Exception: Disclosure required by law (IRS subpoena, court order)</w:t>
      </w:r>
    </w:p>
    <w:p>
      <w:pPr>
        <w:pStyle w:val="ListBullet"/>
      </w:pPr>
      <w:r>
        <w:t>Exception: Communication with client's designated CPA or tax professional (with client authorization)</w:t>
      </w:r>
    </w:p>
    <w:p>
      <w:pPr>
        <w:pStyle w:val="Heading1"/>
      </w:pPr>
      <w:r>
        <w:rPr>
          <w:color w:val="0F3460"/>
        </w:rPr>
        <w:t>DATA SECURITY PRACTICES</w:t>
      </w:r>
    </w:p>
    <w:p>
      <w:pPr>
        <w:pStyle w:val="ListBullet"/>
      </w:pPr>
      <w:r>
        <w:t>Client files stored in encrypted cloud storage with access controls</w:t>
      </w:r>
    </w:p>
    <w:p>
      <w:pPr>
        <w:pStyle w:val="ListBullet"/>
      </w:pPr>
      <w:r>
        <w:t>Accounting software access is password-protected with multi-factor authentication</w:t>
      </w:r>
    </w:p>
    <w:p>
      <w:pPr>
        <w:pStyle w:val="ListBullet"/>
      </w:pPr>
      <w:r>
        <w:t>No client data stored on personal devices without encryption</w:t>
      </w:r>
    </w:p>
    <w:p>
      <w:pPr>
        <w:pStyle w:val="ListBullet"/>
      </w:pPr>
      <w:r>
        <w:t>Client data is retained for [7] years after engagement ends, then securely deleted</w:t>
      </w:r>
    </w:p>
    <w:p>
      <w:pPr>
        <w:pStyle w:val="Heading1"/>
      </w:pPr>
      <w:r>
        <w:rPr>
          <w:color w:val="0F3460"/>
        </w:rPr>
        <w:t>BREACH NOTIFICATION</w:t>
      </w:r>
    </w:p>
    <w:p>
      <w:r>
        <w:t>In the event of a data security breach affecting client information, [Business Name] will notify affected clients within [72] hours of discovery and describe the nature of the breach and steps taken to address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