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059FC" w14:textId="77777777" w:rsidR="0068027E" w:rsidRPr="000A2B38" w:rsidRDefault="00000000">
      <w:pPr>
        <w:spacing w:after="80"/>
        <w:jc w:val="center"/>
        <w:rPr>
          <w:rFonts w:ascii="Times New Roman" w:hAnsi="Times New Roman" w:cs="Times New Roman"/>
        </w:rPr>
      </w:pPr>
      <w:r w:rsidRPr="000A2B38">
        <w:rPr>
          <w:rFonts w:ascii="Times New Roman" w:hAnsi="Times New Roman" w:cs="Times New Roman"/>
          <w:b/>
          <w:bCs/>
          <w:color w:val="1F3864"/>
          <w:sz w:val="32"/>
          <w:szCs w:val="32"/>
        </w:rPr>
        <w:t>Clinical Natural Language Processing in Healthcare:</w:t>
      </w:r>
    </w:p>
    <w:p w14:paraId="7A490B7C" w14:textId="77777777" w:rsidR="0068027E" w:rsidRPr="000A2B38" w:rsidRDefault="00000000">
      <w:pPr>
        <w:spacing w:after="160"/>
        <w:jc w:val="center"/>
        <w:rPr>
          <w:rFonts w:ascii="Times New Roman" w:hAnsi="Times New Roman" w:cs="Times New Roman"/>
        </w:rPr>
      </w:pPr>
      <w:r w:rsidRPr="000A2B38">
        <w:rPr>
          <w:rFonts w:ascii="Times New Roman" w:hAnsi="Times New Roman" w:cs="Times New Roman"/>
          <w:b/>
          <w:bCs/>
          <w:color w:val="1F3864"/>
          <w:sz w:val="32"/>
          <w:szCs w:val="32"/>
        </w:rPr>
        <w:t>Past, Present, and Future</w:t>
      </w:r>
    </w:p>
    <w:p w14:paraId="5F4A8676" w14:textId="77777777" w:rsidR="0068027E" w:rsidRPr="000A2B38" w:rsidRDefault="00000000">
      <w:pPr>
        <w:spacing w:after="240"/>
        <w:jc w:val="center"/>
        <w:rPr>
          <w:rFonts w:ascii="Times New Roman" w:hAnsi="Times New Roman" w:cs="Times New Roman"/>
        </w:rPr>
      </w:pPr>
      <w:r w:rsidRPr="000A2B38">
        <w:rPr>
          <w:rFonts w:ascii="Times New Roman" w:hAnsi="Times New Roman" w:cs="Times New Roman"/>
          <w:color w:val="555555"/>
          <w:sz w:val="20"/>
          <w:szCs w:val="20"/>
        </w:rPr>
        <w:t xml:space="preserve">Dristi </w:t>
      </w:r>
      <w:proofErr w:type="gramStart"/>
      <w:r w:rsidRPr="000A2B38">
        <w:rPr>
          <w:rFonts w:ascii="Times New Roman" w:hAnsi="Times New Roman" w:cs="Times New Roman"/>
          <w:color w:val="555555"/>
          <w:sz w:val="20"/>
          <w:szCs w:val="20"/>
        </w:rPr>
        <w:t>Shakya  |</w:t>
      </w:r>
      <w:proofErr w:type="gramEnd"/>
      <w:r w:rsidRPr="000A2B38">
        <w:rPr>
          <w:rFonts w:ascii="Times New Roman" w:hAnsi="Times New Roman" w:cs="Times New Roman"/>
          <w:color w:val="555555"/>
          <w:sz w:val="20"/>
          <w:szCs w:val="20"/>
        </w:rPr>
        <w:t xml:space="preserve">  Padma Kanya Multiple Campus, Tribhuvan </w:t>
      </w:r>
      <w:proofErr w:type="gramStart"/>
      <w:r w:rsidRPr="000A2B38">
        <w:rPr>
          <w:rFonts w:ascii="Times New Roman" w:hAnsi="Times New Roman" w:cs="Times New Roman"/>
          <w:color w:val="555555"/>
          <w:sz w:val="20"/>
          <w:szCs w:val="20"/>
        </w:rPr>
        <w:t>University  |</w:t>
      </w:r>
      <w:proofErr w:type="gramEnd"/>
      <w:r w:rsidRPr="000A2B38">
        <w:rPr>
          <w:rFonts w:ascii="Times New Roman" w:hAnsi="Times New Roman" w:cs="Times New Roman"/>
          <w:color w:val="555555"/>
          <w:sz w:val="20"/>
          <w:szCs w:val="20"/>
        </w:rPr>
        <w:t xml:space="preserve">  June 2026</w:t>
      </w:r>
    </w:p>
    <w:p w14:paraId="491544CB" w14:textId="77777777" w:rsidR="0068027E" w:rsidRPr="000A2B38" w:rsidRDefault="0068027E">
      <w:pPr>
        <w:pBdr>
          <w:bottom w:val="single" w:sz="6" w:space="1" w:color="CCCCCC"/>
        </w:pBdr>
        <w:spacing w:after="120"/>
        <w:rPr>
          <w:rFonts w:ascii="Times New Roman" w:hAnsi="Times New Roman" w:cs="Times New Roman"/>
        </w:rPr>
      </w:pPr>
    </w:p>
    <w:p w14:paraId="4FFCF71D" w14:textId="77777777" w:rsidR="0068027E" w:rsidRPr="000A2B38" w:rsidRDefault="00000000">
      <w:pPr>
        <w:pStyle w:val="Heading1"/>
        <w:spacing w:before="240" w:after="120"/>
        <w:rPr>
          <w:rFonts w:ascii="Times New Roman" w:hAnsi="Times New Roman" w:cs="Times New Roman"/>
        </w:rPr>
      </w:pPr>
      <w:r w:rsidRPr="000A2B38">
        <w:rPr>
          <w:rFonts w:ascii="Times New Roman" w:hAnsi="Times New Roman" w:cs="Times New Roman"/>
          <w:b/>
          <w:bCs/>
          <w:color w:val="1F3864"/>
          <w:sz w:val="28"/>
          <w:szCs w:val="28"/>
        </w:rPr>
        <w:t>Introduction</w:t>
      </w:r>
    </w:p>
    <w:p w14:paraId="36A0E56F" w14:textId="77777777" w:rsidR="0068027E" w:rsidRPr="000A2B38" w:rsidRDefault="00000000">
      <w:pPr>
        <w:spacing w:after="120" w:line="276" w:lineRule="auto"/>
        <w:jc w:val="both"/>
        <w:rPr>
          <w:rFonts w:ascii="Times New Roman" w:hAnsi="Times New Roman" w:cs="Times New Roman"/>
        </w:rPr>
      </w:pPr>
      <w:r w:rsidRPr="000A2B38">
        <w:rPr>
          <w:rFonts w:ascii="Times New Roman" w:hAnsi="Times New Roman" w:cs="Times New Roman"/>
        </w:rPr>
        <w:t>Clinical Natural Language Processing (NLP) refers to the application of computational techniques to interpret and structure human language within healthcare contexts. Healthcare systems generate enormous volumes of unstructured text — physician notes, discharge summaries, lab reports, and insurance claims — that contain critical insights inaccessible to traditional data systems. Clinical NLP bridges this gap, transforming unstructured text into structured, actionable intelligence. As healthcare shifts toward data-driven decision-making, NLP has emerged as a foundational technology for improving care quality, reducing costs, and enabling scalable analysis across millions of patient records.</w:t>
      </w:r>
    </w:p>
    <w:p w14:paraId="558E9B41" w14:textId="77777777" w:rsidR="0068027E" w:rsidRPr="000A2B38" w:rsidRDefault="0068027E">
      <w:pPr>
        <w:pBdr>
          <w:bottom w:val="single" w:sz="6" w:space="1" w:color="CCCCCC"/>
        </w:pBdr>
        <w:spacing w:after="120"/>
        <w:rPr>
          <w:rFonts w:ascii="Times New Roman" w:hAnsi="Times New Roman" w:cs="Times New Roman"/>
        </w:rPr>
      </w:pPr>
    </w:p>
    <w:p w14:paraId="5AE6F4D6" w14:textId="77777777" w:rsidR="0068027E" w:rsidRPr="000A2B38" w:rsidRDefault="00000000">
      <w:pPr>
        <w:pStyle w:val="Heading1"/>
        <w:spacing w:before="240" w:after="120"/>
        <w:rPr>
          <w:rFonts w:ascii="Times New Roman" w:hAnsi="Times New Roman" w:cs="Times New Roman"/>
        </w:rPr>
      </w:pPr>
      <w:r w:rsidRPr="000A2B38">
        <w:rPr>
          <w:rFonts w:ascii="Times New Roman" w:hAnsi="Times New Roman" w:cs="Times New Roman"/>
          <w:b/>
          <w:bCs/>
          <w:color w:val="1F3864"/>
          <w:sz w:val="28"/>
          <w:szCs w:val="28"/>
        </w:rPr>
        <w:t>Past: Rule-Based Systems and Early Machine Learning</w:t>
      </w:r>
    </w:p>
    <w:p w14:paraId="694BA8FB" w14:textId="1193E2E9" w:rsidR="0068027E" w:rsidRPr="000A2B38" w:rsidRDefault="00000000">
      <w:pPr>
        <w:spacing w:after="120" w:line="276" w:lineRule="auto"/>
        <w:jc w:val="both"/>
        <w:rPr>
          <w:rFonts w:ascii="Times New Roman" w:hAnsi="Times New Roman" w:cs="Times New Roman"/>
        </w:rPr>
      </w:pPr>
      <w:r w:rsidRPr="000A2B38">
        <w:rPr>
          <w:rFonts w:ascii="Times New Roman" w:hAnsi="Times New Roman" w:cs="Times New Roman"/>
        </w:rPr>
        <w:t xml:space="preserve">Early clinical NLP systems, such as </w:t>
      </w:r>
      <w:proofErr w:type="spellStart"/>
      <w:r w:rsidRPr="000A2B38">
        <w:rPr>
          <w:rFonts w:ascii="Times New Roman" w:hAnsi="Times New Roman" w:cs="Times New Roman"/>
        </w:rPr>
        <w:t>MedLEE</w:t>
      </w:r>
      <w:proofErr w:type="spellEnd"/>
      <w:r w:rsidRPr="000A2B38">
        <w:rPr>
          <w:rFonts w:ascii="Times New Roman" w:hAnsi="Times New Roman" w:cs="Times New Roman"/>
        </w:rPr>
        <w:t xml:space="preserve"> developed in the 1990s, relied on hand-crafted rules and medical ontologies like SNOMED-CT and ICD codes to extract structured information from physician notes. These approaches were reliable within narrow domains but struggled with the linguistic variation inherent in clinical documentation. The 2000s introduced statistical machine learning techniques — Support Vector Machines, Conditional Random Fields, and Naive Bayes classifiers — trained on annotated clinical corpora, improving scalability but requiring large volumes of expensive labeled data.</w:t>
      </w:r>
      <w:r w:rsidR="000A2B38">
        <w:rPr>
          <w:rFonts w:ascii="Times New Roman" w:hAnsi="Times New Roman" w:cs="Times New Roman"/>
        </w:rPr>
        <w:t xml:space="preserve"> </w:t>
      </w:r>
      <w:r w:rsidR="000A2B38" w:rsidRPr="000A2B38">
        <w:rPr>
          <w:rFonts w:ascii="Times New Roman" w:hAnsi="Times New Roman" w:cs="Times New Roman"/>
        </w:rPr>
        <w:t>The shift from rule-based to statistical approaches mirrors a broader pattern in AI: moving from hand-crafted expertise to learned representations reduces maintenance burden but introduces dependence on large, high-quality labeled datasets — a significant bottleneck in clinical settings where annotation requires medical expertise.</w:t>
      </w:r>
    </w:p>
    <w:p w14:paraId="169E8CF6" w14:textId="77777777" w:rsidR="0068027E" w:rsidRPr="000A2B38" w:rsidRDefault="0068027E">
      <w:pPr>
        <w:pBdr>
          <w:bottom w:val="single" w:sz="6" w:space="1" w:color="CCCCCC"/>
        </w:pBdr>
        <w:spacing w:after="120"/>
        <w:rPr>
          <w:rFonts w:ascii="Times New Roman" w:hAnsi="Times New Roman" w:cs="Times New Roman"/>
        </w:rPr>
      </w:pPr>
    </w:p>
    <w:p w14:paraId="5B9282CC" w14:textId="77777777" w:rsidR="0068027E" w:rsidRPr="000A2B38" w:rsidRDefault="00000000">
      <w:pPr>
        <w:pStyle w:val="Heading1"/>
        <w:spacing w:before="240" w:after="120"/>
        <w:rPr>
          <w:rFonts w:ascii="Times New Roman" w:hAnsi="Times New Roman" w:cs="Times New Roman"/>
        </w:rPr>
      </w:pPr>
      <w:r w:rsidRPr="000A2B38">
        <w:rPr>
          <w:rFonts w:ascii="Times New Roman" w:hAnsi="Times New Roman" w:cs="Times New Roman"/>
          <w:b/>
          <w:bCs/>
          <w:color w:val="1F3864"/>
          <w:sz w:val="28"/>
          <w:szCs w:val="28"/>
        </w:rPr>
        <w:t>Present: Transformer Models and Large Language Models</w:t>
      </w:r>
    </w:p>
    <w:p w14:paraId="1EB0A640" w14:textId="3B723B44" w:rsidR="0068027E" w:rsidRPr="000A2B38" w:rsidRDefault="00000000">
      <w:pPr>
        <w:spacing w:after="120" w:line="276" w:lineRule="auto"/>
        <w:jc w:val="both"/>
        <w:rPr>
          <w:rFonts w:ascii="Times New Roman" w:hAnsi="Times New Roman" w:cs="Times New Roman"/>
        </w:rPr>
      </w:pPr>
      <w:r w:rsidRPr="000A2B38">
        <w:rPr>
          <w:rFonts w:ascii="Times New Roman" w:hAnsi="Times New Roman" w:cs="Times New Roman"/>
        </w:rPr>
        <w:t xml:space="preserve">The introduction of BERT in 2018 and its clinical adaptations — </w:t>
      </w:r>
      <w:proofErr w:type="spellStart"/>
      <w:r w:rsidRPr="000A2B38">
        <w:rPr>
          <w:rFonts w:ascii="Times New Roman" w:hAnsi="Times New Roman" w:cs="Times New Roman"/>
        </w:rPr>
        <w:t>BioBERT</w:t>
      </w:r>
      <w:proofErr w:type="spellEnd"/>
      <w:r w:rsidRPr="000A2B38">
        <w:rPr>
          <w:rFonts w:ascii="Times New Roman" w:hAnsi="Times New Roman" w:cs="Times New Roman"/>
        </w:rPr>
        <w:t xml:space="preserve">, </w:t>
      </w:r>
      <w:proofErr w:type="spellStart"/>
      <w:r w:rsidRPr="000A2B38">
        <w:rPr>
          <w:rFonts w:ascii="Times New Roman" w:hAnsi="Times New Roman" w:cs="Times New Roman"/>
        </w:rPr>
        <w:t>ClinicalBERT</w:t>
      </w:r>
      <w:proofErr w:type="spellEnd"/>
      <w:r w:rsidRPr="000A2B38">
        <w:rPr>
          <w:rFonts w:ascii="Times New Roman" w:hAnsi="Times New Roman" w:cs="Times New Roman"/>
        </w:rPr>
        <w:t xml:space="preserve">, and </w:t>
      </w:r>
      <w:proofErr w:type="spellStart"/>
      <w:r w:rsidRPr="000A2B38">
        <w:rPr>
          <w:rFonts w:ascii="Times New Roman" w:hAnsi="Times New Roman" w:cs="Times New Roman"/>
        </w:rPr>
        <w:t>PubMedBERT</w:t>
      </w:r>
      <w:proofErr w:type="spellEnd"/>
      <w:r w:rsidRPr="000A2B38">
        <w:rPr>
          <w:rFonts w:ascii="Times New Roman" w:hAnsi="Times New Roman" w:cs="Times New Roman"/>
        </w:rPr>
        <w:t xml:space="preserve"> — marked a turning point in clinical NLP. Pre-trained on biomedical corpora, these models dramatically reduced the need for task-specific labeled data and achieved state-of-the-art performance on named entity recognition, relation extraction, and clinical concept normalization. Large Language Models (LLMs) such as GPT-4 and domain-specialized models including Google's Med-</w:t>
      </w:r>
      <w:proofErr w:type="spellStart"/>
      <w:r w:rsidRPr="000A2B38">
        <w:rPr>
          <w:rFonts w:ascii="Times New Roman" w:hAnsi="Times New Roman" w:cs="Times New Roman"/>
        </w:rPr>
        <w:t>PaLM</w:t>
      </w:r>
      <w:proofErr w:type="spellEnd"/>
      <w:r w:rsidRPr="000A2B38">
        <w:rPr>
          <w:rFonts w:ascii="Times New Roman" w:hAnsi="Times New Roman" w:cs="Times New Roman"/>
        </w:rPr>
        <w:t xml:space="preserve"> have further expanded capabilities, enabling complex medical reasoning, clinical note summarization, and medical coding assistance. The NLP in healthcare market is projected to grow from USD 5.18 billion in 2025 to USD 16.01 billion by 2030, driven by demand to unlock value from unstructured clinical data.</w:t>
      </w:r>
      <w:r w:rsidR="000A2B38">
        <w:rPr>
          <w:rFonts w:ascii="Times New Roman" w:hAnsi="Times New Roman" w:cs="Times New Roman"/>
        </w:rPr>
        <w:t xml:space="preserve"> </w:t>
      </w:r>
      <w:r w:rsidR="000A2B38" w:rsidRPr="000A2B38">
        <w:rPr>
          <w:rFonts w:ascii="Times New Roman" w:hAnsi="Times New Roman" w:cs="Times New Roman"/>
        </w:rPr>
        <w:t>The rapid commoditization of clinical NLP through cloud platforms from Amazon, Google, and Microsoft signals that competitive advantage is shifting from building NLP capabilities to knowing how to apply them effectively within specific healthcare workflows — precisely where domain-focused companies like Cotiviti have an edge</w:t>
      </w:r>
      <w:r w:rsidR="000A2B38">
        <w:rPr>
          <w:rFonts w:ascii="Times New Roman" w:hAnsi="Times New Roman" w:cs="Times New Roman"/>
        </w:rPr>
        <w:t>.</w:t>
      </w:r>
    </w:p>
    <w:p w14:paraId="79E6AC6E" w14:textId="77777777" w:rsidR="0068027E" w:rsidRPr="000A2B38" w:rsidRDefault="0068027E">
      <w:pPr>
        <w:pBdr>
          <w:bottom w:val="single" w:sz="6" w:space="1" w:color="CCCCCC"/>
        </w:pBdr>
        <w:spacing w:after="120"/>
        <w:rPr>
          <w:rFonts w:ascii="Times New Roman" w:hAnsi="Times New Roman" w:cs="Times New Roman"/>
        </w:rPr>
      </w:pPr>
    </w:p>
    <w:p w14:paraId="2171E73B" w14:textId="77777777" w:rsidR="0068027E" w:rsidRPr="000A2B38" w:rsidRDefault="00000000">
      <w:pPr>
        <w:pStyle w:val="Heading1"/>
        <w:spacing w:before="240" w:after="120"/>
        <w:rPr>
          <w:rFonts w:ascii="Times New Roman" w:hAnsi="Times New Roman" w:cs="Times New Roman"/>
        </w:rPr>
      </w:pPr>
      <w:r w:rsidRPr="000A2B38">
        <w:rPr>
          <w:rFonts w:ascii="Times New Roman" w:hAnsi="Times New Roman" w:cs="Times New Roman"/>
          <w:b/>
          <w:bCs/>
          <w:color w:val="1F3864"/>
          <w:sz w:val="28"/>
          <w:szCs w:val="28"/>
        </w:rPr>
        <w:t>Future: Multimodal and Agentic AI</w:t>
      </w:r>
    </w:p>
    <w:p w14:paraId="29C0923C" w14:textId="0C3F65F7" w:rsidR="0068027E" w:rsidRPr="000A2B38" w:rsidRDefault="00000000">
      <w:pPr>
        <w:spacing w:after="120" w:line="276" w:lineRule="auto"/>
        <w:jc w:val="both"/>
        <w:rPr>
          <w:rFonts w:ascii="Times New Roman" w:hAnsi="Times New Roman" w:cs="Times New Roman"/>
        </w:rPr>
      </w:pPr>
      <w:r w:rsidRPr="000A2B38">
        <w:rPr>
          <w:rFonts w:ascii="Times New Roman" w:hAnsi="Times New Roman" w:cs="Times New Roman"/>
        </w:rPr>
        <w:t>The next frontier lies in multimodality and autonomous reasoning. Large Multimodal Models (LMMs) integrate text with medical imaging — combining radiology reports with CT scans and pathology notes with histological images — for richer clinical understanding. Agentic AI systems capable of autonomously executing multi-step reasoning chains may soon review complete patient histories, cross-reference clinical guidelines, identify care gaps, and generate structured summaries before a clinician enters the room. Key challenges include ensuring fairness across demographic groups, navigating HIPAA compliance in LLM training, and building clinician trust through transparent and explainable AI outputs.</w:t>
      </w:r>
      <w:r w:rsidR="000A2B38">
        <w:rPr>
          <w:rFonts w:ascii="Times New Roman" w:hAnsi="Times New Roman" w:cs="Times New Roman"/>
        </w:rPr>
        <w:t xml:space="preserve"> </w:t>
      </w:r>
      <w:r w:rsidR="000A2B38" w:rsidRPr="000A2B38">
        <w:rPr>
          <w:rFonts w:ascii="Times New Roman" w:hAnsi="Times New Roman" w:cs="Times New Roman"/>
        </w:rPr>
        <w:t>The most significant risk is not technical but organizational: healthcare institutions that delay NLP adoption while competitors automate documentation, coding, and risk adjustment will face compounding efficiency gaps that become increasingly difficult to close.</w:t>
      </w:r>
    </w:p>
    <w:p w14:paraId="5BB6CC6E" w14:textId="77777777" w:rsidR="0068027E" w:rsidRPr="000A2B38" w:rsidRDefault="0068027E">
      <w:pPr>
        <w:pBdr>
          <w:bottom w:val="single" w:sz="6" w:space="1" w:color="CCCCCC"/>
        </w:pBdr>
        <w:spacing w:after="120"/>
        <w:rPr>
          <w:rFonts w:ascii="Times New Roman" w:hAnsi="Times New Roman" w:cs="Times New Roman"/>
        </w:rPr>
      </w:pPr>
    </w:p>
    <w:p w14:paraId="0ECD807D" w14:textId="77777777" w:rsidR="0068027E" w:rsidRPr="000A2B38" w:rsidRDefault="00000000">
      <w:pPr>
        <w:pStyle w:val="Heading1"/>
        <w:spacing w:before="240" w:after="120"/>
        <w:rPr>
          <w:rFonts w:ascii="Times New Roman" w:hAnsi="Times New Roman" w:cs="Times New Roman"/>
        </w:rPr>
      </w:pPr>
      <w:r w:rsidRPr="000A2B38">
        <w:rPr>
          <w:rFonts w:ascii="Times New Roman" w:hAnsi="Times New Roman" w:cs="Times New Roman"/>
          <w:b/>
          <w:bCs/>
          <w:color w:val="1F3864"/>
          <w:sz w:val="28"/>
          <w:szCs w:val="28"/>
        </w:rPr>
        <w:t>Strategic Recommendations for Cotiviti</w:t>
      </w:r>
    </w:p>
    <w:p w14:paraId="7CC6FDCB" w14:textId="77777777" w:rsidR="0068027E" w:rsidRPr="000A2B38" w:rsidRDefault="00000000">
      <w:pPr>
        <w:spacing w:after="120" w:line="276" w:lineRule="auto"/>
        <w:jc w:val="both"/>
        <w:rPr>
          <w:rFonts w:ascii="Times New Roman" w:hAnsi="Times New Roman" w:cs="Times New Roman"/>
        </w:rPr>
      </w:pPr>
      <w:r w:rsidRPr="000A2B38">
        <w:rPr>
          <w:rFonts w:ascii="Times New Roman" w:hAnsi="Times New Roman" w:cs="Times New Roman"/>
        </w:rPr>
        <w:t>Cotiviti enables healthcare organizations to deliver better care at lower cost, serving more than 200 healthcare payers including all top 25 plans in the United States, with solutions spanning payment accuracy, risk adjustment, quality improvement, and consumer engagement. Three strategic investments in clinical NLP are recommended:</w:t>
      </w:r>
    </w:p>
    <w:p w14:paraId="79035266" w14:textId="77777777" w:rsidR="0068027E" w:rsidRPr="000A2B38" w:rsidRDefault="0068027E">
      <w:pPr>
        <w:spacing w:after="80"/>
        <w:rPr>
          <w:rFonts w:ascii="Times New Roman" w:hAnsi="Times New Roman" w:cs="Times New Roman"/>
        </w:rPr>
      </w:pPr>
    </w:p>
    <w:p w14:paraId="0F7D046D" w14:textId="77777777" w:rsidR="0068027E" w:rsidRPr="000A2B38" w:rsidRDefault="00000000">
      <w:pPr>
        <w:pStyle w:val="Heading2"/>
        <w:spacing w:before="180" w:after="80"/>
        <w:rPr>
          <w:rFonts w:ascii="Times New Roman" w:hAnsi="Times New Roman" w:cs="Times New Roman"/>
        </w:rPr>
      </w:pPr>
      <w:r w:rsidRPr="000A2B38">
        <w:rPr>
          <w:rFonts w:ascii="Times New Roman" w:hAnsi="Times New Roman" w:cs="Times New Roman"/>
          <w:b/>
          <w:bCs/>
          <w:color w:val="2E5299"/>
          <w:sz w:val="24"/>
          <w:szCs w:val="24"/>
        </w:rPr>
        <w:t>1. LLM-Powered Clinical Documentation Auditing</w:t>
      </w:r>
    </w:p>
    <w:p w14:paraId="4A1F7654" w14:textId="77777777" w:rsidR="0068027E" w:rsidRPr="000A2B38" w:rsidRDefault="00000000">
      <w:pPr>
        <w:spacing w:after="120" w:line="276" w:lineRule="auto"/>
        <w:jc w:val="both"/>
        <w:rPr>
          <w:rFonts w:ascii="Times New Roman" w:hAnsi="Times New Roman" w:cs="Times New Roman"/>
        </w:rPr>
      </w:pPr>
      <w:r w:rsidRPr="000A2B38">
        <w:rPr>
          <w:rFonts w:ascii="Times New Roman" w:hAnsi="Times New Roman" w:cs="Times New Roman"/>
        </w:rPr>
        <w:t>Cotiviti's core payment integrity business involves reviewing clinical documentation for coding accuracy and fraud detection. Deploying fine-tuned LLMs to automatically audit clinical notes against submitted claims — flagging discrepancies, upcoding patterns, and documentation gaps — would dramatically increase throughput while maintaining or exceeding current accuracy rates, directly extending Cotiviti's existing strengths into an AI-accelerated workflow.</w:t>
      </w:r>
    </w:p>
    <w:p w14:paraId="340B5F37" w14:textId="77777777" w:rsidR="0068027E" w:rsidRPr="000A2B38" w:rsidRDefault="00000000">
      <w:pPr>
        <w:pStyle w:val="Heading2"/>
        <w:spacing w:before="180" w:after="80"/>
        <w:rPr>
          <w:rFonts w:ascii="Times New Roman" w:hAnsi="Times New Roman" w:cs="Times New Roman"/>
        </w:rPr>
      </w:pPr>
      <w:r w:rsidRPr="000A2B38">
        <w:rPr>
          <w:rFonts w:ascii="Times New Roman" w:hAnsi="Times New Roman" w:cs="Times New Roman"/>
          <w:b/>
          <w:bCs/>
          <w:color w:val="2E5299"/>
          <w:sz w:val="24"/>
          <w:szCs w:val="24"/>
        </w:rPr>
        <w:t>2. Multimodal Risk Adjustment Intelligence</w:t>
      </w:r>
    </w:p>
    <w:p w14:paraId="33508DA2" w14:textId="77777777" w:rsidR="0068027E" w:rsidRPr="000A2B38" w:rsidRDefault="00000000">
      <w:pPr>
        <w:spacing w:after="120" w:line="276" w:lineRule="auto"/>
        <w:jc w:val="both"/>
        <w:rPr>
          <w:rFonts w:ascii="Times New Roman" w:hAnsi="Times New Roman" w:cs="Times New Roman"/>
        </w:rPr>
      </w:pPr>
      <w:r w:rsidRPr="000A2B38">
        <w:rPr>
          <w:rFonts w:ascii="Times New Roman" w:hAnsi="Times New Roman" w:cs="Times New Roman"/>
        </w:rPr>
        <w:t>Risk adjustment accuracy depends on comprehensive capture of patient diagnoses from both structured and unstructured data. Investing in multimodal NLP that combines clinical notes, lab results, and imaging reports would enable more complete and accurate risk score computation. Cotiviti's recent acquisition of Edifecs accelerates its end-to-end risk adjustment vision; LLM-based extraction from unstructured notes is a natural next step in this direction.</w:t>
      </w:r>
    </w:p>
    <w:p w14:paraId="345652B9" w14:textId="77777777" w:rsidR="0068027E" w:rsidRPr="000A2B38" w:rsidRDefault="00000000">
      <w:pPr>
        <w:pStyle w:val="Heading2"/>
        <w:spacing w:before="180" w:after="80"/>
        <w:rPr>
          <w:rFonts w:ascii="Times New Roman" w:hAnsi="Times New Roman" w:cs="Times New Roman"/>
        </w:rPr>
      </w:pPr>
      <w:r w:rsidRPr="000A2B38">
        <w:rPr>
          <w:rFonts w:ascii="Times New Roman" w:hAnsi="Times New Roman" w:cs="Times New Roman"/>
          <w:b/>
          <w:bCs/>
          <w:color w:val="2E5299"/>
          <w:sz w:val="24"/>
          <w:szCs w:val="24"/>
        </w:rPr>
        <w:t>3. Conversational AI for Member and Provider Engagement</w:t>
      </w:r>
    </w:p>
    <w:p w14:paraId="6EB058FF" w14:textId="77777777" w:rsidR="0068027E" w:rsidRPr="000A2B38" w:rsidRDefault="00000000">
      <w:pPr>
        <w:spacing w:after="120" w:line="276" w:lineRule="auto"/>
        <w:jc w:val="both"/>
        <w:rPr>
          <w:rFonts w:ascii="Times New Roman" w:hAnsi="Times New Roman" w:cs="Times New Roman"/>
        </w:rPr>
      </w:pPr>
      <w:r w:rsidRPr="000A2B38">
        <w:rPr>
          <w:rFonts w:ascii="Times New Roman" w:hAnsi="Times New Roman" w:cs="Times New Roman"/>
        </w:rPr>
        <w:t>Cotiviti's consumer engagement solutions present an opportunity to deploy conversational AI that communicates with members in natural language — explaining benefits, closing care gaps, and answering prior authorization questions — while simultaneously extracting and structuring health information for downstream analytics. This creates a feedback loop between engagement and intelligence that competitors relying on structured data alone cannot replicate.</w:t>
      </w:r>
    </w:p>
    <w:p w14:paraId="7E532E03" w14:textId="77777777" w:rsidR="0068027E" w:rsidRPr="000A2B38" w:rsidRDefault="0068027E">
      <w:pPr>
        <w:pBdr>
          <w:bottom w:val="single" w:sz="6" w:space="1" w:color="CCCCCC"/>
        </w:pBdr>
        <w:spacing w:after="120"/>
        <w:rPr>
          <w:rFonts w:ascii="Times New Roman" w:hAnsi="Times New Roman" w:cs="Times New Roman"/>
        </w:rPr>
      </w:pPr>
    </w:p>
    <w:p w14:paraId="58192133" w14:textId="77777777" w:rsidR="0068027E" w:rsidRPr="000A2B38" w:rsidRDefault="00000000">
      <w:pPr>
        <w:pageBreakBefore/>
        <w:spacing w:after="200"/>
        <w:rPr>
          <w:rFonts w:ascii="Times New Roman" w:hAnsi="Times New Roman" w:cs="Times New Roman"/>
        </w:rPr>
      </w:pPr>
      <w:r w:rsidRPr="000A2B38">
        <w:rPr>
          <w:rFonts w:ascii="Times New Roman" w:hAnsi="Times New Roman" w:cs="Times New Roman"/>
          <w:b/>
          <w:bCs/>
          <w:color w:val="1F3864"/>
          <w:sz w:val="28"/>
          <w:szCs w:val="28"/>
        </w:rPr>
        <w:lastRenderedPageBreak/>
        <w:t>Bibliography</w:t>
      </w:r>
    </w:p>
    <w:p w14:paraId="571B81F5" w14:textId="77777777" w:rsidR="0068027E" w:rsidRPr="000A2B38" w:rsidRDefault="00000000">
      <w:pPr>
        <w:spacing w:after="120" w:line="276" w:lineRule="auto"/>
        <w:jc w:val="both"/>
        <w:rPr>
          <w:rFonts w:ascii="Times New Roman" w:hAnsi="Times New Roman" w:cs="Times New Roman"/>
        </w:rPr>
      </w:pPr>
      <w:proofErr w:type="spellStart"/>
      <w:r w:rsidRPr="000A2B38">
        <w:rPr>
          <w:rFonts w:ascii="Times New Roman" w:hAnsi="Times New Roman" w:cs="Times New Roman"/>
        </w:rPr>
        <w:t>Azati</w:t>
      </w:r>
      <w:proofErr w:type="spellEnd"/>
      <w:r w:rsidRPr="000A2B38">
        <w:rPr>
          <w:rFonts w:ascii="Times New Roman" w:hAnsi="Times New Roman" w:cs="Times New Roman"/>
        </w:rPr>
        <w:t xml:space="preserve"> Software. (2025). AI-powered NLP in healthcare: 7 game-changing applications. https://azati.ai/blog/ai-nlp-healthcare-applications-2025/</w:t>
      </w:r>
    </w:p>
    <w:p w14:paraId="55558B70" w14:textId="77777777" w:rsidR="0068027E" w:rsidRPr="000A2B38" w:rsidRDefault="00000000">
      <w:pPr>
        <w:spacing w:after="120" w:line="276" w:lineRule="auto"/>
        <w:jc w:val="both"/>
        <w:rPr>
          <w:rFonts w:ascii="Times New Roman" w:hAnsi="Times New Roman" w:cs="Times New Roman"/>
        </w:rPr>
      </w:pPr>
      <w:r w:rsidRPr="000A2B38">
        <w:rPr>
          <w:rFonts w:ascii="Times New Roman" w:hAnsi="Times New Roman" w:cs="Times New Roman"/>
        </w:rPr>
        <w:t>Cotiviti. (2026). About us. https://www.cotiviti.com/about</w:t>
      </w:r>
    </w:p>
    <w:p w14:paraId="4DD3360E" w14:textId="77777777" w:rsidR="0068027E" w:rsidRPr="000A2B38" w:rsidRDefault="00000000">
      <w:pPr>
        <w:spacing w:after="120" w:line="276" w:lineRule="auto"/>
        <w:jc w:val="both"/>
        <w:rPr>
          <w:rFonts w:ascii="Times New Roman" w:hAnsi="Times New Roman" w:cs="Times New Roman"/>
        </w:rPr>
      </w:pPr>
      <w:r w:rsidRPr="000A2B38">
        <w:rPr>
          <w:rFonts w:ascii="Times New Roman" w:hAnsi="Times New Roman" w:cs="Times New Roman"/>
        </w:rPr>
        <w:t>Cotiviti. (2025, March 31). Cotiviti completes acquisition of Edifecs. https://www.cotiviti.com/press-release/cotiviti-completes-acquisition-of-edifecs</w:t>
      </w:r>
    </w:p>
    <w:p w14:paraId="3ACDA648" w14:textId="77777777" w:rsidR="0068027E" w:rsidRPr="000A2B38" w:rsidRDefault="00000000">
      <w:pPr>
        <w:spacing w:after="120" w:line="276" w:lineRule="auto"/>
        <w:jc w:val="both"/>
        <w:rPr>
          <w:rFonts w:ascii="Times New Roman" w:hAnsi="Times New Roman" w:cs="Times New Roman"/>
        </w:rPr>
      </w:pPr>
      <w:r w:rsidRPr="000A2B38">
        <w:rPr>
          <w:rFonts w:ascii="Times New Roman" w:hAnsi="Times New Roman" w:cs="Times New Roman"/>
        </w:rPr>
        <w:t>IMO Health. (2026). AI, ML &amp; NLP in healthcare: What to know for 2025. https://www.imohealth.com/resources/ai-in-healthcare-101</w:t>
      </w:r>
    </w:p>
    <w:p w14:paraId="7E70E0E8" w14:textId="77777777" w:rsidR="0068027E" w:rsidRPr="000A2B38" w:rsidRDefault="00000000">
      <w:pPr>
        <w:spacing w:after="120" w:line="276" w:lineRule="auto"/>
        <w:jc w:val="both"/>
        <w:rPr>
          <w:rFonts w:ascii="Times New Roman" w:hAnsi="Times New Roman" w:cs="Times New Roman"/>
        </w:rPr>
      </w:pPr>
      <w:proofErr w:type="spellStart"/>
      <w:r w:rsidRPr="000A2B38">
        <w:rPr>
          <w:rFonts w:ascii="Times New Roman" w:hAnsi="Times New Roman" w:cs="Times New Roman"/>
        </w:rPr>
        <w:t>MarketsandMarkets</w:t>
      </w:r>
      <w:proofErr w:type="spellEnd"/>
      <w:r w:rsidRPr="000A2B38">
        <w:rPr>
          <w:rFonts w:ascii="Times New Roman" w:hAnsi="Times New Roman" w:cs="Times New Roman"/>
        </w:rPr>
        <w:t>. (2025). NLP in healthcare &amp; life sciences market report 2025–2030. https://www.marketsandmarkets.com/Market-Reports/healthcare-lifesciences-nlp-market-131821021.html</w:t>
      </w:r>
    </w:p>
    <w:p w14:paraId="4B7132CB" w14:textId="77777777" w:rsidR="0068027E" w:rsidRPr="000A2B38" w:rsidRDefault="00000000">
      <w:pPr>
        <w:spacing w:after="120" w:line="276" w:lineRule="auto"/>
        <w:jc w:val="both"/>
        <w:rPr>
          <w:rFonts w:ascii="Times New Roman" w:hAnsi="Times New Roman" w:cs="Times New Roman"/>
        </w:rPr>
      </w:pPr>
      <w:r w:rsidRPr="000A2B38">
        <w:rPr>
          <w:rFonts w:ascii="Times New Roman" w:hAnsi="Times New Roman" w:cs="Times New Roman"/>
        </w:rPr>
        <w:t>ScienceDirect. (2025, February). Advances in natural language processing for healthcare. https://www.sciencedirect.com/science/article/abs/pii/S1574013725000024</w:t>
      </w:r>
    </w:p>
    <w:p w14:paraId="50B6822B" w14:textId="77777777" w:rsidR="0068027E" w:rsidRPr="000A2B38" w:rsidRDefault="00000000">
      <w:pPr>
        <w:spacing w:after="120" w:line="276" w:lineRule="auto"/>
        <w:jc w:val="both"/>
        <w:rPr>
          <w:rFonts w:ascii="Times New Roman" w:hAnsi="Times New Roman" w:cs="Times New Roman"/>
        </w:rPr>
      </w:pPr>
      <w:r w:rsidRPr="000A2B38">
        <w:rPr>
          <w:rFonts w:ascii="Times New Roman" w:hAnsi="Times New Roman" w:cs="Times New Roman"/>
        </w:rPr>
        <w:t>Toward Healthcare. (2026). NLP in healthcare and life sciences market booms by 34.74% CAGR. https://www.towardshealthcare.com/insights/natural-language-processing-nlp-in-healthcare-and-life-sciences-market-sizing</w:t>
      </w:r>
    </w:p>
    <w:sectPr w:rsidR="0068027E" w:rsidRPr="000A2B3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FE47D5"/>
    <w:multiLevelType w:val="hybridMultilevel"/>
    <w:tmpl w:val="18DC01DE"/>
    <w:lvl w:ilvl="0" w:tplc="F89882C4">
      <w:start w:val="1"/>
      <w:numFmt w:val="bullet"/>
      <w:lvlText w:val="•"/>
      <w:lvlJc w:val="left"/>
      <w:pPr>
        <w:ind w:left="720" w:hanging="360"/>
      </w:pPr>
    </w:lvl>
    <w:lvl w:ilvl="1" w:tplc="045A6010">
      <w:numFmt w:val="decimal"/>
      <w:lvlText w:val=""/>
      <w:lvlJc w:val="left"/>
    </w:lvl>
    <w:lvl w:ilvl="2" w:tplc="BA8AD8AE">
      <w:numFmt w:val="decimal"/>
      <w:lvlText w:val=""/>
      <w:lvlJc w:val="left"/>
    </w:lvl>
    <w:lvl w:ilvl="3" w:tplc="40A2E1E6">
      <w:numFmt w:val="decimal"/>
      <w:lvlText w:val=""/>
      <w:lvlJc w:val="left"/>
    </w:lvl>
    <w:lvl w:ilvl="4" w:tplc="F976D9F6">
      <w:numFmt w:val="decimal"/>
      <w:lvlText w:val=""/>
      <w:lvlJc w:val="left"/>
    </w:lvl>
    <w:lvl w:ilvl="5" w:tplc="5328BA22">
      <w:numFmt w:val="decimal"/>
      <w:lvlText w:val=""/>
      <w:lvlJc w:val="left"/>
    </w:lvl>
    <w:lvl w:ilvl="6" w:tplc="1D769C14">
      <w:numFmt w:val="decimal"/>
      <w:lvlText w:val=""/>
      <w:lvlJc w:val="left"/>
    </w:lvl>
    <w:lvl w:ilvl="7" w:tplc="26A62F94">
      <w:numFmt w:val="decimal"/>
      <w:lvlText w:val=""/>
      <w:lvlJc w:val="left"/>
    </w:lvl>
    <w:lvl w:ilvl="8" w:tplc="D0A4D1D6">
      <w:numFmt w:val="decimal"/>
      <w:lvlText w:val=""/>
      <w:lvlJc w:val="left"/>
    </w:lvl>
  </w:abstractNum>
  <w:abstractNum w:abstractNumId="1" w15:restartNumberingAfterBreak="0">
    <w:nsid w:val="4C692539"/>
    <w:multiLevelType w:val="hybridMultilevel"/>
    <w:tmpl w:val="097C1DBA"/>
    <w:lvl w:ilvl="0" w:tplc="B44C3EA6">
      <w:start w:val="1"/>
      <w:numFmt w:val="bullet"/>
      <w:lvlText w:val="●"/>
      <w:lvlJc w:val="left"/>
      <w:pPr>
        <w:ind w:left="720" w:hanging="360"/>
      </w:pPr>
    </w:lvl>
    <w:lvl w:ilvl="1" w:tplc="D3CA7A3C">
      <w:start w:val="1"/>
      <w:numFmt w:val="bullet"/>
      <w:lvlText w:val="○"/>
      <w:lvlJc w:val="left"/>
      <w:pPr>
        <w:ind w:left="1440" w:hanging="360"/>
      </w:pPr>
    </w:lvl>
    <w:lvl w:ilvl="2" w:tplc="CD78273C">
      <w:start w:val="1"/>
      <w:numFmt w:val="bullet"/>
      <w:lvlText w:val="■"/>
      <w:lvlJc w:val="left"/>
      <w:pPr>
        <w:ind w:left="2160" w:hanging="360"/>
      </w:pPr>
    </w:lvl>
    <w:lvl w:ilvl="3" w:tplc="8C66BAE2">
      <w:start w:val="1"/>
      <w:numFmt w:val="bullet"/>
      <w:lvlText w:val="●"/>
      <w:lvlJc w:val="left"/>
      <w:pPr>
        <w:ind w:left="2880" w:hanging="360"/>
      </w:pPr>
    </w:lvl>
    <w:lvl w:ilvl="4" w:tplc="23D631F0">
      <w:start w:val="1"/>
      <w:numFmt w:val="bullet"/>
      <w:lvlText w:val="○"/>
      <w:lvlJc w:val="left"/>
      <w:pPr>
        <w:ind w:left="3600" w:hanging="360"/>
      </w:pPr>
    </w:lvl>
    <w:lvl w:ilvl="5" w:tplc="3C18B772">
      <w:start w:val="1"/>
      <w:numFmt w:val="bullet"/>
      <w:lvlText w:val="■"/>
      <w:lvlJc w:val="left"/>
      <w:pPr>
        <w:ind w:left="4320" w:hanging="360"/>
      </w:pPr>
    </w:lvl>
    <w:lvl w:ilvl="6" w:tplc="02C45F76">
      <w:start w:val="1"/>
      <w:numFmt w:val="bullet"/>
      <w:lvlText w:val="●"/>
      <w:lvlJc w:val="left"/>
      <w:pPr>
        <w:ind w:left="5040" w:hanging="360"/>
      </w:pPr>
    </w:lvl>
    <w:lvl w:ilvl="7" w:tplc="B49090B8">
      <w:start w:val="1"/>
      <w:numFmt w:val="bullet"/>
      <w:lvlText w:val="●"/>
      <w:lvlJc w:val="left"/>
      <w:pPr>
        <w:ind w:left="5760" w:hanging="360"/>
      </w:pPr>
    </w:lvl>
    <w:lvl w:ilvl="8" w:tplc="722EE252">
      <w:start w:val="1"/>
      <w:numFmt w:val="bullet"/>
      <w:lvlText w:val="●"/>
      <w:lvlJc w:val="left"/>
      <w:pPr>
        <w:ind w:left="6480" w:hanging="360"/>
      </w:pPr>
    </w:lvl>
  </w:abstractNum>
  <w:num w:numId="1" w16cid:durableId="5696547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027E"/>
    <w:rsid w:val="000A2B38"/>
    <w:rsid w:val="0068027E"/>
    <w:rsid w:val="00A708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B65AC"/>
  <w15:docId w15:val="{D28B2306-B6B3-4314-968E-27E352501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1042</Words>
  <Characters>5940</Characters>
  <Application>Microsoft Office Word</Application>
  <DocSecurity>0</DocSecurity>
  <Lines>49</Lines>
  <Paragraphs>13</Paragraphs>
  <ScaleCrop>false</ScaleCrop>
  <Company/>
  <LinksUpToDate>false</LinksUpToDate>
  <CharactersWithSpaces>6969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Dristi Shakya</cp:lastModifiedBy>
  <cp:revision>2</cp:revision>
  <dcterms:created xsi:type="dcterms:W3CDTF">2026-06-27T18:40:00Z</dcterms:created>
  <dcterms:modified xsi:type="dcterms:W3CDTF">2026-06-28T07:41:00Z</dcterms:modified>
</cp:coreProperties>
</file>