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drive-lah-australia-pty-ltd"/>
    <w:p>
      <w:pPr>
        <w:pStyle w:val="Heading1"/>
      </w:pPr>
      <w:r>
        <w:t xml:space="preserve">Drive lah Australia Pty Ltd</w:t>
      </w:r>
    </w:p>
    <w:bookmarkStart w:id="14" w:name="X24088379c03cd3114b4e40b3a89db00377ec3c7"/>
    <w:p>
      <w:pPr>
        <w:pStyle w:val="Heading2"/>
      </w:pPr>
      <w:r>
        <w:t xml:space="preserve">June 2026 Quarter (April – June 2026) — BAS Workings</w:t>
      </w:r>
    </w:p>
    <w:p>
      <w:pPr>
        <w:pStyle w:val="FirstParagraph"/>
      </w:pPr>
      <w:r>
        <w:rPr>
          <w:b/>
          <w:bCs/>
        </w:rPr>
        <w:t xml:space="preserve">To:</w:t>
      </w:r>
      <w:r>
        <w:t xml:space="preserve"> </w:t>
      </w:r>
      <w:r>
        <w:t xml:space="preserve">ACE Accounting team (Rishabh Chopra)</w:t>
      </w:r>
      <w:r>
        <w:t xml:space="preserve"> </w:t>
      </w:r>
      <w:r>
        <w:rPr>
          <w:b/>
          <w:bCs/>
        </w:rPr>
        <w:t xml:space="preserve">From:</w:t>
      </w:r>
      <w:r>
        <w:t xml:space="preserve"> </w:t>
      </w:r>
      <w:r>
        <w:t xml:space="preserve">Gaurav Singhal, Drive lah Australia Pty Ltd</w:t>
      </w:r>
      <w:r>
        <w:t xml:space="preserve"> </w:t>
      </w:r>
      <w:r>
        <w:rPr>
          <w:b/>
          <w:bCs/>
        </w:rPr>
        <w:t xml:space="preserve">Date:</w:t>
      </w:r>
      <w:r>
        <w:t xml:space="preserve"> </w:t>
      </w:r>
      <w:r>
        <w:t xml:space="preserve">14 August 2026</w:t>
      </w:r>
      <w:r>
        <w:t xml:space="preserve"> </w:t>
      </w:r>
      <w:r>
        <w:rPr>
          <w:b/>
          <w:bCs/>
        </w:rPr>
        <w:t xml:space="preserve">Subject:</w:t>
      </w:r>
      <w:r>
        <w:t xml:space="preserve"> </w:t>
      </w:r>
      <w:r>
        <w:t xml:space="preserve">GST and PAYG workings for the June-quarter Activity Statement</w:t>
      </w:r>
    </w:p>
    <w:p>
      <w:r>
        <w:pict>
          <v:rect style="width:0;height:1.5pt" o:hralign="center" o:hrstd="t" o:hr="t"/>
        </w:pict>
      </w:r>
    </w:p>
    <w:bookmarkStart w:id="9" w:name="purpose"/>
    <w:p>
      <w:pPr>
        <w:pStyle w:val="Heading3"/>
      </w:pPr>
      <w:r>
        <w:t xml:space="preserve">Purpose</w:t>
      </w:r>
    </w:p>
    <w:p>
      <w:pPr>
        <w:pStyle w:val="FirstParagraph"/>
      </w:pPr>
      <w:r>
        <w:t xml:space="preserve">Please find attached the transaction-level workings for the June-2026-quarter BAS, for lodgement with the ATO. These figures are produced by our new in-house finance system, which calculates GST on a cash basis, per transaction, and lets every figure be traced back to the source journal entry.</w:t>
      </w:r>
    </w:p>
    <w:bookmarkEnd w:id="9"/>
    <w:bookmarkStart w:id="10" w:name="q2-fy2026-summary-aud"/>
    <w:p>
      <w:pPr>
        <w:pStyle w:val="Heading3"/>
      </w:pPr>
      <w:r>
        <w:t xml:space="preserve">Q2 FY2026 summary (AUD)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Box</w:t>
            </w:r>
          </w:p>
        </w:tc>
        <w:tc>
          <w:tcPr/>
          <w:p>
            <w:pPr>
              <w:pStyle w:val="Compact"/>
            </w:pPr>
            <w:r>
              <w:t xml:space="preserve">Description</w:t>
            </w:r>
          </w:p>
        </w:tc>
        <w:tc>
          <w:tcPr/>
          <w:p>
            <w:pPr>
              <w:pStyle w:val="Compact"/>
              <w:jc w:val="right"/>
            </w:pPr>
            <w:r>
              <w:t xml:space="preserve">Amount</w:t>
            </w:r>
          </w:p>
        </w:tc>
      </w:tr>
      <w:tr>
        <w:tc>
          <w:tcPr/>
          <w:p>
            <w:pPr>
              <w:pStyle w:val="Compact"/>
            </w:pPr>
            <w:r>
              <w:t xml:space="preserve">G1</w:t>
            </w:r>
          </w:p>
        </w:tc>
        <w:tc>
          <w:tcPr/>
          <w:p>
            <w:pPr>
              <w:pStyle w:val="Compact"/>
            </w:pPr>
            <w:r>
              <w:t xml:space="preserve">Total sales (GST-inclusive)</w:t>
            </w:r>
          </w:p>
        </w:tc>
        <w:tc>
          <w:tcPr/>
          <w:p>
            <w:pPr>
              <w:pStyle w:val="Compact"/>
              <w:jc w:val="right"/>
            </w:pPr>
            <w:r>
              <w:t xml:space="preserve">833,529.18</w:t>
            </w:r>
          </w:p>
        </w:tc>
      </w:tr>
      <w:tr>
        <w:tc>
          <w:tcPr/>
          <w:p>
            <w:pPr>
              <w:pStyle w:val="Compact"/>
            </w:pPr>
            <w:r>
              <w:t xml:space="preserve">1A</w:t>
            </w:r>
          </w:p>
        </w:tc>
        <w:tc>
          <w:tcPr/>
          <w:p>
            <w:pPr>
              <w:pStyle w:val="Compact"/>
            </w:pPr>
            <w:r>
              <w:t xml:space="preserve">GST on sales</w:t>
            </w:r>
          </w:p>
        </w:tc>
        <w:tc>
          <w:tcPr/>
          <w:p>
            <w:pPr>
              <w:pStyle w:val="Compact"/>
              <w:jc w:val="right"/>
            </w:pPr>
            <w:r>
              <w:t xml:space="preserve">75,775.38</w:t>
            </w:r>
          </w:p>
        </w:tc>
      </w:tr>
      <w:tr>
        <w:tc>
          <w:tcPr/>
          <w:p>
            <w:pPr>
              <w:pStyle w:val="Compact"/>
            </w:pPr>
            <w:r>
              <w:t xml:space="preserve">1B</w:t>
            </w:r>
          </w:p>
        </w:tc>
        <w:tc>
          <w:tcPr/>
          <w:p>
            <w:pPr>
              <w:pStyle w:val="Compact"/>
            </w:pPr>
            <w:r>
              <w:t xml:space="preserve">GST on purchases</w:t>
            </w:r>
          </w:p>
        </w:tc>
        <w:tc>
          <w:tcPr/>
          <w:p>
            <w:pPr>
              <w:pStyle w:val="Compact"/>
              <w:jc w:val="right"/>
            </w:pPr>
            <w:r>
              <w:t xml:space="preserve">90,566.98</w:t>
            </w:r>
          </w:p>
        </w:tc>
      </w:tr>
      <w:tr>
        <w:tc>
          <w:tcPr/>
          <w:p>
            <w:pPr>
              <w:pStyle w:val="Compact"/>
            </w:pPr>
            <w:r>
              <w:rPr>
                <w:b/>
                <w:bCs/>
              </w:rPr>
              <w:t xml:space="preserve">7</w:t>
            </w:r>
          </w:p>
        </w:tc>
        <w:tc>
          <w:tcPr/>
          <w:p>
            <w:pPr>
              <w:pStyle w:val="Compact"/>
            </w:pPr>
            <w:r>
              <w:rPr>
                <w:b/>
                <w:bCs/>
              </w:rPr>
              <w:t xml:space="preserve">Net GST (1A − 1B)</w:t>
            </w:r>
          </w:p>
        </w:tc>
        <w:tc>
          <w:tcPr/>
          <w:p>
            <w:pPr>
              <w:pStyle w:val="Compact"/>
              <w:jc w:val="right"/>
            </w:pPr>
            <w:r>
              <w:rPr>
                <w:b/>
                <w:bCs/>
              </w:rPr>
              <w:t xml:space="preserve">(14,791.60)</w:t>
            </w:r>
          </w:p>
        </w:tc>
      </w:tr>
      <w:tr>
        <w:tc>
          <w:tcPr/>
          <w:p>
            <w:pPr>
              <w:pStyle w:val="Compact"/>
            </w:pPr>
            <w:r>
              <w:t xml:space="preserve">W1</w:t>
            </w:r>
          </w:p>
        </w:tc>
        <w:tc>
          <w:tcPr/>
          <w:p>
            <w:pPr>
              <w:pStyle w:val="Compact"/>
            </w:pPr>
            <w:r>
              <w:t xml:space="preserve">Total salary, wages &amp; other payments</w:t>
            </w:r>
          </w:p>
        </w:tc>
        <w:tc>
          <w:tcPr/>
          <w:p>
            <w:pPr>
              <w:pStyle w:val="Compact"/>
              <w:jc w:val="right"/>
            </w:pPr>
            <w:r>
              <w:t xml:space="preserve">51,524.18</w:t>
            </w:r>
          </w:p>
        </w:tc>
      </w:tr>
      <w:tr>
        <w:tc>
          <w:tcPr/>
          <w:p>
            <w:pPr>
              <w:pStyle w:val="Compact"/>
            </w:pPr>
            <w:r>
              <w:t xml:space="preserve">W2</w:t>
            </w:r>
          </w:p>
        </w:tc>
        <w:tc>
          <w:tcPr/>
          <w:p>
            <w:pPr>
              <w:pStyle w:val="Compact"/>
            </w:pPr>
            <w:r>
              <w:t xml:space="preserve">PAYG withheld</w:t>
            </w:r>
          </w:p>
        </w:tc>
        <w:tc>
          <w:tcPr/>
          <w:p>
            <w:pPr>
              <w:pStyle w:val="Compact"/>
              <w:jc w:val="right"/>
            </w:pPr>
            <w:r>
              <w:t xml:space="preserve">9,802.00</w:t>
            </w:r>
          </w:p>
        </w:tc>
      </w:tr>
      <w:tr>
        <w:tc>
          <w:tcPr/>
          <w:p>
            <w:pPr>
              <w:pStyle w:val="Compact"/>
            </w:pPr>
            <w:r>
              <w:t xml:space="preserve">8A</w:t>
            </w:r>
          </w:p>
        </w:tc>
        <w:tc>
          <w:tcPr/>
          <w:p>
            <w:pPr>
              <w:pStyle w:val="Compact"/>
            </w:pPr>
            <w:r>
              <w:t xml:space="preserve">Amounts owed to the ATO (1A + W2)</w:t>
            </w:r>
          </w:p>
        </w:tc>
        <w:tc>
          <w:tcPr/>
          <w:p>
            <w:pPr>
              <w:pStyle w:val="Compact"/>
              <w:jc w:val="right"/>
            </w:pPr>
            <w:r>
              <w:t xml:space="preserve">85,577.38</w:t>
            </w:r>
          </w:p>
        </w:tc>
      </w:tr>
      <w:tr>
        <w:tc>
          <w:tcPr/>
          <w:p>
            <w:pPr>
              <w:pStyle w:val="Compact"/>
            </w:pPr>
            <w:r>
              <w:t xml:space="preserve">8B</w:t>
            </w:r>
          </w:p>
        </w:tc>
        <w:tc>
          <w:tcPr/>
          <w:p>
            <w:pPr>
              <w:pStyle w:val="Compact"/>
            </w:pPr>
            <w:r>
              <w:t xml:space="preserve">Amounts the ATO owes (1B)</w:t>
            </w:r>
          </w:p>
        </w:tc>
        <w:tc>
          <w:tcPr/>
          <w:p>
            <w:pPr>
              <w:pStyle w:val="Compact"/>
              <w:jc w:val="right"/>
            </w:pPr>
            <w:r>
              <w:t xml:space="preserve">90,566.98</w:t>
            </w:r>
          </w:p>
        </w:tc>
      </w:tr>
      <w:tr>
        <w:tc>
          <w:tcPr/>
          <w:p>
            <w:pPr>
              <w:pStyle w:val="Compact"/>
            </w:pPr>
            <w:r>
              <w:rPr>
                <w:b/>
                <w:bCs/>
              </w:rPr>
              <w:t xml:space="preserve">9</w:t>
            </w:r>
          </w:p>
        </w:tc>
        <w:tc>
          <w:tcPr/>
          <w:p>
            <w:pPr>
              <w:pStyle w:val="Compact"/>
            </w:pPr>
            <w:r>
              <w:rPr>
                <w:b/>
                <w:bCs/>
              </w:rPr>
              <w:t xml:space="preserve">Net amount</w:t>
            </w:r>
          </w:p>
        </w:tc>
        <w:tc>
          <w:tcPr/>
          <w:p>
            <w:pPr>
              <w:pStyle w:val="Compact"/>
              <w:jc w:val="right"/>
            </w:pPr>
            <w:r>
              <w:rPr>
                <w:b/>
                <w:bCs/>
              </w:rPr>
              <w:t xml:space="preserve">(4,989.60) — refund</w:t>
            </w:r>
          </w:p>
        </w:tc>
      </w:tr>
    </w:tbl>
    <w:p>
      <w:pPr>
        <w:pStyle w:val="BodyText"/>
      </w:pPr>
      <w:r>
        <w:t xml:space="preserve">The net position for the quarter is a</w:t>
      </w:r>
      <w:r>
        <w:t xml:space="preserve"> </w:t>
      </w:r>
      <w:r>
        <w:rPr>
          <w:b/>
          <w:bCs/>
        </w:rPr>
        <w:t xml:space="preserve">refund of $4,989.60</w:t>
      </w:r>
      <w:r>
        <w:t xml:space="preserve"> </w:t>
      </w:r>
      <w:r>
        <w:t xml:space="preserve">from the ATO.</w:t>
      </w:r>
    </w:p>
    <w:p>
      <w:pPr>
        <w:pStyle w:val="BodyText"/>
      </w:pPr>
      <w:r>
        <w:t xml:space="preserve">PAYG figures (W1 and W2) are per ACE’s payroll / STP records.</w:t>
      </w:r>
    </w:p>
    <w:bookmarkEnd w:id="10"/>
    <w:bookmarkStart w:id="11" w:name="how-the-gst-is-calculated"/>
    <w:p>
      <w:pPr>
        <w:pStyle w:val="Heading3"/>
      </w:pPr>
      <w:r>
        <w:t xml:space="preserve">How the GST is calculated</w:t>
      </w:r>
    </w:p>
    <w:p>
      <w:pPr>
        <w:pStyle w:val="Compact"/>
        <w:numPr>
          <w:ilvl w:val="0"/>
          <w:numId w:val="1001"/>
        </w:numPr>
      </w:pPr>
      <w:r>
        <w:rPr>
          <w:b/>
          <w:bCs/>
        </w:rPr>
        <w:t xml:space="preserve">Cash basis.</w:t>
      </w:r>
      <w:r>
        <w:t xml:space="preserve"> </w:t>
      </w:r>
      <w:r>
        <w:t xml:space="preserve">GST is recognised when cash actually moves, not at invoice date. This is our consistent reporting basis.</w:t>
      </w:r>
    </w:p>
    <w:p>
      <w:pPr>
        <w:pStyle w:val="Compact"/>
        <w:numPr>
          <w:ilvl w:val="0"/>
          <w:numId w:val="1001"/>
        </w:numPr>
      </w:pPr>
      <w:r>
        <w:rPr>
          <w:b/>
          <w:bCs/>
        </w:rPr>
        <w:t xml:space="preserve">Two control accounts.</w:t>
      </w:r>
      <w:r>
        <w:t xml:space="preserve"> </w:t>
      </w:r>
      <w:r>
        <w:t xml:space="preserve">Output GST on cash collected is recorded to GST Payable; input GST on cash paid to GST Receivable. Each amount is one-eleventh of the GST-inclusive value.</w:t>
      </w:r>
    </w:p>
    <w:p>
      <w:pPr>
        <w:pStyle w:val="Compact"/>
        <w:numPr>
          <w:ilvl w:val="0"/>
          <w:numId w:val="1001"/>
        </w:numPr>
      </w:pPr>
      <w:r>
        <w:rPr>
          <w:b/>
          <w:bCs/>
        </w:rPr>
        <w:t xml:space="preserve">Per transaction.</w:t>
      </w:r>
      <w:r>
        <w:t xml:space="preserve"> </w:t>
      </w:r>
      <w:r>
        <w:t xml:space="preserve">Every GST amount is posted against its own transaction, so 1A and 1B are the sum of individual line items, each traceable to a journal entry.</w:t>
      </w:r>
    </w:p>
    <w:p>
      <w:pPr>
        <w:pStyle w:val="Compact"/>
        <w:numPr>
          <w:ilvl w:val="0"/>
          <w:numId w:val="1001"/>
        </w:numPr>
      </w:pPr>
      <w:r>
        <w:rPr>
          <w:b/>
          <w:bCs/>
        </w:rPr>
        <w:t xml:space="preserve">Applicability.</w:t>
      </w:r>
      <w:r>
        <w:t xml:space="preserve"> </w:t>
      </w:r>
      <w:r>
        <w:t xml:space="preserve">GST is applied only where the entity is GST-registered, the account is GST-applicable, and — for purchases — the supplier actually charged GST. Purchases from suppliers that charge no GST (for example overseas or non-registered vendors) are excluded.</w:t>
      </w:r>
    </w:p>
    <w:p>
      <w:pPr>
        <w:pStyle w:val="Compact"/>
        <w:numPr>
          <w:ilvl w:val="0"/>
          <w:numId w:val="1001"/>
        </w:numPr>
      </w:pPr>
      <w:r>
        <w:rPr>
          <w:b/>
          <w:bCs/>
        </w:rPr>
        <w:t xml:space="preserve">Excluded from 1A / 1B.</w:t>
      </w:r>
      <w:r>
        <w:t xml:space="preserve"> </w:t>
      </w:r>
      <w:r>
        <w:t xml:space="preserve">ATO/BAS settlement payments and opening-balance adjustments are excluded, as they are neither sales nor purchases.</w:t>
      </w:r>
    </w:p>
    <w:bookmarkEnd w:id="11"/>
    <w:bookmarkStart w:id="12" w:name="the-attached-workbook"/>
    <w:p>
      <w:pPr>
        <w:pStyle w:val="Heading3"/>
      </w:pPr>
      <w:r>
        <w:t xml:space="preserve">The attached workbook</w:t>
      </w:r>
    </w:p>
    <w:p>
      <w:pPr>
        <w:pStyle w:val="FirstParagraph"/>
      </w:pPr>
      <w:r>
        <w:t xml:space="preserve">The Excel workbook contains a summary sheet and a separate sheet for each box (1A, 1B, W1, W2). Each sheet lists every contributing transaction — date, counterparty, description, account, amount, and journal-entry reference — and self-sums to the box total, so the figures can be verified line by line.</w:t>
      </w:r>
    </w:p>
    <w:bookmarkEnd w:id="12"/>
    <w:bookmarkStart w:id="13" w:name="next-steps"/>
    <w:p>
      <w:pPr>
        <w:pStyle w:val="Heading3"/>
      </w:pPr>
      <w:r>
        <w:t xml:space="preserve">Next steps</w:t>
      </w:r>
    </w:p>
    <w:p>
      <w:pPr>
        <w:pStyle w:val="FirstParagraph"/>
      </w:pPr>
      <w:r>
        <w:t xml:space="preserve">We will organise a session next week to walk your team through the new system and how it produces and evidences these figures. In the meantime, please let us know if you need anything further to lodge.</w:t>
      </w:r>
    </w:p>
    <w:p>
      <w:pPr>
        <w:pStyle w:val="BodyText"/>
      </w:pPr>
      <w:r>
        <w:t xml:space="preserve">Regards,</w:t>
      </w:r>
    </w:p>
    <w:p>
      <w:pPr>
        <w:pStyle w:val="BodyText"/>
      </w:pPr>
      <w:r>
        <w:t xml:space="preserve">Gaurav Singhal</w:t>
      </w:r>
      <w:r>
        <w:t xml:space="preserve"> </w:t>
      </w:r>
      <w:r>
        <w:t xml:space="preserve">Drive lah Australia Pty Ltd</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2026-08-14T02:59:37Z</dcterms:created>
  <dcterms:modified xsi:type="dcterms:W3CDTF">2026-08-14T02:59:37Z</dcterms:modified>
</cp:coreProperties>
</file>

<file path=docProps/custom.xml><?xml version="1.0" encoding="utf-8"?>
<Properties xmlns="http://schemas.openxmlformats.org/officeDocument/2006/custom-properties" xmlns:vt="http://schemas.openxmlformats.org/officeDocument/2006/docPropsVTypes"/>
</file>