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1EF" w:rsidRPr="003B01EF" w:rsidRDefault="003B01EF" w:rsidP="00984213">
      <w:pPr>
        <w:keepNext/>
        <w:spacing w:before="240" w:after="60" w:line="360" w:lineRule="auto"/>
        <w:jc w:val="both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</w:rPr>
      </w:pPr>
      <w:bookmarkStart w:id="0" w:name="_Toc436574384"/>
      <w:bookmarkStart w:id="1" w:name="_Toc436575004"/>
      <w:bookmarkStart w:id="2" w:name="_Toc436575109"/>
      <w:bookmarkStart w:id="3" w:name="_Toc436642777"/>
      <w:bookmarkStart w:id="4" w:name="_Toc436642823"/>
      <w:bookmarkStart w:id="5" w:name="_Toc436642979"/>
      <w:bookmarkStart w:id="6" w:name="_Toc496154239"/>
      <w:r w:rsidRPr="003B01EF">
        <w:rPr>
          <w:rFonts w:ascii="Arial" w:eastAsia="Times New Roman" w:hAnsi="Arial" w:cs="Arial"/>
          <w:b/>
          <w:bCs/>
          <w:kern w:val="32"/>
          <w:sz w:val="24"/>
          <w:szCs w:val="24"/>
        </w:rPr>
        <w:t xml:space="preserve">3. </w:t>
      </w:r>
      <w:bookmarkStart w:id="7" w:name="_Toc496154238"/>
      <w:r w:rsidRPr="003B01EF">
        <w:rPr>
          <w:rFonts w:ascii="Arial" w:eastAsia="Times New Roman" w:hAnsi="Arial" w:cs="Arial"/>
          <w:b/>
          <w:bCs/>
          <w:kern w:val="32"/>
          <w:sz w:val="24"/>
          <w:szCs w:val="24"/>
        </w:rPr>
        <w:t>MATERIAIS E MÉTODOS</w:t>
      </w:r>
      <w:bookmarkEnd w:id="7"/>
    </w:p>
    <w:p w:rsidR="003B01EF" w:rsidRPr="003B01EF" w:rsidRDefault="003B01EF" w:rsidP="00984213">
      <w:pPr>
        <w:keepNext/>
        <w:spacing w:before="240" w:after="60" w:line="360" w:lineRule="auto"/>
        <w:jc w:val="both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</w:rPr>
      </w:pPr>
      <w:r w:rsidRPr="003B01EF">
        <w:rPr>
          <w:rFonts w:ascii="Arial" w:eastAsia="Times New Roman" w:hAnsi="Arial" w:cs="Arial"/>
          <w:b/>
          <w:bCs/>
          <w:kern w:val="32"/>
          <w:sz w:val="24"/>
          <w:szCs w:val="24"/>
        </w:rPr>
        <w:t>3.1. MATERIAIS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Cloridrato de Cisteamina (Sigma-Aldrich);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Ácido 3-mercaptopropiônico (Sigma-Aldrich);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Álcool etílico absoluto (99,5%,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Vetec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K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4</w:t>
      </w:r>
      <w:r w:rsidRPr="003B01EF">
        <w:rPr>
          <w:rFonts w:ascii="Arial" w:eastAsia="Calibri" w:hAnsi="Arial" w:cs="Arial"/>
          <w:sz w:val="24"/>
          <w:szCs w:val="24"/>
        </w:rPr>
        <w:t>Fe(CN)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6</w:t>
      </w:r>
      <w:r w:rsidRPr="003B01EF">
        <w:rPr>
          <w:rFonts w:ascii="Arial" w:eastAsia="Calibri" w:hAnsi="Arial" w:cs="Arial"/>
          <w:sz w:val="24"/>
          <w:szCs w:val="24"/>
        </w:rPr>
        <w:t xml:space="preserve"> (98%,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Vetec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K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3</w:t>
      </w:r>
      <w:r w:rsidRPr="003B01EF">
        <w:rPr>
          <w:rFonts w:ascii="Arial" w:eastAsia="Calibri" w:hAnsi="Arial" w:cs="Arial"/>
          <w:sz w:val="24"/>
          <w:szCs w:val="24"/>
        </w:rPr>
        <w:t>Fe(CN)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6</w:t>
      </w:r>
      <w:r w:rsidRPr="003B01EF">
        <w:rPr>
          <w:rFonts w:ascii="Arial" w:eastAsia="Calibri" w:hAnsi="Arial" w:cs="Arial"/>
          <w:sz w:val="24"/>
          <w:szCs w:val="24"/>
        </w:rPr>
        <w:t xml:space="preserve"> (99%,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Vetec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KCl (99%, Nuclear);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1-etil-3-[3-</w:t>
      </w:r>
      <w:proofErr w:type="gramStart"/>
      <w:r w:rsidRPr="003B01EF">
        <w:rPr>
          <w:rFonts w:ascii="Arial" w:eastAsia="Calibri" w:hAnsi="Arial" w:cs="Arial"/>
          <w:sz w:val="24"/>
          <w:szCs w:val="24"/>
        </w:rPr>
        <w:t>dimetilaminopropil]carbodiimida</w:t>
      </w:r>
      <w:proofErr w:type="gramEnd"/>
      <w:r w:rsidRPr="003B01EF">
        <w:rPr>
          <w:rFonts w:ascii="Arial" w:eastAsia="Calibri" w:hAnsi="Arial" w:cs="Arial"/>
          <w:sz w:val="24"/>
          <w:szCs w:val="24"/>
        </w:rPr>
        <w:t xml:space="preserve"> (Sigma-Aldrich);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N-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hidroxisuccinimida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(Sigma-Aldrich);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N-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hidroxisulfosuccinimida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(Sigma-Aldrich);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3B01EF">
        <w:rPr>
          <w:rFonts w:ascii="Arial" w:eastAsia="Calibri" w:hAnsi="Arial" w:cs="Arial"/>
          <w:sz w:val="24"/>
          <w:szCs w:val="24"/>
        </w:rPr>
        <w:t>TRIS  Base</w:t>
      </w:r>
      <w:proofErr w:type="gramEnd"/>
      <w:r w:rsidRPr="003B01EF">
        <w:rPr>
          <w:rFonts w:ascii="Arial" w:eastAsia="Calibri" w:hAnsi="Arial" w:cs="Arial"/>
          <w:sz w:val="24"/>
          <w:szCs w:val="24"/>
        </w:rPr>
        <w:t xml:space="preserve"> [2-Amino-2-(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hidroximetil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)-1,3-propanodiol]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Anticorpo IgG (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human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serum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, Sigma-Aldrich);</w:t>
      </w:r>
    </w:p>
    <w:p w:rsidR="003B01EF" w:rsidRPr="003B01EF" w:rsidRDefault="003B01EF" w:rsidP="00984213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Anti-IgG [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anti-Human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IgG (H+L) fragmento da porção F(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ab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')2, Sigma-Aldrich].</w:t>
      </w:r>
    </w:p>
    <w:p w:rsidR="003B01EF" w:rsidRPr="003B01EF" w:rsidRDefault="003B01EF" w:rsidP="00984213">
      <w:pPr>
        <w:keepNext/>
        <w:spacing w:before="240" w:after="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>3.2</w:t>
      </w:r>
      <w:r w:rsidRPr="003B01EF">
        <w:rPr>
          <w:rFonts w:ascii="Arial" w:eastAsia="Times New Roman" w:hAnsi="Arial" w:cs="Arial"/>
          <w:bCs/>
          <w:iCs/>
          <w:sz w:val="24"/>
          <w:szCs w:val="24"/>
        </w:rPr>
        <w:t xml:space="preserve">. </w:t>
      </w:r>
      <w:bookmarkEnd w:id="0"/>
      <w:bookmarkEnd w:id="1"/>
      <w:bookmarkEnd w:id="2"/>
      <w:bookmarkEnd w:id="3"/>
      <w:bookmarkEnd w:id="4"/>
      <w:bookmarkEnd w:id="5"/>
      <w:bookmarkEnd w:id="6"/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>MODIFICAÇÃO PRÉVIA DAS SUPERFÍCIES DE OURO</w:t>
      </w:r>
    </w:p>
    <w:p w:rsidR="003B01EF" w:rsidRPr="003B01EF" w:rsidRDefault="003B01EF" w:rsidP="00984213">
      <w:pPr>
        <w:spacing w:after="20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Para a modificação da superfície de ouro por SAM, imergiu-se a superfície em solução etanólica 18 mmol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do alcanotiol, AMP ou Cis, por 1 hora (Fig.4), e posteriormente em álcool etílico por 24 h.</w:t>
      </w:r>
    </w:p>
    <w:p w:rsidR="003B01EF" w:rsidRPr="003B01EF" w:rsidRDefault="003B01EF" w:rsidP="00984213">
      <w:pPr>
        <w:keepNext/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30AF713F" wp14:editId="55984E22">
            <wp:extent cx="5400000" cy="1421212"/>
            <wp:effectExtent l="0" t="0" r="0" b="7620"/>
            <wp:docPr id="10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78686BD5-BE6E-43D7-BB32-166C33DB2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78686BD5-BE6E-43D7-BB32-166C33DB2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1"/>
                    <a:stretch/>
                  </pic:blipFill>
                  <pic:spPr bwMode="auto">
                    <a:xfrm>
                      <a:off x="0" y="0"/>
                      <a:ext cx="5400000" cy="142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1EF" w:rsidRPr="00984213" w:rsidRDefault="003B01EF" w:rsidP="00984213">
      <w:pPr>
        <w:spacing w:after="0" w:line="360" w:lineRule="auto"/>
        <w:jc w:val="center"/>
        <w:rPr>
          <w:rFonts w:ascii="Arial" w:eastAsia="MS Mincho" w:hAnsi="Arial" w:cs="Arial"/>
          <w:bCs/>
          <w:sz w:val="24"/>
          <w:szCs w:val="24"/>
          <w:lang w:val="pt-PT"/>
        </w:rPr>
      </w:pP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>Figura 4.</w:t>
      </w:r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 xml:space="preserve"> Representação das superfícies transdutoras modificadas por SAM de Cis (à esquerda) e SAM de AMP (à direita)</w:t>
      </w:r>
    </w:p>
    <w:p w:rsidR="00984213" w:rsidRPr="003B01EF" w:rsidRDefault="00984213" w:rsidP="00984213">
      <w:pPr>
        <w:spacing w:after="0" w:line="360" w:lineRule="auto"/>
        <w:jc w:val="center"/>
        <w:rPr>
          <w:rFonts w:ascii="Arial" w:eastAsia="MS Mincho" w:hAnsi="Arial" w:cs="Arial"/>
          <w:bCs/>
          <w:sz w:val="24"/>
          <w:szCs w:val="24"/>
          <w:lang w:val="pt-PT"/>
        </w:rPr>
      </w:pPr>
    </w:p>
    <w:p w:rsidR="003B01EF" w:rsidRPr="003B01EF" w:rsidRDefault="003B01EF" w:rsidP="00984213">
      <w:pPr>
        <w:keepNext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>3.3. IMOBILIZAÇÃO DOS PONTOS QUÂNTICOS NA SUPERFÍCIE DE OURO</w:t>
      </w:r>
    </w:p>
    <w:p w:rsidR="003B01EF" w:rsidRPr="003B01EF" w:rsidRDefault="003B01EF" w:rsidP="00984213">
      <w:pPr>
        <w:spacing w:after="20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As superfícies foram imersas em uma solução com pH em torno de 5,0 contendo os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em suspensão juntamente com os agentes de acoplamento </w:t>
      </w:r>
      <w:r w:rsidRPr="003B01EF">
        <w:rPr>
          <w:rFonts w:ascii="Arial" w:eastAsia="Calibri" w:hAnsi="Arial" w:cs="Arial"/>
          <w:sz w:val="24"/>
          <w:szCs w:val="24"/>
        </w:rPr>
        <w:lastRenderedPageBreak/>
        <w:t>EDC e NHS nas concentrações 2 mmol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e 5 mmol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, respectivamente, por 24 h. </w:t>
      </w:r>
    </w:p>
    <w:p w:rsidR="003B01EF" w:rsidRPr="003B01EF" w:rsidRDefault="003B01EF" w:rsidP="00984213">
      <w:pPr>
        <w:keepNext/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4EFA5CCC" wp14:editId="75C6CDE8">
            <wp:extent cx="5400000" cy="4005836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78686BD5-BE6E-43D7-BB32-166C33DB2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78686BD5-BE6E-43D7-BB32-166C33DB2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EF" w:rsidRPr="003B01EF" w:rsidRDefault="003B01EF" w:rsidP="00984213">
      <w:pPr>
        <w:spacing w:after="0" w:line="360" w:lineRule="auto"/>
        <w:jc w:val="both"/>
        <w:rPr>
          <w:rFonts w:ascii="Arial" w:eastAsia="MS Mincho" w:hAnsi="Arial" w:cs="Arial"/>
          <w:bCs/>
          <w:sz w:val="24"/>
          <w:szCs w:val="24"/>
          <w:lang w:val="pt-PT"/>
        </w:rPr>
      </w:pP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 xml:space="preserve">Figura 5. </w:t>
      </w:r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>Representação das superfícies transdutoras modificadas pelo PQ-AMS (à esquerda) e PQ-Cis (à direita)</w:t>
      </w:r>
    </w:p>
    <w:p w:rsidR="003B01EF" w:rsidRPr="003B01EF" w:rsidRDefault="003B01EF" w:rsidP="00984213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pt-PT"/>
        </w:rPr>
      </w:pPr>
    </w:p>
    <w:p w:rsidR="003B01EF" w:rsidRPr="00984213" w:rsidRDefault="003B01EF" w:rsidP="00984213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Vale comentar que, no sistema a base de SAM de Cis, o PQ imobilizado possuía estabilização/funcionalização por AMS. Já no sistema a base de SAM de AMP, imobilizou-se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estabilizados/funcionalizados por Cis. Dessa forma há a formação da ligação peptídica covalente entre a SAM e PQ.</w:t>
      </w:r>
    </w:p>
    <w:p w:rsidR="003B01EF" w:rsidRPr="003B01EF" w:rsidRDefault="003B01EF" w:rsidP="00984213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</w:p>
    <w:p w:rsidR="003B01EF" w:rsidRPr="003B01EF" w:rsidRDefault="003B01EF" w:rsidP="00984213">
      <w:pPr>
        <w:keepNext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>3.4. DETERMINAÇÃO DA CONDIÇÃO DE CONJUGAÇÃO DA IgG POR ENSAIO FLUORESCENTE EM MICROPLACA (EFM)</w:t>
      </w:r>
    </w:p>
    <w:p w:rsidR="003B01EF" w:rsidRPr="003B01EF" w:rsidRDefault="003B01EF" w:rsidP="00984213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Foi utilizado o método baseado em ensaio fluorescente em microplaca (EFM), desenvolvido pelo grupo, para se estudar a conjugação de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ao anticorpo IgG (CARVALHO </w:t>
      </w:r>
      <w:r w:rsidRPr="003B01EF">
        <w:rPr>
          <w:rFonts w:ascii="Arial" w:eastAsia="Calibri" w:hAnsi="Arial" w:cs="Arial"/>
          <w:i/>
          <w:sz w:val="24"/>
          <w:szCs w:val="24"/>
        </w:rPr>
        <w:t>et al.</w:t>
      </w:r>
      <w:r w:rsidRPr="003B01EF">
        <w:rPr>
          <w:rFonts w:ascii="Arial" w:eastAsia="Calibri" w:hAnsi="Arial" w:cs="Arial"/>
          <w:sz w:val="24"/>
          <w:szCs w:val="24"/>
        </w:rPr>
        <w:t xml:space="preserve">, 2014). O método de conjugação baseia-se na afinidade da proteína pela microplaca de poliestireno (microplaca preta, com 96 poços,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Optiplate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F HB - </w:t>
      </w:r>
      <w:proofErr w:type="spellStart"/>
      <w:r w:rsidRPr="003B01EF">
        <w:rPr>
          <w:rFonts w:ascii="Arial" w:eastAsia="Calibri" w:hAnsi="Arial" w:cs="Arial"/>
          <w:i/>
          <w:sz w:val="24"/>
          <w:szCs w:val="24"/>
        </w:rPr>
        <w:t>PerkinElmer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). Assim, apenas os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que estiverem </w:t>
      </w:r>
      <w:r w:rsidRPr="003B01EF">
        <w:rPr>
          <w:rFonts w:ascii="Arial" w:eastAsia="Calibri" w:hAnsi="Arial" w:cs="Arial"/>
          <w:sz w:val="24"/>
          <w:szCs w:val="24"/>
        </w:rPr>
        <w:lastRenderedPageBreak/>
        <w:t xml:space="preserve">conjugados ao anticorpo (PQ + IgG) ficarão aderidos na placa e emitirão sinal fluorescente, uma vez que o anticorpo sozinho se adere a microplaca, entretanto não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fluoresce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, já os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sozinhos não se aderem e são, portanto retirados durante a lavagem, como exemplificado na Figura 6. A medição foi feita no leitor de microplaca por fluorescência VICTOR2 HR4000 (</w:t>
      </w:r>
      <w:proofErr w:type="spellStart"/>
      <w:r w:rsidRPr="003B01EF">
        <w:rPr>
          <w:rFonts w:ascii="Arial" w:eastAsia="Calibri" w:hAnsi="Arial" w:cs="Arial"/>
          <w:i/>
          <w:sz w:val="24"/>
          <w:szCs w:val="24"/>
        </w:rPr>
        <w:t>Perkin</w:t>
      </w:r>
      <w:proofErr w:type="spellEnd"/>
      <w:r w:rsidRPr="003B01EF">
        <w:rPr>
          <w:rFonts w:ascii="Arial" w:eastAsia="Calibri" w:hAnsi="Arial" w:cs="Arial"/>
          <w:i/>
          <w:sz w:val="24"/>
          <w:szCs w:val="24"/>
        </w:rPr>
        <w:t xml:space="preserve"> Elmer</w:t>
      </w:r>
      <w:r w:rsidRPr="003B01EF">
        <w:rPr>
          <w:rFonts w:ascii="Arial" w:eastAsia="Calibri" w:hAnsi="Arial" w:cs="Arial"/>
          <w:sz w:val="24"/>
          <w:szCs w:val="24"/>
        </w:rPr>
        <w:t>).</w:t>
      </w:r>
    </w:p>
    <w:p w:rsidR="003B01EF" w:rsidRPr="003B01EF" w:rsidRDefault="003B01EF" w:rsidP="00984213">
      <w:pPr>
        <w:spacing w:after="200" w:line="360" w:lineRule="auto"/>
        <w:ind w:firstLine="567"/>
        <w:jc w:val="both"/>
        <w:rPr>
          <w:rFonts w:ascii="Arial" w:eastAsia="Calibri" w:hAnsi="Arial" w:cs="Arial"/>
          <w:i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No ensaio, foram adicionados em cada poço 200 µL de cada sistema [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com agentes de acoplamento (EDC e Sulfo-NHS)], o anticorpo IgG (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human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serum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– Sigma-Aldrich) e os conjugados de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-IgG, em triplicata, e a placa foi incubada em banho-maria a 37 </w:t>
      </w:r>
      <w:proofErr w:type="spellStart"/>
      <w:r w:rsidRPr="003B01EF">
        <w:rPr>
          <w:rFonts w:ascii="Arial" w:eastAsia="Calibri" w:hAnsi="Arial" w:cs="Arial"/>
          <w:sz w:val="24"/>
          <w:szCs w:val="24"/>
          <w:vertAlign w:val="superscript"/>
        </w:rPr>
        <w:t>º</w:t>
      </w:r>
      <w:r w:rsidRPr="003B01EF">
        <w:rPr>
          <w:rFonts w:ascii="Arial" w:eastAsia="Calibri" w:hAnsi="Arial" w:cs="Arial"/>
          <w:sz w:val="24"/>
          <w:szCs w:val="24"/>
        </w:rPr>
        <w:t>C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por 2 h. Após a incubação, os poços foram lavados três vezes com PBS (Tampão Fosfato Salino). As leituras dos sinais, e seus controles, foram realizadas utilizando o filtro de excitação P405 (405 nm/5 nm) para os dois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e filtro de emissão F595 (595 nm/30 nm) para os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-AMS/anticorpos e F535 (535 nm/25 nm) para os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-Cis/anticorpos,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cw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(</w:t>
      </w:r>
      <w:proofErr w:type="spellStart"/>
      <w:r w:rsidRPr="003B01EF">
        <w:rPr>
          <w:rFonts w:ascii="Arial" w:eastAsia="Calibri" w:hAnsi="Arial" w:cs="Arial"/>
          <w:i/>
          <w:sz w:val="24"/>
          <w:szCs w:val="24"/>
        </w:rPr>
        <w:t>continous</w:t>
      </w:r>
      <w:proofErr w:type="spellEnd"/>
      <w:r w:rsidRPr="003B01EF">
        <w:rPr>
          <w:rFonts w:ascii="Arial" w:eastAsia="Calibri" w:hAnsi="Arial" w:cs="Arial"/>
          <w:i/>
          <w:sz w:val="24"/>
          <w:szCs w:val="24"/>
        </w:rPr>
        <w:t xml:space="preserve"> </w:t>
      </w:r>
      <w:proofErr w:type="spellStart"/>
      <w:r w:rsidRPr="003B01EF">
        <w:rPr>
          <w:rFonts w:ascii="Arial" w:eastAsia="Calibri" w:hAnsi="Arial" w:cs="Arial"/>
          <w:i/>
          <w:sz w:val="24"/>
          <w:szCs w:val="24"/>
        </w:rPr>
        <w:t>wave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) da lâmpada = 20000 e 1 s (</w:t>
      </w:r>
      <w:proofErr w:type="spellStart"/>
      <w:r w:rsidRPr="003B01EF">
        <w:rPr>
          <w:rFonts w:ascii="Arial" w:eastAsia="Calibri" w:hAnsi="Arial" w:cs="Arial"/>
          <w:i/>
          <w:sz w:val="24"/>
          <w:szCs w:val="24"/>
        </w:rPr>
        <w:t>counting</w:t>
      </w:r>
      <w:proofErr w:type="spellEnd"/>
      <w:r w:rsidRPr="003B01EF">
        <w:rPr>
          <w:rFonts w:ascii="Arial" w:eastAsia="Calibri" w:hAnsi="Arial" w:cs="Arial"/>
          <w:i/>
          <w:sz w:val="24"/>
          <w:szCs w:val="24"/>
        </w:rPr>
        <w:t xml:space="preserve"> time</w:t>
      </w:r>
      <w:r w:rsidRPr="003B01EF">
        <w:rPr>
          <w:rFonts w:ascii="Arial" w:eastAsia="Calibri" w:hAnsi="Arial" w:cs="Arial"/>
          <w:sz w:val="24"/>
          <w:szCs w:val="24"/>
        </w:rPr>
        <w:t>)</w:t>
      </w:r>
      <w:r w:rsidRPr="003B01EF">
        <w:rPr>
          <w:rFonts w:ascii="Arial" w:eastAsia="Calibri" w:hAnsi="Arial" w:cs="Arial"/>
          <w:i/>
          <w:sz w:val="24"/>
          <w:szCs w:val="24"/>
        </w:rPr>
        <w:t>.</w:t>
      </w:r>
    </w:p>
    <w:p w:rsidR="003B01EF" w:rsidRPr="00984213" w:rsidRDefault="003B01EF" w:rsidP="00984213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B01EF">
        <w:rPr>
          <w:rFonts w:ascii="Arial" w:eastAsia="Calibri" w:hAnsi="Arial" w:cs="Arial"/>
          <w:noProof/>
          <w:sz w:val="24"/>
          <w:szCs w:val="24"/>
          <w:lang w:val="en-US"/>
        </w:rPr>
        <w:drawing>
          <wp:inline distT="0" distB="0" distL="0" distR="0" wp14:anchorId="66D62847" wp14:editId="40D41451">
            <wp:extent cx="5400000" cy="2786218"/>
            <wp:effectExtent l="0" t="0" r="0" b="0"/>
            <wp:docPr id="8" name="Imagem 8" descr="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EF" w:rsidRPr="003B01EF" w:rsidRDefault="003B01EF" w:rsidP="00984213">
      <w:pPr>
        <w:spacing w:before="200" w:after="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b/>
          <w:sz w:val="24"/>
          <w:szCs w:val="24"/>
        </w:rPr>
        <w:t xml:space="preserve">Figura 6. </w:t>
      </w:r>
      <w:r w:rsidRPr="003B01EF">
        <w:rPr>
          <w:rFonts w:ascii="Arial" w:eastAsia="Calibri" w:hAnsi="Arial" w:cs="Arial"/>
          <w:sz w:val="24"/>
          <w:szCs w:val="24"/>
        </w:rPr>
        <w:t xml:space="preserve">Método baseado em ensaio fluorescente em microplaca (EFM) [Adaptado de CARVALHO </w:t>
      </w:r>
      <w:r w:rsidRPr="003B01EF">
        <w:rPr>
          <w:rFonts w:ascii="Arial" w:eastAsia="Calibri" w:hAnsi="Arial" w:cs="Arial"/>
          <w:i/>
          <w:sz w:val="24"/>
          <w:szCs w:val="24"/>
        </w:rPr>
        <w:t>et al.</w:t>
      </w:r>
      <w:r w:rsidRPr="003B01EF">
        <w:rPr>
          <w:rFonts w:ascii="Arial" w:eastAsia="Calibri" w:hAnsi="Arial" w:cs="Arial"/>
          <w:sz w:val="24"/>
          <w:szCs w:val="24"/>
        </w:rPr>
        <w:t>, (2014)].</w:t>
      </w:r>
    </w:p>
    <w:p w:rsidR="003B01EF" w:rsidRPr="003B01EF" w:rsidRDefault="003B01EF" w:rsidP="00984213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3B01EF" w:rsidRPr="003B01EF" w:rsidRDefault="003B01EF" w:rsidP="00984213">
      <w:pPr>
        <w:spacing w:after="20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A intensidade do sinal dos poços é proporcional ao número de conjugados aderidos à microplaca, assim, quanto mais alto for o sinal da fluorescência significa que mais eficiente foi a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bioconjugação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, sendo calculado pela diferença relativa das médias da fluorescência (FL) do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bioconjugado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(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-IgG) em relação à média de FL de seus controles (fluorescência relacionada ao PQ ou ao IgG), </w:t>
      </w:r>
      <w:r w:rsidRPr="003B01EF">
        <w:rPr>
          <w:rFonts w:ascii="Arial" w:eastAsia="Calibri" w:hAnsi="Arial" w:cs="Arial"/>
          <w:sz w:val="24"/>
          <w:szCs w:val="24"/>
        </w:rPr>
        <w:lastRenderedPageBreak/>
        <w:t>como mostra a equação 1. Nesse estudo variou-se as concentrações dos agentes de acoplamento e do anticorpo para obtenção da melhor condição para conjugação (Tabela 1).</w:t>
      </w:r>
    </w:p>
    <w:p w:rsidR="003B01EF" w:rsidRPr="003B01EF" w:rsidRDefault="003B01EF" w:rsidP="00984213">
      <w:pPr>
        <w:spacing w:after="200" w:line="36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 xml:space="preserve">FL Relativa </m:t>
        </m:r>
        <m:d>
          <m:d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%</m:t>
            </m:r>
          </m:e>
        </m:d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FL Bioconjugado-FL Controles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FL Controles</m:t>
            </m:r>
          </m:den>
        </m:f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x 100</m:t>
        </m:r>
      </m:oMath>
      <w:r w:rsidRPr="003B01EF">
        <w:rPr>
          <w:rFonts w:ascii="Arial" w:eastAsia="Calibri" w:hAnsi="Arial" w:cs="Arial"/>
          <w:sz w:val="24"/>
          <w:szCs w:val="24"/>
        </w:rPr>
        <w:t xml:space="preserve">              (Equação 1)</w:t>
      </w:r>
    </w:p>
    <w:p w:rsidR="003B01EF" w:rsidRPr="003B01EF" w:rsidRDefault="003B01EF" w:rsidP="00984213">
      <w:pPr>
        <w:spacing w:before="200"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Os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foram colocados em contato com o IgG por 24 h a 4 </w:t>
      </w:r>
      <w:proofErr w:type="spellStart"/>
      <w:r w:rsidRPr="003B01EF">
        <w:rPr>
          <w:rFonts w:ascii="Arial" w:eastAsia="Calibri" w:hAnsi="Arial" w:cs="Arial"/>
          <w:sz w:val="24"/>
          <w:szCs w:val="24"/>
          <w:vertAlign w:val="superscript"/>
        </w:rPr>
        <w:t>º</w:t>
      </w:r>
      <w:r w:rsidRPr="003B01EF">
        <w:rPr>
          <w:rFonts w:ascii="Arial" w:eastAsia="Calibri" w:hAnsi="Arial" w:cs="Arial"/>
          <w:sz w:val="24"/>
          <w:szCs w:val="24"/>
        </w:rPr>
        <w:t>C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antes da análise ser realizada, sendo utilizado 1 mL do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-AMS, na concentração de 2,5 µM, e do PQ-Cis, na concentração de 19,5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μM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>. As condições estudadas no meio homogêneo foram:</w:t>
      </w:r>
    </w:p>
    <w:p w:rsidR="003B01EF" w:rsidRPr="003B01EF" w:rsidRDefault="003B01EF" w:rsidP="00984213">
      <w:pPr>
        <w:spacing w:after="200" w:line="360" w:lineRule="auto"/>
        <w:ind w:firstLine="72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3B01EF" w:rsidRPr="003B01EF" w:rsidRDefault="003B01EF" w:rsidP="00984213">
      <w:pPr>
        <w:keepNext/>
        <w:spacing w:after="200" w:line="360" w:lineRule="auto"/>
        <w:jc w:val="center"/>
        <w:rPr>
          <w:rFonts w:ascii="Arial" w:eastAsia="Times New Roman" w:hAnsi="Arial" w:cs="Arial"/>
          <w:bCs/>
          <w:sz w:val="24"/>
          <w:szCs w:val="24"/>
          <w:lang w:val="pt-PT" w:eastAsia="pt-BR"/>
        </w:rPr>
      </w:pPr>
      <w:bookmarkStart w:id="8" w:name="_Hlk490938695"/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 xml:space="preserve">Tabela </w:t>
      </w:r>
      <w:r w:rsidRPr="003B01EF">
        <w:rPr>
          <w:rFonts w:ascii="Arial" w:eastAsia="MS Mincho" w:hAnsi="Arial" w:cs="Arial"/>
          <w:b/>
          <w:bCs/>
          <w:color w:val="4F81BD"/>
          <w:sz w:val="24"/>
          <w:szCs w:val="24"/>
          <w:lang w:val="pt-PT"/>
        </w:rPr>
        <w:fldChar w:fldCharType="begin"/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instrText xml:space="preserve"> SEQ Tabela \* ARABIC </w:instrText>
      </w:r>
      <w:r w:rsidRPr="003B01EF">
        <w:rPr>
          <w:rFonts w:ascii="Arial" w:eastAsia="MS Mincho" w:hAnsi="Arial" w:cs="Arial"/>
          <w:b/>
          <w:bCs/>
          <w:color w:val="4F81BD"/>
          <w:sz w:val="24"/>
          <w:szCs w:val="24"/>
          <w:lang w:val="pt-PT"/>
        </w:rPr>
        <w:fldChar w:fldCharType="separate"/>
      </w:r>
      <w:r w:rsidRPr="003B01EF">
        <w:rPr>
          <w:rFonts w:ascii="Arial" w:eastAsia="MS Mincho" w:hAnsi="Arial" w:cs="Arial"/>
          <w:b/>
          <w:bCs/>
          <w:noProof/>
          <w:sz w:val="24"/>
          <w:szCs w:val="24"/>
          <w:lang w:val="pt-PT"/>
        </w:rPr>
        <w:t>1</w:t>
      </w:r>
      <w:r w:rsidRPr="003B01EF">
        <w:rPr>
          <w:rFonts w:ascii="Arial" w:eastAsia="MS Mincho" w:hAnsi="Arial" w:cs="Arial"/>
          <w:b/>
          <w:bCs/>
          <w:color w:val="4F81BD"/>
          <w:sz w:val="24"/>
          <w:szCs w:val="24"/>
          <w:lang w:val="pt-PT"/>
        </w:rPr>
        <w:fldChar w:fldCharType="end"/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>.</w:t>
      </w:r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 xml:space="preserve"> Condições de concentrações dos agentes </w:t>
      </w:r>
      <w:r w:rsidRPr="00984213">
        <w:rPr>
          <w:rFonts w:ascii="Arial" w:eastAsia="MS Mincho" w:hAnsi="Arial" w:cs="Arial"/>
          <w:bCs/>
          <w:sz w:val="24"/>
          <w:szCs w:val="24"/>
          <w:lang w:val="pt-PT"/>
        </w:rPr>
        <w:t xml:space="preserve">de acoplamento e anticorpo para </w:t>
      </w:r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>conjugação.</w:t>
      </w:r>
    </w:p>
    <w:tbl>
      <w:tblPr>
        <w:tblStyle w:val="TabeladeGrade5Escura1"/>
        <w:tblW w:w="5000" w:type="pct"/>
        <w:jc w:val="center"/>
        <w:tblInd w:w="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2220"/>
        <w:gridCol w:w="2927"/>
        <w:gridCol w:w="1943"/>
      </w:tblGrid>
      <w:tr w:rsidR="003B01EF" w:rsidRPr="00984213" w:rsidTr="00984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Condição</w:t>
            </w:r>
          </w:p>
        </w:tc>
        <w:tc>
          <w:tcPr>
            <w:tcW w:w="13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EDC (mmol L</w:t>
            </w: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  <w:vertAlign w:val="superscript"/>
              </w:rPr>
              <w:t>-1</w:t>
            </w: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)</w:t>
            </w:r>
          </w:p>
        </w:tc>
        <w:tc>
          <w:tcPr>
            <w:tcW w:w="172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Sulfo-NHS (mmol L</w:t>
            </w: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  <w:vertAlign w:val="superscript"/>
              </w:rPr>
              <w:t>-1</w:t>
            </w: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)</w:t>
            </w:r>
          </w:p>
        </w:tc>
        <w:tc>
          <w:tcPr>
            <w:tcW w:w="1144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IgG (µg mL</w:t>
            </w: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  <w:vertAlign w:val="superscript"/>
              </w:rPr>
              <w:t>-1</w:t>
            </w: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)</w:t>
            </w:r>
          </w:p>
        </w:tc>
      </w:tr>
      <w:tr w:rsidR="003B01EF" w:rsidRPr="00984213" w:rsidTr="0098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a</w:t>
            </w:r>
          </w:p>
        </w:tc>
        <w:tc>
          <w:tcPr>
            <w:tcW w:w="13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7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11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46</w:t>
            </w:r>
          </w:p>
        </w:tc>
      </w:tr>
      <w:tr w:rsidR="003B01EF" w:rsidRPr="00984213" w:rsidTr="009842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b</w:t>
            </w:r>
          </w:p>
        </w:tc>
        <w:tc>
          <w:tcPr>
            <w:tcW w:w="1307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1723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25</w:t>
            </w:r>
          </w:p>
        </w:tc>
        <w:tc>
          <w:tcPr>
            <w:tcW w:w="1144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46</w:t>
            </w:r>
          </w:p>
        </w:tc>
      </w:tr>
      <w:tr w:rsidR="003B01EF" w:rsidRPr="00984213" w:rsidTr="0098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c</w:t>
            </w:r>
          </w:p>
        </w:tc>
        <w:tc>
          <w:tcPr>
            <w:tcW w:w="1307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spacing w:before="60" w:after="6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1723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50</w:t>
            </w:r>
          </w:p>
        </w:tc>
        <w:tc>
          <w:tcPr>
            <w:tcW w:w="1144" w:type="pct"/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46</w:t>
            </w:r>
          </w:p>
        </w:tc>
      </w:tr>
      <w:tr w:rsidR="003B01EF" w:rsidRPr="00984213" w:rsidTr="009842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d</w:t>
            </w:r>
          </w:p>
        </w:tc>
        <w:tc>
          <w:tcPr>
            <w:tcW w:w="1307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723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114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91</w:t>
            </w:r>
          </w:p>
        </w:tc>
      </w:tr>
      <w:tr w:rsidR="003B01EF" w:rsidRPr="00984213" w:rsidTr="0098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color w:val="auto"/>
                <w:sz w:val="24"/>
                <w:szCs w:val="24"/>
              </w:rPr>
              <w:t>e</w:t>
            </w:r>
          </w:p>
        </w:tc>
        <w:tc>
          <w:tcPr>
            <w:tcW w:w="1307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1723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spacing w:before="60" w:after="6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50</w:t>
            </w:r>
          </w:p>
        </w:tc>
        <w:tc>
          <w:tcPr>
            <w:tcW w:w="1144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B01EF" w:rsidRPr="003B01EF" w:rsidRDefault="003B01EF" w:rsidP="00984213">
            <w:pPr>
              <w:keepNext/>
              <w:keepLines/>
              <w:spacing w:before="60" w:after="60" w:line="360" w:lineRule="auto"/>
              <w:contextualSpacing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3B01EF">
              <w:rPr>
                <w:rFonts w:ascii="Arial" w:eastAsia="Calibri" w:hAnsi="Arial" w:cs="Arial"/>
                <w:sz w:val="24"/>
                <w:szCs w:val="24"/>
              </w:rPr>
              <w:t>91</w:t>
            </w:r>
          </w:p>
        </w:tc>
      </w:tr>
      <w:bookmarkEnd w:id="8"/>
    </w:tbl>
    <w:p w:rsidR="003B01EF" w:rsidRPr="003B01EF" w:rsidRDefault="003B01EF" w:rsidP="00984213">
      <w:pPr>
        <w:spacing w:after="20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3B01EF" w:rsidRPr="003B01EF" w:rsidRDefault="003B01EF" w:rsidP="00984213">
      <w:pPr>
        <w:keepNext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>3.5. CONJUGAÇÃO DO ANTICORPO IgG ÀS SUPERFÍCIES TRANSDUTORAS</w:t>
      </w:r>
    </w:p>
    <w:p w:rsidR="003B01EF" w:rsidRPr="003B01EF" w:rsidRDefault="003B01EF" w:rsidP="00984213">
      <w:pPr>
        <w:spacing w:after="20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Para a conjugação do IgG, preparou-se uma solução, com pH em torno de 6,0, de acordo com a melhor condição encontrada no EFM. Dessa forma, imergiu-se a superfície modificada por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PQs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nesta solução por 24 h, formando duas plataformas transdutoras, como mostra a Figura 7.</w:t>
      </w:r>
    </w:p>
    <w:p w:rsidR="003B01EF" w:rsidRPr="003B01EF" w:rsidRDefault="003B01EF" w:rsidP="00984213">
      <w:pPr>
        <w:keepNext/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noProof/>
          <w:sz w:val="24"/>
          <w:szCs w:val="24"/>
        </w:rPr>
        <w:lastRenderedPageBreak/>
        <w:drawing>
          <wp:inline distT="0" distB="0" distL="0" distR="0" wp14:anchorId="231C502D" wp14:editId="103CA5A4">
            <wp:extent cx="5400000" cy="4803192"/>
            <wp:effectExtent l="0" t="0" r="0" b="0"/>
            <wp:docPr id="7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D79D794A-C6B5-4C85-AA5D-834AD61C00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D79D794A-C6B5-4C85-AA5D-834AD61C00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EF" w:rsidRPr="003B01EF" w:rsidRDefault="003B01EF" w:rsidP="00984213">
      <w:pPr>
        <w:spacing w:after="200" w:line="360" w:lineRule="auto"/>
        <w:jc w:val="center"/>
        <w:rPr>
          <w:rFonts w:ascii="Arial" w:eastAsia="MS Mincho" w:hAnsi="Arial" w:cs="Arial"/>
          <w:bCs/>
          <w:noProof/>
          <w:sz w:val="24"/>
          <w:szCs w:val="24"/>
          <w:lang w:val="pt-PT"/>
        </w:rPr>
      </w:pP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>Figura 7.</w:t>
      </w:r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 xml:space="preserve"> Representação das superfícies transdutoras modificadas</w:t>
      </w:r>
      <w:r w:rsidRPr="003B01EF">
        <w:rPr>
          <w:rFonts w:ascii="Arial" w:eastAsia="MS Mincho" w:hAnsi="Arial" w:cs="Arial"/>
          <w:bCs/>
          <w:noProof/>
          <w:sz w:val="24"/>
          <w:szCs w:val="24"/>
          <w:lang w:val="pt-PT"/>
        </w:rPr>
        <w:t xml:space="preserve"> por PQ-AMS (à esquerda) e PQ-Cis (à direita) após a conjugação da IgG.</w:t>
      </w:r>
    </w:p>
    <w:p w:rsidR="003B01EF" w:rsidRPr="003B01EF" w:rsidRDefault="003B01EF" w:rsidP="00984213">
      <w:pPr>
        <w:spacing w:after="200" w:line="360" w:lineRule="auto"/>
        <w:jc w:val="both"/>
        <w:rPr>
          <w:rFonts w:ascii="Arial" w:eastAsia="Calibri" w:hAnsi="Arial" w:cs="Arial"/>
          <w:sz w:val="24"/>
          <w:szCs w:val="24"/>
          <w:lang w:val="pt-PT"/>
        </w:rPr>
      </w:pPr>
    </w:p>
    <w:p w:rsidR="003B01EF" w:rsidRPr="003B01EF" w:rsidRDefault="003B01EF" w:rsidP="00984213">
      <w:pPr>
        <w:keepNext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 xml:space="preserve">3.6. DETECÇÃO DO </w:t>
      </w:r>
      <w:proofErr w:type="spellStart"/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>ANTI-IgG</w:t>
      </w:r>
      <w:proofErr w:type="spellEnd"/>
      <w:r w:rsidRPr="003B01EF">
        <w:rPr>
          <w:rFonts w:ascii="Arial" w:eastAsia="Times New Roman" w:hAnsi="Arial" w:cs="Arial"/>
          <w:b/>
          <w:bCs/>
          <w:iCs/>
          <w:sz w:val="24"/>
          <w:szCs w:val="24"/>
        </w:rPr>
        <w:t xml:space="preserve"> PELAS SUPERFÍCIES TRANSDUTORAS</w:t>
      </w:r>
    </w:p>
    <w:p w:rsidR="003B01EF" w:rsidRPr="003B01EF" w:rsidRDefault="003B01EF" w:rsidP="00984213">
      <w:pPr>
        <w:spacing w:after="12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Com os sistemas formados, foram realizadas 6 incubações para detecção do anti-IgG, sendo gotejados 10 µL da solução dessa proteína na concentração 1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ng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mL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em intervalos de 30 minutos. Utilizou-se o bloqueador TRIS base (</w:t>
      </w:r>
      <w:r w:rsidRPr="003B01EF">
        <w:rPr>
          <w:rFonts w:ascii="Arial" w:eastAsia="Calibri" w:hAnsi="Arial" w:cs="Arial"/>
          <w:i/>
          <w:sz w:val="24"/>
          <w:szCs w:val="24"/>
        </w:rPr>
        <w:t xml:space="preserve">Ultra </w:t>
      </w:r>
      <w:proofErr w:type="spellStart"/>
      <w:r w:rsidRPr="003B01EF">
        <w:rPr>
          <w:rFonts w:ascii="Arial" w:eastAsia="Calibri" w:hAnsi="Arial" w:cs="Arial"/>
          <w:i/>
          <w:sz w:val="24"/>
          <w:szCs w:val="24"/>
        </w:rPr>
        <w:t>Pure</w:t>
      </w:r>
      <w:proofErr w:type="spellEnd"/>
      <w:r w:rsidRPr="003B01EF">
        <w:rPr>
          <w:rFonts w:ascii="Arial" w:eastAsia="Calibri" w:hAnsi="Arial" w:cs="Arial"/>
          <w:i/>
          <w:sz w:val="24"/>
          <w:szCs w:val="24"/>
        </w:rPr>
        <w:t xml:space="preserve"> Grade</w:t>
      </w:r>
      <w:r w:rsidRPr="003B01EF">
        <w:rPr>
          <w:rFonts w:ascii="Arial" w:eastAsia="Calibri" w:hAnsi="Arial" w:cs="Arial"/>
          <w:sz w:val="24"/>
          <w:szCs w:val="24"/>
        </w:rPr>
        <w:t>), na concentração de 1 mg mL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>, para evitar ligações inespecíficas. O TRIS bloqueia os grupos COO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 xml:space="preserve">- </w:t>
      </w:r>
      <w:r w:rsidRPr="003B01EF">
        <w:rPr>
          <w:rFonts w:ascii="Arial" w:eastAsia="Calibri" w:hAnsi="Arial" w:cs="Arial"/>
          <w:sz w:val="24"/>
          <w:szCs w:val="24"/>
        </w:rPr>
        <w:t>ativados. No caso da plataforma baseada em PQ-Cis, esses grupos são da SAM de AMP e do anticorpo. Já na plataforma baseada em PQ-AMS, esses grupos são do PQ e do anticorpo.</w:t>
      </w:r>
      <w:r w:rsidRPr="00984213">
        <w:rPr>
          <w:rFonts w:ascii="Arial" w:eastAsia="Calibri" w:hAnsi="Arial" w:cs="Arial"/>
          <w:sz w:val="24"/>
          <w:szCs w:val="24"/>
        </w:rPr>
        <w:t xml:space="preserve"> </w:t>
      </w:r>
    </w:p>
    <w:p w:rsidR="003B01EF" w:rsidRPr="003B01EF" w:rsidRDefault="003B01EF" w:rsidP="00984213">
      <w:pPr>
        <w:keepNext/>
        <w:spacing w:before="240" w:after="60" w:line="360" w:lineRule="auto"/>
        <w:jc w:val="both"/>
        <w:outlineLvl w:val="1"/>
        <w:rPr>
          <w:rFonts w:ascii="Arial" w:eastAsia="Calibri" w:hAnsi="Arial" w:cs="Arial"/>
          <w:b/>
          <w:bCs/>
          <w:iCs/>
          <w:sz w:val="24"/>
          <w:szCs w:val="24"/>
        </w:rPr>
      </w:pPr>
      <w:r w:rsidRPr="003B01EF">
        <w:rPr>
          <w:rFonts w:ascii="Arial" w:eastAsia="Calibri" w:hAnsi="Arial" w:cs="Arial"/>
          <w:b/>
          <w:bCs/>
          <w:iCs/>
          <w:sz w:val="24"/>
          <w:szCs w:val="24"/>
        </w:rPr>
        <w:lastRenderedPageBreak/>
        <w:t>3.7. CARACTERIZAÇÃO ELETROQUÍMICA</w:t>
      </w:r>
    </w:p>
    <w:p w:rsidR="003B01EF" w:rsidRPr="003B01EF" w:rsidRDefault="003B01EF" w:rsidP="00984213">
      <w:pPr>
        <w:spacing w:after="20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 xml:space="preserve">A célula eletroquímica utilizada foi de compartimento único e com três eletrodos: (1) superfície de ouro (trabalho), (2)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Ag⁄AgCl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em solução saturada de KCl (referência) e (3) um fio de platina (auxiliar), como mostra a Figura 8. A área circular superficial do eletrodo de trabalho foi de 3,5 µm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Pr="003B01EF">
        <w:rPr>
          <w:rFonts w:ascii="Arial" w:eastAsia="Calibri" w:hAnsi="Arial" w:cs="Arial"/>
          <w:sz w:val="24"/>
          <w:szCs w:val="24"/>
        </w:rPr>
        <w:t>. Em todos os experimentos foi usado o potenciostato/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galvanostato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PGSTAT128N (Autolab), em interface com o software NOVA 1.11.2 (Metrohm Autolab B.V.). </w:t>
      </w:r>
    </w:p>
    <w:p w:rsidR="003B01EF" w:rsidRPr="003B01EF" w:rsidRDefault="003B01EF" w:rsidP="00984213">
      <w:pPr>
        <w:keepNext/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01AB4F83" wp14:editId="2415FA48">
            <wp:extent cx="5400000" cy="4174205"/>
            <wp:effectExtent l="0" t="0" r="0" b="0"/>
            <wp:docPr id="12" name="Imagem 12" descr="Resultado de imagem para célula eletroquímica de três eletr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élula eletroquímica de três eletro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EF" w:rsidRPr="003B01EF" w:rsidRDefault="003B01EF" w:rsidP="00984213">
      <w:pPr>
        <w:spacing w:after="0" w:line="360" w:lineRule="auto"/>
        <w:jc w:val="both"/>
        <w:rPr>
          <w:rFonts w:ascii="Arial" w:eastAsia="MS Mincho" w:hAnsi="Arial" w:cs="Arial"/>
          <w:bCs/>
          <w:sz w:val="24"/>
          <w:szCs w:val="24"/>
          <w:lang w:val="pt-PT"/>
        </w:rPr>
      </w:pP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 xml:space="preserve">Figura </w:t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fldChar w:fldCharType="begin"/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instrText xml:space="preserve"> SEQ Figura \* ARABIC </w:instrText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fldChar w:fldCharType="separate"/>
      </w:r>
      <w:r w:rsidRPr="003B01EF">
        <w:rPr>
          <w:rFonts w:ascii="Arial" w:eastAsia="MS Mincho" w:hAnsi="Arial" w:cs="Arial"/>
          <w:b/>
          <w:bCs/>
          <w:noProof/>
          <w:sz w:val="24"/>
          <w:szCs w:val="24"/>
          <w:lang w:val="pt-PT"/>
        </w:rPr>
        <w:t>3</w:t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fldChar w:fldCharType="end"/>
      </w:r>
      <w:r w:rsidRPr="003B01EF">
        <w:rPr>
          <w:rFonts w:ascii="Arial" w:eastAsia="MS Mincho" w:hAnsi="Arial" w:cs="Arial"/>
          <w:b/>
          <w:bCs/>
          <w:sz w:val="24"/>
          <w:szCs w:val="24"/>
          <w:lang w:val="pt-PT"/>
        </w:rPr>
        <w:t>.</w:t>
      </w:r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 xml:space="preserve"> Esquema da montagem da célula eletroquímica utilizada nas caracte</w:t>
      </w:r>
      <w:bookmarkStart w:id="9" w:name="_GoBack"/>
      <w:bookmarkEnd w:id="9"/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 xml:space="preserve">rizações (Fonte: </w:t>
      </w:r>
      <w:hyperlink r:id="rId10" w:anchor="/media/File:Potenciostato3.jpg" w:history="1">
        <w:r w:rsidRPr="00984213">
          <w:rPr>
            <w:rFonts w:ascii="Arial" w:eastAsia="MS Mincho" w:hAnsi="Arial" w:cs="Arial"/>
            <w:b/>
            <w:bCs/>
            <w:color w:val="0000FF"/>
            <w:sz w:val="24"/>
            <w:szCs w:val="24"/>
            <w:u w:val="single"/>
            <w:lang w:val="pt-PT"/>
          </w:rPr>
          <w:t>https://pt.wikipedia.org/wiki/Potenciostato#/media/File:Potenciostato3.jpg</w:t>
        </w:r>
      </w:hyperlink>
      <w:r w:rsidRPr="003B01EF">
        <w:rPr>
          <w:rFonts w:ascii="Arial" w:eastAsia="MS Mincho" w:hAnsi="Arial" w:cs="Arial"/>
          <w:bCs/>
          <w:sz w:val="24"/>
          <w:szCs w:val="24"/>
          <w:lang w:val="pt-PT"/>
        </w:rPr>
        <w:t xml:space="preserve"> )</w:t>
      </w:r>
    </w:p>
    <w:p w:rsidR="003B01EF" w:rsidRPr="003B01EF" w:rsidRDefault="003B01EF" w:rsidP="00984213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pt-PT"/>
        </w:rPr>
      </w:pPr>
    </w:p>
    <w:p w:rsidR="003B01EF" w:rsidRPr="003B01EF" w:rsidRDefault="003B01EF" w:rsidP="00984213">
      <w:pPr>
        <w:spacing w:after="0" w:line="36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3B01EF">
        <w:rPr>
          <w:rFonts w:ascii="Arial" w:eastAsia="Calibri" w:hAnsi="Arial" w:cs="Arial"/>
          <w:sz w:val="24"/>
          <w:szCs w:val="24"/>
        </w:rPr>
        <w:t>As caracterizações dos sistemas foram monitoradas por sonda eletroquímica (1 mmol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de K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4</w:t>
      </w:r>
      <w:r w:rsidRPr="003B01EF">
        <w:rPr>
          <w:rFonts w:ascii="Arial" w:eastAsia="Calibri" w:hAnsi="Arial" w:cs="Arial"/>
          <w:sz w:val="24"/>
          <w:szCs w:val="24"/>
        </w:rPr>
        <w:t>Fe(CN)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6</w:t>
      </w:r>
      <w:r w:rsidRPr="003B01EF">
        <w:rPr>
          <w:rFonts w:ascii="Arial" w:eastAsia="Calibri" w:hAnsi="Arial" w:cs="Arial"/>
          <w:sz w:val="24"/>
          <w:szCs w:val="24"/>
        </w:rPr>
        <w:t>/K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3</w:t>
      </w:r>
      <w:r w:rsidRPr="003B01EF">
        <w:rPr>
          <w:rFonts w:ascii="Arial" w:eastAsia="Calibri" w:hAnsi="Arial" w:cs="Arial"/>
          <w:sz w:val="24"/>
          <w:szCs w:val="24"/>
        </w:rPr>
        <w:t>Fe(CN)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6</w:t>
      </w:r>
      <w:r w:rsidRPr="003B01EF">
        <w:rPr>
          <w:rFonts w:ascii="Arial" w:eastAsia="Calibri" w:hAnsi="Arial" w:cs="Arial"/>
          <w:sz w:val="24"/>
          <w:szCs w:val="24"/>
        </w:rPr>
        <w:t xml:space="preserve"> em solução aquosa de 0,1 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de KCl a pH aparente 7,0 utilizando as técnicas de voltametria cíclica em janela de potencial de 0,0 V a 0,5 V a </w:t>
      </w:r>
      <w:r w:rsidRPr="003B01EF">
        <w:rPr>
          <w:rFonts w:ascii="Arial" w:eastAsia="Calibri" w:hAnsi="Arial" w:cs="Arial"/>
          <w:i/>
          <w:sz w:val="24"/>
          <w:szCs w:val="24"/>
        </w:rPr>
        <w:t>v</w:t>
      </w:r>
      <w:r w:rsidRPr="003B01EF">
        <w:rPr>
          <w:rFonts w:ascii="Arial" w:eastAsia="Calibri" w:hAnsi="Arial" w:cs="Arial"/>
          <w:sz w:val="24"/>
          <w:szCs w:val="24"/>
        </w:rPr>
        <w:t xml:space="preserve"> = 100 mV s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e espectroscopia de </w:t>
      </w:r>
      <w:r w:rsidRPr="003B01EF">
        <w:rPr>
          <w:rFonts w:ascii="Arial" w:eastAsia="Calibri" w:hAnsi="Arial" w:cs="Arial"/>
          <w:sz w:val="24"/>
          <w:szCs w:val="24"/>
        </w:rPr>
        <w:lastRenderedPageBreak/>
        <w:t xml:space="preserve">impedância eletroquímica (EIE) no potencial D.C. de 220 mV com uma perturbação de 10 </w:t>
      </w:r>
      <w:proofErr w:type="spellStart"/>
      <w:r w:rsidRPr="003B01EF">
        <w:rPr>
          <w:rFonts w:ascii="Arial" w:eastAsia="Calibri" w:hAnsi="Arial" w:cs="Arial"/>
          <w:sz w:val="24"/>
          <w:szCs w:val="24"/>
        </w:rPr>
        <w:t>mV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rms</w:t>
      </w:r>
      <w:proofErr w:type="spellEnd"/>
      <w:r w:rsidRPr="003B01EF">
        <w:rPr>
          <w:rFonts w:ascii="Arial" w:eastAsia="Calibri" w:hAnsi="Arial" w:cs="Arial"/>
          <w:sz w:val="24"/>
          <w:szCs w:val="24"/>
        </w:rPr>
        <w:t xml:space="preserve"> em uma faixa de frequência de 100.000 a 0,1 Hz. Na etapa de detecção do anti-IgG, foi utilizada apenas voltametria de pulso diferencial com: potencial inicial 0,0 V, potencial final 0,5 V, potencial de pulso 50 mV, tempo de modulação 0,05 s, intervalo de tempo 0,5 s, a </w:t>
      </w:r>
      <w:r w:rsidRPr="003B01EF">
        <w:rPr>
          <w:rFonts w:ascii="Arial" w:eastAsia="Calibri" w:hAnsi="Arial" w:cs="Arial"/>
          <w:i/>
          <w:sz w:val="24"/>
          <w:szCs w:val="24"/>
        </w:rPr>
        <w:t>v</w:t>
      </w:r>
      <w:r w:rsidRPr="003B01EF">
        <w:rPr>
          <w:rFonts w:ascii="Arial" w:eastAsia="Calibri" w:hAnsi="Arial" w:cs="Arial"/>
          <w:sz w:val="24"/>
          <w:szCs w:val="24"/>
        </w:rPr>
        <w:t xml:space="preserve"> = 10 mV s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>, em solução aquosa 1 mmol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de K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4</w:t>
      </w:r>
      <w:r w:rsidRPr="003B01EF">
        <w:rPr>
          <w:rFonts w:ascii="Arial" w:eastAsia="Calibri" w:hAnsi="Arial" w:cs="Arial"/>
          <w:sz w:val="24"/>
          <w:szCs w:val="24"/>
        </w:rPr>
        <w:t>Fe(CN)</w:t>
      </w:r>
      <w:r w:rsidRPr="003B01EF">
        <w:rPr>
          <w:rFonts w:ascii="Arial" w:eastAsia="Calibri" w:hAnsi="Arial" w:cs="Arial"/>
          <w:sz w:val="24"/>
          <w:szCs w:val="24"/>
          <w:vertAlign w:val="subscript"/>
        </w:rPr>
        <w:t>6</w:t>
      </w:r>
      <w:r w:rsidRPr="003B01EF">
        <w:rPr>
          <w:rFonts w:ascii="Arial" w:eastAsia="Calibri" w:hAnsi="Arial" w:cs="Arial"/>
          <w:sz w:val="24"/>
          <w:szCs w:val="24"/>
        </w:rPr>
        <w:t xml:space="preserve"> em 0,1 mol L</w:t>
      </w:r>
      <w:r w:rsidRPr="003B01EF">
        <w:rPr>
          <w:rFonts w:ascii="Arial" w:eastAsia="Calibri" w:hAnsi="Arial" w:cs="Arial"/>
          <w:sz w:val="24"/>
          <w:szCs w:val="24"/>
          <w:vertAlign w:val="superscript"/>
        </w:rPr>
        <w:t>-1</w:t>
      </w:r>
      <w:r w:rsidRPr="003B01EF">
        <w:rPr>
          <w:rFonts w:ascii="Arial" w:eastAsia="Calibri" w:hAnsi="Arial" w:cs="Arial"/>
          <w:sz w:val="24"/>
          <w:szCs w:val="24"/>
        </w:rPr>
        <w:t xml:space="preserve"> de KCl. Essa técnica foi preferida ao EIE nesta etapa devido sua maior sensibilidade para baixas concentrações, devido sua caraterística de reduzir as correntes interferentes (capacitivas).</w:t>
      </w:r>
    </w:p>
    <w:p w:rsidR="004F6616" w:rsidRPr="00984213" w:rsidRDefault="004F6616" w:rsidP="009842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6616" w:rsidRPr="0098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37CEA"/>
    <w:multiLevelType w:val="hybridMultilevel"/>
    <w:tmpl w:val="DDB62618"/>
    <w:lvl w:ilvl="0" w:tplc="6D689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EF"/>
    <w:rsid w:val="000D6C69"/>
    <w:rsid w:val="0034414F"/>
    <w:rsid w:val="003B01EF"/>
    <w:rsid w:val="004864B4"/>
    <w:rsid w:val="004F6616"/>
    <w:rsid w:val="009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FA56"/>
  <w15:chartTrackingRefBased/>
  <w15:docId w15:val="{E0FAE631-F8F2-41FF-BA54-6616AD3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5Escura1">
    <w:name w:val="Tabela de Grade 5 Escura1"/>
    <w:basedOn w:val="Tabelanormal"/>
    <w:uiPriority w:val="50"/>
    <w:rsid w:val="003B01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t.wikipedia.org/wiki/Potenciosta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Carvalho</dc:creator>
  <cp:keywords/>
  <dc:description/>
  <cp:lastModifiedBy>Adriana Carvalho</cp:lastModifiedBy>
  <cp:revision>1</cp:revision>
  <dcterms:created xsi:type="dcterms:W3CDTF">2018-03-06T18:16:00Z</dcterms:created>
  <dcterms:modified xsi:type="dcterms:W3CDTF">2018-03-06T18:36:00Z</dcterms:modified>
</cp:coreProperties>
</file>