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V0.4</w:t>
        <w:br/>
        <w:t>软件生产契约与可信演化实施报告</w:t>
      </w:r>
    </w:p>
    <w:p>
      <w:r>
        <w:rPr>
          <w:i/>
        </w:rPr>
        <w:t>版本：V0.4  |  2026 年 10 月 27 日  |  受限研究原型</w:t>
      </w:r>
    </w:p>
    <w:p>
      <w:pPr>
        <w:pStyle w:val="Heading1"/>
      </w:pPr>
      <w:r>
        <w:t>一、产品定位与本轮目标</w:t>
      </w:r>
    </w:p>
    <w:p>
      <w:r>
        <w:t>冻结定位：Axiom Studio 不重复制造已有的软件开发工具，而是把 AI、程序构造、行为规格、独立验证、可信证据与持续演化组织为一个完整的软件工程体系。代码编辑由 VS Code 等成熟工具承担。</w:t>
      </w:r>
    </w:p>
    <w:p>
      <w:r>
        <w:t>本轮将“生产过程”提升为可追溯的软件对象：需求与性质映射经过人工确认后冻结成生产契约，基于契约签发约束式 AI 构造任务，独立验证与人工裁决通过后才能申请有限范围的原型护照。</w:t>
      </w:r>
    </w:p>
    <w:p>
      <w:pPr>
        <w:pStyle w:val="Heading1"/>
      </w:pPr>
      <w:r>
        <w:t>二、实际落地模块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t>模块</w:t>
            </w:r>
          </w:p>
        </w:tc>
        <w:tc>
          <w:tcPr>
            <w:tcW w:type="dxa" w:w="4703"/>
            <w:vAlign w:val="center"/>
          </w:tcPr>
          <w:p>
            <w:r>
              <w:t>已实现范围</w:t>
            </w:r>
          </w:p>
        </w:tc>
      </w:tr>
      <w:tr>
        <w:tc>
          <w:tcPr>
            <w:tcW w:type="dxa" w:w="4703"/>
            <w:vAlign w:val="center"/>
          </w:tcPr>
          <w:p>
            <w:r>
              <w:t>生产契约 / Production Contract</w:t>
            </w:r>
          </w:p>
        </w:tc>
        <w:tc>
          <w:tcPr>
            <w:tcW w:type="dxa" w:w="4703"/>
            <w:vAlign w:val="center"/>
          </w:tcPr>
          <w:p>
            <w:r>
              <w:t>要求 REQ-*；绑定真实 Axiom Property、表达式指纹、规格与工程清单；冻结后不可覆盖。</w:t>
            </w:r>
          </w:p>
        </w:tc>
      </w:tr>
      <w:tr>
        <w:tc>
          <w:tcPr>
            <w:tcW w:type="dxa" w:w="4703"/>
            <w:vAlign w:val="center"/>
          </w:tcPr>
          <w:p>
            <w:r>
              <w:t>结构化生产图 / Traceability Graph</w:t>
            </w:r>
          </w:p>
        </w:tc>
        <w:tc>
          <w:tcPr>
            <w:tcW w:type="dxa" w:w="4703"/>
            <w:vAlign w:val="center"/>
          </w:tcPr>
          <w:p>
            <w:r>
              <w:t>生成 Intent → Requirement → Property → Candidate → Evidence → Decision 的可审计关系。</w:t>
            </w:r>
          </w:p>
        </w:tc>
      </w:tr>
      <w:tr>
        <w:tc>
          <w:tcPr>
            <w:tcW w:type="dxa" w:w="4703"/>
            <w:vAlign w:val="center"/>
          </w:tcPr>
          <w:p>
            <w:r>
              <w:t>受约束构造任务 / Task Packet</w:t>
            </w:r>
          </w:p>
        </w:tc>
        <w:tc>
          <w:tcPr>
            <w:tcW w:type="dxa" w:w="4703"/>
            <w:vAlign w:val="center"/>
          </w:tcPr>
          <w:p>
            <w:r>
              <w:t>含契约摘要、Action 输入输出、验证计划及禁止 AI 修改的规格/测试/Gate 边界。</w:t>
            </w:r>
          </w:p>
        </w:tc>
      </w:tr>
      <w:tr>
        <w:tc>
          <w:tcPr>
            <w:tcW w:type="dxa" w:w="4703"/>
            <w:vAlign w:val="center"/>
          </w:tcPr>
          <w:p>
            <w:r>
              <w:t>原型护照 / Prototype Passport</w:t>
            </w:r>
          </w:p>
        </w:tc>
        <w:tc>
          <w:tcPr>
            <w:tcW w:type="dxa" w:w="4703"/>
            <w:vAlign w:val="center"/>
          </w:tcPr>
          <w:p>
            <w:r>
              <w:t>要求当前原型裁决、验证链、审计链和签发时实时 C++ Gate；只签发测试级快照。</w:t>
            </w:r>
          </w:p>
        </w:tc>
      </w:tr>
      <w:tr>
        <w:tc>
          <w:tcPr>
            <w:tcW w:type="dxa" w:w="4703"/>
            <w:vAlign w:val="center"/>
          </w:tcPr>
          <w:p>
            <w:r>
              <w:t>IDE 及 HTTP 接口</w:t>
            </w:r>
          </w:p>
        </w:tc>
        <w:tc>
          <w:tcPr>
            <w:tcW w:type="dxa" w:w="4703"/>
            <w:vAlign w:val="center"/>
          </w:tcPr>
          <w:p>
            <w:r>
              <w:t>项目全景新增需求—证据面板；新增 7 个生产协议 API。</w:t>
            </w:r>
          </w:p>
        </w:tc>
      </w:tr>
      <w:tr>
        <w:tc>
          <w:tcPr>
            <w:tcW w:type="dxa" w:w="4703"/>
            <w:vAlign w:val="center"/>
          </w:tcPr>
          <w:p>
            <w:r>
              <w:t>可复现示例</w:t>
            </w:r>
          </w:p>
        </w:tc>
        <w:tc>
          <w:tcPr>
            <w:tcW w:type="dxa" w:w="4703"/>
            <w:vAlign w:val="center"/>
          </w:tcPr>
          <w:p>
            <w:r>
              <w:t>独立工作区运行模型检查、冻结需求、任务包与阻断示例。</w:t>
            </w:r>
          </w:p>
        </w:tc>
      </w:tr>
    </w:tbl>
    <w:p>
      <w:pPr>
        <w:pStyle w:val="Heading1"/>
      </w:pPr>
      <w:r>
        <w:t>三、关键安全约束</w:t>
      </w:r>
    </w:p>
    <w:p>
      <w:pPr>
        <w:pStyle w:val="ListBullet"/>
      </w:pPr>
      <w:r>
        <w:t>需求必须与当前规格中实际存在的性质绑定；未映射需求绝不可自动宣称满足。</w:t>
      </w:r>
    </w:p>
    <w:p>
      <w:pPr>
        <w:pStyle w:val="ListBullet"/>
      </w:pPr>
      <w:r>
        <w:t>规格或工程清单变化会使既有契约与流程进入保守失效；演化分支不得继承原批准。</w:t>
      </w:r>
    </w:p>
    <w:p>
      <w:pPr>
        <w:pStyle w:val="ListBullet"/>
      </w:pPr>
      <w:r>
        <w:t>AI 不得更改保护的行为规格、测试、验证器、证据与 Gate 策略；AI 的输出不能充当独立验证证据。</w:t>
      </w:r>
    </w:p>
    <w:p>
      <w:pPr>
        <w:pStyle w:val="ListBullet"/>
      </w:pPr>
      <w:r>
        <w:t>缺少人工裁决、候选失效、验证链不完整、事件链异常或实时 Gate 不通过时，禁止签发护照。</w:t>
      </w:r>
    </w:p>
    <w:p>
      <w:pPr>
        <w:pStyle w:val="ListBullet"/>
      </w:pPr>
      <w:r>
        <w:t>护照的 scope 永远是 cpp-tested-prototype，production_release 永远为 false。</w:t>
      </w:r>
    </w:p>
    <w:p>
      <w:pPr>
        <w:pStyle w:val="Heading1"/>
      </w:pPr>
      <w:r>
        <w:t>四、可复现验收结果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验收项目</w:t>
            </w:r>
          </w:p>
        </w:tc>
        <w:tc>
          <w:tcPr>
            <w:tcW w:type="dxa" w:w="4703"/>
          </w:tcPr>
          <w:p>
            <w:r>
              <w:t>实测结果</w:t>
            </w:r>
          </w:p>
        </w:tc>
      </w:tr>
      <w:tr>
        <w:tc>
          <w:tcPr>
            <w:tcW w:type="dxa" w:w="4703"/>
          </w:tcPr>
          <w:p>
            <w:r>
              <w:t>V0.4 Python 专项测试</w:t>
            </w:r>
          </w:p>
        </w:tc>
        <w:tc>
          <w:tcPr>
            <w:tcW w:type="dxa" w:w="4703"/>
          </w:tcPr>
          <w:p>
            <w:r>
              <w:t>12/12 通过</w:t>
            </w:r>
          </w:p>
        </w:tc>
      </w:tr>
      <w:tr>
        <w:tc>
          <w:tcPr>
            <w:tcW w:type="dxa" w:w="4703"/>
          </w:tcPr>
          <w:p>
            <w:r>
              <w:t>V0.4 HTTP 真实接口专项</w:t>
            </w:r>
          </w:p>
        </w:tc>
        <w:tc>
          <w:tcPr>
            <w:tcW w:type="dxa" w:w="4703"/>
          </w:tcPr>
          <w:p>
            <w:r>
              <w:t>1/1 通过</w:t>
            </w:r>
          </w:p>
        </w:tc>
      </w:tr>
      <w:tr>
        <w:tc>
          <w:tcPr>
            <w:tcW w:type="dxa" w:w="4703"/>
          </w:tcPr>
          <w:p>
            <w:r>
              <w:t>V0.4 合计新增测试</w:t>
            </w:r>
          </w:p>
        </w:tc>
        <w:tc>
          <w:tcPr>
            <w:tcW w:type="dxa" w:w="4703"/>
          </w:tcPr>
          <w:p>
            <w:r>
              <w:t>13/13 通过</w:t>
            </w:r>
          </w:p>
        </w:tc>
      </w:tr>
      <w:tr>
        <w:tc>
          <w:tcPr>
            <w:tcW w:type="dxa" w:w="4703"/>
          </w:tcPr>
          <w:p>
            <w:r>
              <w:t>独立生产演示</w:t>
            </w:r>
          </w:p>
        </w:tc>
        <w:tc>
          <w:tcPr>
            <w:tcW w:type="dxa" w:w="4703"/>
          </w:tcPr>
          <w:p>
            <w:r>
              <w:t>模型 Gate Approved；需求映射2项；9条追溯边</w:t>
            </w:r>
          </w:p>
        </w:tc>
      </w:tr>
      <w:tr>
        <w:tc>
          <w:tcPr>
            <w:tcW w:type="dxa" w:w="4703"/>
          </w:tcPr>
          <w:p>
            <w:r>
              <w:t>没有 C++ 候选证据的护照请求</w:t>
            </w:r>
          </w:p>
        </w:tc>
        <w:tc>
          <w:tcPr>
            <w:tcW w:type="dxa" w:w="4703"/>
          </w:tcPr>
          <w:p>
            <w:r>
              <w:t>Blocked（预期结果）</w:t>
            </w:r>
          </w:p>
        </w:tc>
      </w:tr>
      <w:tr>
        <w:tc>
          <w:tcPr>
            <w:tcW w:type="dxa" w:w="4703"/>
          </w:tcPr>
          <w:p>
            <w:r>
              <w:t>审计链篡改、契约篡改、规格变更</w:t>
            </w:r>
          </w:p>
        </w:tc>
        <w:tc>
          <w:tcPr>
            <w:tcW w:type="dxa" w:w="4703"/>
          </w:tcPr>
          <w:p>
            <w:r>
              <w:t>相应专项测试全部阻断</w:t>
            </w:r>
          </w:p>
        </w:tc>
      </w:tr>
      <w:tr>
        <w:tc>
          <w:tcPr>
            <w:tcW w:type="dxa" w:w="4703"/>
          </w:tcPr>
          <w:p>
            <w:r>
              <w:t>IDE JS 语法</w:t>
            </w:r>
          </w:p>
        </w:tc>
        <w:tc>
          <w:tcPr>
            <w:tcW w:type="dxa" w:w="4703"/>
          </w:tcPr>
          <w:p>
            <w:r>
              <w:t>node --check 通过</w:t>
            </w:r>
          </w:p>
        </w:tc>
      </w:tr>
      <w:tr>
        <w:tc>
          <w:tcPr>
            <w:tcW w:type="dxa" w:w="4703"/>
          </w:tcPr>
          <w:p>
            <w:r>
              <w:t>旧版全量回归</w:t>
            </w:r>
          </w:p>
        </w:tc>
        <w:tc>
          <w:tcPr>
            <w:tcW w:type="dxa" w:w="4703"/>
          </w:tcPr>
          <w:p>
            <w:r>
              <w:t>执行中存在历史模型工作流超时；不宣称全部通过</w:t>
            </w:r>
          </w:p>
        </w:tc>
      </w:tr>
    </w:tbl>
    <w:p>
      <w:pPr>
        <w:pStyle w:val="Heading1"/>
      </w:pPr>
      <w:r>
        <w:t>五、保证边界及后续工程</w:t>
      </w:r>
    </w:p>
    <w:p>
      <w:r>
        <w:t>V0.4 的映射能够验证性质标识与表达式摘要是否一致，不会自动证明自然语言与形式性质等价。模型证据为有限模型 Bounded；真实 C++ 为声明范围内的测试级证据，不代表形式化精化证明或生产许可。本地 SHA-256 审计链不具备外部信任锚，拥有存储写入权限的攻击者可伪造完整链。现有运行隔离也不适合执行未审查的不可信 AI 代码。</w:t>
      </w:r>
    </w:p>
    <w:p>
      <w:r>
        <w:t>下一步优先建设：多阶段任务 DAG、独立 Agent/工具角色隔离、诊断驱动的候选重构、持久重试与崩溃恢复，以及具有外部签名信任锚的证据服务。重点评价端到端软件构造质量、人工介入次数、缺陷发现率、增量验证成本，避免仅以代码生成速度衡量价值。</w:t>
      </w:r>
    </w:p>
    <w:p>
      <w:pPr>
        <w:pStyle w:val="Heading1"/>
      </w:pPr>
      <w:r>
        <w:t>六、启动与复现</w:t>
      </w:r>
    </w:p>
    <w:p>
      <w:pPr>
        <w:ind w:left="340"/>
      </w:pPr>
      <w:r>
        <w:t>python -m pip install -r requirements.txt</w:t>
      </w:r>
    </w:p>
    <w:p>
      <w:pPr>
        <w:ind w:left="340"/>
      </w:pPr>
      <w:r>
        <w:t>python run_studio.py</w:t>
      </w:r>
    </w:p>
    <w:p>
      <w:pPr>
        <w:ind w:left="340"/>
      </w:pPr>
      <w:r>
        <w:t>python -m pytest -q studio/tests/test_production.py studio/tests/test_production_http.py</w:t>
      </w:r>
    </w:p>
    <w:p>
      <w:pPr>
        <w:ind w:left="340"/>
      </w:pPr>
      <w:r>
        <w:t>python scripts/production_demo.py</w:t>
      </w:r>
    </w:p>
    <w:p>
      <w:r>
        <w:t>文档与程序遵循 Axiom 0.2 理论冻结基线以及 Axiom Studio 产品定位冻结基线。本报告只记录本轮已经运行得到的结果。</w:t>
      </w:r>
    </w:p>
    <w:sectPr w:rsidR="00FC693F" w:rsidRPr="0006063C" w:rsidSect="00034616">
      <w:footerReference w:type="default" r:id="rId9"/>
      <w:pgSz w:w="12240" w:h="15840"/>
      <w:pgMar w:top="1191" w:right="1417" w:bottom="107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Studio  |  软件构造与可信演化  |  V0.4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color w:val="1921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1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1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212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