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Axiom P2 第三批实施与验收报告</w:t>
      </w:r>
    </w:p>
    <w:p>
      <w:pPr>
        <w:pStyle w:val="Subtitle"/>
      </w:pPr>
      <w:r>
        <w:t>工程版本 0.5.0  ·  报告 V0.3  ·  2026 年 10 月 25 日</w:t>
      </w:r>
    </w:p>
    <w:p>
      <w:r>
        <w:t>适用范围：双组件有限抽象模型的同步行为组合验证；继承 P0、P1、P2a、P2b 工程成果。</w:t>
      </w:r>
    </w:p>
    <w:p>
      <w:pPr>
        <w:pStyle w:val="Heading1"/>
      </w:pPr>
      <w:r>
        <w:t>1  项目基线与阶段结论</w:t>
      </w:r>
    </w:p>
    <w:p>
      <w:r>
        <w:t>依据《Axiom 概要设计说明书 V1.0》与 AX-B01—AX-B09 冻结条款推进。本阶段解决 P2b 仅能检查组件间显式证据依赖、无法检查组合后可观察行为的问题。</w:t>
      </w:r>
    </w:p>
    <w:p>
      <w:r>
        <w:t>阶段结论：P2c 的受限同步抽象乘积检查与证据准入闭环已经实现并通过回归测试；完整 P2 尚未验收。模型结论不能代替真实 C++ 程序的实现级精化证明。</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EAEAEA"/>
          </w:tcPr>
          <w:p>
            <w:pPr>
              <w:spacing w:after="20"/>
            </w:pPr>
            <w:r>
              <w:rPr>
                <w:sz w:val="18"/>
              </w:rPr>
              <w:t>评价项</w:t>
            </w:r>
          </w:p>
        </w:tc>
        <w:tc>
          <w:tcPr>
            <w:tcW w:type="dxa" w:w="4702"/>
            <w:vAlign w:val="center"/>
            <w:shd w:fill="EAEAEA"/>
          </w:tcPr>
          <w:p>
            <w:pPr>
              <w:spacing w:after="20"/>
            </w:pPr>
            <w:r>
              <w:rPr>
                <w:sz w:val="18"/>
              </w:rPr>
              <w:t>已实现的结果</w:t>
            </w:r>
          </w:p>
        </w:tc>
      </w:tr>
      <w:tr>
        <w:tc>
          <w:tcPr>
            <w:tcW w:type="dxa" w:w="4702"/>
            <w:vAlign w:val="center"/>
          </w:tcPr>
          <w:p>
            <w:pPr>
              <w:spacing w:after="20"/>
            </w:pPr>
            <w:r>
              <w:rPr>
                <w:sz w:val="18"/>
              </w:rPr>
              <w:t>抽象组合</w:t>
            </w:r>
          </w:p>
        </w:tc>
        <w:tc>
          <w:tcPr>
            <w:tcW w:type="dxa" w:w="4702"/>
            <w:vAlign w:val="center"/>
          </w:tcPr>
          <w:p>
            <w:pPr>
              <w:spacing w:after="20"/>
            </w:pPr>
            <w:r>
              <w:rPr>
                <w:sz w:val="18"/>
              </w:rPr>
              <w:t>两个有限模型，全 Action 显式同步配对、相同输入域、输出相等</w:t>
            </w:r>
          </w:p>
        </w:tc>
      </w:tr>
      <w:tr>
        <w:tc>
          <w:tcPr>
            <w:tcW w:type="dxa" w:w="4702"/>
            <w:vAlign w:val="center"/>
          </w:tcPr>
          <w:p>
            <w:pPr>
              <w:spacing w:after="20"/>
            </w:pPr>
            <w:r>
              <w:rPr>
                <w:sz w:val="18"/>
              </w:rPr>
              <w:t>检查对象</w:t>
            </w:r>
          </w:p>
        </w:tc>
        <w:tc>
          <w:tcPr>
            <w:tcW w:type="dxa" w:w="4702"/>
            <w:vAlign w:val="center"/>
          </w:tcPr>
          <w:p>
            <w:pPr>
              <w:spacing w:after="20"/>
            </w:pPr>
            <w:r>
              <w:rPr>
                <w:sz w:val="18"/>
              </w:rPr>
              <w:t>乘积可达状态、跨组件关系不变量、同步输出条件</w:t>
            </w:r>
          </w:p>
        </w:tc>
      </w:tr>
      <w:tr>
        <w:tc>
          <w:tcPr>
            <w:tcW w:type="dxa" w:w="4702"/>
            <w:vAlign w:val="center"/>
          </w:tcPr>
          <w:p>
            <w:pPr>
              <w:spacing w:after="20"/>
            </w:pPr>
            <w:r>
              <w:rPr>
                <w:sz w:val="18"/>
              </w:rPr>
              <w:t>报告语义</w:t>
            </w:r>
          </w:p>
        </w:tc>
        <w:tc>
          <w:tcPr>
            <w:tcW w:type="dxa" w:w="4702"/>
            <w:vAlign w:val="center"/>
          </w:tcPr>
          <w:p>
            <w:pPr>
              <w:spacing w:after="20"/>
            </w:pPr>
            <w:r>
              <w:rPr>
                <w:sz w:val="18"/>
              </w:rPr>
              <w:t>Bounded / Violated / Unknown，失败时包含同步步骤反例</w:t>
            </w:r>
          </w:p>
        </w:tc>
      </w:tr>
      <w:tr>
        <w:tc>
          <w:tcPr>
            <w:tcW w:type="dxa" w:w="4702"/>
            <w:vAlign w:val="center"/>
          </w:tcPr>
          <w:p>
            <w:pPr>
              <w:spacing w:after="20"/>
            </w:pPr>
            <w:r>
              <w:rPr>
                <w:sz w:val="18"/>
              </w:rPr>
              <w:t>质量准入</w:t>
            </w:r>
          </w:p>
        </w:tc>
        <w:tc>
          <w:tcPr>
            <w:tcW w:type="dxa" w:w="4702"/>
            <w:vAlign w:val="center"/>
          </w:tcPr>
          <w:p>
            <w:pPr>
              <w:spacing w:after="20"/>
            </w:pPr>
            <w:r>
              <w:rPr>
                <w:sz w:val="18"/>
              </w:rPr>
              <w:t>两个局部模型证据 + 同版本组合证据缺一不可</w:t>
            </w:r>
          </w:p>
        </w:tc>
      </w:tr>
      <w:tr>
        <w:tc>
          <w:tcPr>
            <w:tcW w:type="dxa" w:w="4702"/>
            <w:vAlign w:val="center"/>
          </w:tcPr>
          <w:p>
            <w:pPr>
              <w:spacing w:after="20"/>
            </w:pPr>
            <w:r>
              <w:rPr>
                <w:sz w:val="18"/>
              </w:rPr>
              <w:t>工件完整性</w:t>
            </w:r>
          </w:p>
        </w:tc>
        <w:tc>
          <w:tcPr>
            <w:tcW w:type="dxa" w:w="4702"/>
            <w:vAlign w:val="center"/>
          </w:tcPr>
          <w:p>
            <w:pPr>
              <w:spacing w:after="20"/>
            </w:pPr>
            <w:r>
              <w:rPr>
                <w:sz w:val="18"/>
              </w:rPr>
              <w:t>状态模型、同步协议、证据报告和工具代码摘要绑定；本地审计</w:t>
            </w:r>
          </w:p>
        </w:tc>
      </w:tr>
      <w:tr>
        <w:tc>
          <w:tcPr>
            <w:tcW w:type="dxa" w:w="4702"/>
            <w:vAlign w:val="center"/>
          </w:tcPr>
          <w:p>
            <w:pPr>
              <w:spacing w:after="20"/>
            </w:pPr>
            <w:r>
              <w:rPr>
                <w:sz w:val="18"/>
              </w:rPr>
              <w:t>不覆盖的内容</w:t>
            </w:r>
          </w:p>
        </w:tc>
        <w:tc>
          <w:tcPr>
            <w:tcW w:type="dxa" w:w="4702"/>
            <w:vAlign w:val="center"/>
          </w:tcPr>
          <w:p>
            <w:pPr>
              <w:spacing w:after="20"/>
            </w:pPr>
            <w:r>
              <w:rPr>
                <w:sz w:val="18"/>
              </w:rPr>
              <w:t>任意交错、多组件网络执行、C++ 组合精化、不可信代码沙箱</w:t>
            </w:r>
          </w:p>
        </w:tc>
      </w:tr>
    </w:tbl>
    <w:p>
      <w:pPr>
        <w:spacing w:after="0"/>
      </w:pPr>
    </w:p>
    <w:p>
      <w:pPr>
        <w:pStyle w:val="Heading1"/>
      </w:pPr>
      <w:r>
        <w:t>2  本轮开发成果</w:t>
      </w:r>
    </w:p>
    <w:tbl>
      <w:tblPr>
        <w:tblStyle w:val="TableGrid"/>
        <w:tblW w:type="auto" w:w="0"/>
        <w:jc w:val="center"/>
        <w:tblLook w:firstColumn="1" w:firstRow="1" w:lastColumn="0" w:lastRow="0" w:noHBand="0" w:noVBand="1" w:val="04A0"/>
      </w:tblPr>
      <w:tblGrid>
        <w:gridCol w:w="4702"/>
        <w:gridCol w:w="4702"/>
      </w:tblGrid>
      <w:tr>
        <w:tc>
          <w:tcPr>
            <w:tcW w:type="dxa" w:w="4702"/>
            <w:vAlign w:val="center"/>
            <w:shd w:fill="EAEAEA"/>
          </w:tcPr>
          <w:p>
            <w:pPr>
              <w:spacing w:after="20"/>
            </w:pPr>
            <w:r>
              <w:rPr>
                <w:sz w:val="18"/>
              </w:rPr>
              <w:t>模块/工件</w:t>
            </w:r>
          </w:p>
        </w:tc>
        <w:tc>
          <w:tcPr>
            <w:tcW w:type="dxa" w:w="4702"/>
            <w:vAlign w:val="center"/>
            <w:shd w:fill="EAEAEA"/>
          </w:tcPr>
          <w:p>
            <w:pPr>
              <w:spacing w:after="20"/>
            </w:pPr>
            <w:r>
              <w:rPr>
                <w:sz w:val="18"/>
              </w:rPr>
              <w:t>新增职责</w:t>
            </w:r>
          </w:p>
        </w:tc>
      </w:tr>
      <w:tr>
        <w:tc>
          <w:tcPr>
            <w:tcW w:type="dxa" w:w="4702"/>
            <w:vAlign w:val="center"/>
          </w:tcPr>
          <w:p>
            <w:pPr>
              <w:spacing w:after="20"/>
            </w:pPr>
            <w:r>
              <w:rPr>
                <w:sz w:val="18"/>
              </w:rPr>
              <w:t>src/axiom/product.py</w:t>
            </w:r>
          </w:p>
        </w:tc>
        <w:tc>
          <w:tcPr>
            <w:tcW w:type="dxa" w:w="4702"/>
            <w:vAlign w:val="center"/>
          </w:tcPr>
          <w:p>
            <w:pPr>
              <w:spacing w:after="20"/>
            </w:pPr>
            <w:r>
              <w:rPr>
                <w:sz w:val="18"/>
              </w:rPr>
              <w:t>规范化 manifest、动作配对验证、类型化关系性质、同步乘积 BFS 穷举及反例生成</w:t>
            </w:r>
          </w:p>
        </w:tc>
      </w:tr>
      <w:tr>
        <w:tc>
          <w:tcPr>
            <w:tcW w:type="dxa" w:w="4702"/>
            <w:vAlign w:val="center"/>
          </w:tcPr>
          <w:p>
            <w:pPr>
              <w:spacing w:after="20"/>
            </w:pPr>
            <w:r>
              <w:rPr>
                <w:sz w:val="18"/>
              </w:rPr>
              <w:t>src/axiom/product_store.py</w:t>
            </w:r>
          </w:p>
        </w:tc>
        <w:tc>
          <w:tcPr>
            <w:tcW w:type="dxa" w:w="4702"/>
            <w:vAlign w:val="center"/>
          </w:tcPr>
          <w:p>
            <w:pPr>
              <w:spacing w:after="20"/>
            </w:pPr>
            <w:r>
              <w:rPr>
                <w:sz w:val="18"/>
              </w:rPr>
              <w:t>Bounded 报告重放、内容寻址证据、同步组合 Gate</w:t>
            </w:r>
          </w:p>
        </w:tc>
      </w:tr>
      <w:tr>
        <w:tc>
          <w:tcPr>
            <w:tcW w:type="dxa" w:w="4702"/>
            <w:vAlign w:val="center"/>
          </w:tcPr>
          <w:p>
            <w:pPr>
              <w:spacing w:after="20"/>
            </w:pPr>
            <w:r>
              <w:rPr>
                <w:sz w:val="18"/>
              </w:rPr>
              <w:t>src/axiom/audit.py</w:t>
            </w:r>
          </w:p>
        </w:tc>
        <w:tc>
          <w:tcPr>
            <w:tcW w:type="dxa" w:w="4702"/>
            <w:vAlign w:val="center"/>
          </w:tcPr>
          <w:p>
            <w:pPr>
              <w:spacing w:after="20"/>
            </w:pPr>
            <w:r>
              <w:rPr>
                <w:sz w:val="18"/>
              </w:rPr>
              <w:t>扩充产品证据索引、校验工具摘要及内容寻址对象一致性</w:t>
            </w:r>
          </w:p>
        </w:tc>
      </w:tr>
      <w:tr>
        <w:tc>
          <w:tcPr>
            <w:tcW w:type="dxa" w:w="4702"/>
            <w:vAlign w:val="center"/>
          </w:tcPr>
          <w:p>
            <w:pPr>
              <w:spacing w:after="20"/>
            </w:pPr>
            <w:r>
              <w:rPr>
                <w:sz w:val="18"/>
              </w:rPr>
              <w:t>src/axiom/cli.py</w:t>
            </w:r>
          </w:p>
        </w:tc>
        <w:tc>
          <w:tcPr>
            <w:tcW w:type="dxa" w:w="4702"/>
            <w:vAlign w:val="center"/>
          </w:tcPr>
          <w:p>
            <w:pPr>
              <w:spacing w:after="20"/>
            </w:pPr>
            <w:r>
              <w:rPr>
                <w:sz w:val="18"/>
              </w:rPr>
              <w:t>product-verify、product-gate 命令</w:t>
            </w:r>
          </w:p>
        </w:tc>
      </w:tr>
      <w:tr>
        <w:tc>
          <w:tcPr>
            <w:tcW w:type="dxa" w:w="4702"/>
            <w:vAlign w:val="center"/>
          </w:tcPr>
          <w:p>
            <w:pPr>
              <w:spacing w:after="20"/>
            </w:pPr>
            <w:r>
              <w:rPr>
                <w:sz w:val="18"/>
              </w:rPr>
              <w:t>examples/product/</w:t>
            </w:r>
          </w:p>
        </w:tc>
        <w:tc>
          <w:tcPr>
            <w:tcW w:type="dxa" w:w="4702"/>
            <w:vAlign w:val="center"/>
          </w:tcPr>
          <w:p>
            <w:pPr>
              <w:spacing w:after="20"/>
            </w:pPr>
            <w:r>
              <w:rPr>
                <w:sz w:val="18"/>
              </w:rPr>
              <w:t>正确镜像、状态缺陷、输出缺陷样例及 manifest</w:t>
            </w:r>
          </w:p>
        </w:tc>
      </w:tr>
      <w:tr>
        <w:tc>
          <w:tcPr>
            <w:tcW w:type="dxa" w:w="4702"/>
            <w:vAlign w:val="center"/>
          </w:tcPr>
          <w:p>
            <w:pPr>
              <w:spacing w:after="20"/>
            </w:pPr>
            <w:r>
              <w:rPr>
                <w:sz w:val="18"/>
              </w:rPr>
              <w:t>tests/test_product_p2c.py</w:t>
            </w:r>
          </w:p>
        </w:tc>
        <w:tc>
          <w:tcPr>
            <w:tcW w:type="dxa" w:w="4702"/>
            <w:vAlign w:val="center"/>
          </w:tcPr>
          <w:p>
            <w:pPr>
              <w:spacing w:after="20"/>
            </w:pPr>
            <w:r>
              <w:rPr>
                <w:sz w:val="18"/>
              </w:rPr>
              <w:t>属性违反、输出冲突、资源上限、版本失效、伪造报告、路径攻击等回归测试</w:t>
            </w:r>
          </w:p>
        </w:tc>
      </w:tr>
    </w:tbl>
    <w:p>
      <w:pPr>
        <w:spacing w:after="0"/>
      </w:pPr>
    </w:p>
    <w:p>
      <w:pPr>
        <w:pStyle w:val="Heading1"/>
      </w:pPr>
      <w:r>
        <w:t>3  关键验证结果</w:t>
      </w:r>
    </w:p>
    <w:p>
      <w:r>
        <w:t>完整自动化回归：96 passed in 7.06s。原有 P1 的真实 C++ 演示仍正常执行，故障候选中的错误映射、边界错误、隐藏状态和整数溢出均按预期被检出。</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shd w:fill="EAEAEA"/>
          </w:tcPr>
          <w:p>
            <w:pPr>
              <w:spacing w:after="20"/>
            </w:pPr>
            <w:r>
              <w:rPr>
                <w:sz w:val="18"/>
              </w:rPr>
              <w:t>验证对象</w:t>
            </w:r>
          </w:p>
        </w:tc>
        <w:tc>
          <w:tcPr>
            <w:tcW w:type="dxa" w:w="3135"/>
            <w:vAlign w:val="center"/>
            <w:shd w:fill="EAEAEA"/>
          </w:tcPr>
          <w:p>
            <w:pPr>
              <w:spacing w:after="20"/>
            </w:pPr>
            <w:r>
              <w:rPr>
                <w:sz w:val="18"/>
              </w:rPr>
              <w:t>结果</w:t>
            </w:r>
          </w:p>
        </w:tc>
        <w:tc>
          <w:tcPr>
            <w:tcW w:type="dxa" w:w="3135"/>
            <w:vAlign w:val="center"/>
            <w:shd w:fill="EAEAEA"/>
          </w:tcPr>
          <w:p>
            <w:pPr>
              <w:spacing w:after="20"/>
            </w:pPr>
            <w:r>
              <w:rPr>
                <w:sz w:val="18"/>
              </w:rPr>
              <w:t>可支持的结论</w:t>
            </w:r>
          </w:p>
        </w:tc>
      </w:tr>
      <w:tr>
        <w:tc>
          <w:tcPr>
            <w:tcW w:type="dxa" w:w="3135"/>
            <w:vAlign w:val="center"/>
          </w:tcPr>
          <w:p>
            <w:pPr>
              <w:spacing w:after="20"/>
            </w:pPr>
            <w:r>
              <w:rPr>
                <w:sz w:val="18"/>
              </w:rPr>
              <w:t>Source 局部模型</w:t>
            </w:r>
          </w:p>
        </w:tc>
        <w:tc>
          <w:tcPr>
            <w:tcW w:type="dxa" w:w="3135"/>
            <w:vAlign w:val="center"/>
          </w:tcPr>
          <w:p>
            <w:pPr>
              <w:spacing w:after="20"/>
            </w:pPr>
            <w:r>
              <w:rPr>
                <w:sz w:val="18"/>
              </w:rPr>
              <w:t>Bounded</w:t>
            </w:r>
          </w:p>
        </w:tc>
        <w:tc>
          <w:tcPr>
            <w:tcW w:type="dxa" w:w="3135"/>
            <w:vAlign w:val="center"/>
          </w:tcPr>
          <w:p>
            <w:pPr>
              <w:spacing w:after="20"/>
            </w:pPr>
            <w:r>
              <w:rPr>
                <w:sz w:val="18"/>
              </w:rPr>
              <w:t>局部状态性质在其有限抽象域内得到穷举检查</w:t>
            </w:r>
          </w:p>
        </w:tc>
      </w:tr>
      <w:tr>
        <w:tc>
          <w:tcPr>
            <w:tcW w:type="dxa" w:w="3135"/>
            <w:vAlign w:val="center"/>
          </w:tcPr>
          <w:p>
            <w:pPr>
              <w:spacing w:after="20"/>
            </w:pPr>
            <w:r>
              <w:rPr>
                <w:sz w:val="18"/>
              </w:rPr>
              <w:t>Mirror 局部模型</w:t>
            </w:r>
          </w:p>
        </w:tc>
        <w:tc>
          <w:tcPr>
            <w:tcW w:type="dxa" w:w="3135"/>
            <w:vAlign w:val="center"/>
          </w:tcPr>
          <w:p>
            <w:pPr>
              <w:spacing w:after="20"/>
            </w:pPr>
            <w:r>
              <w:rPr>
                <w:sz w:val="18"/>
              </w:rPr>
              <w:t>Bounded</w:t>
            </w:r>
          </w:p>
        </w:tc>
        <w:tc>
          <w:tcPr>
            <w:tcW w:type="dxa" w:w="3135"/>
            <w:vAlign w:val="center"/>
          </w:tcPr>
          <w:p>
            <w:pPr>
              <w:spacing w:after="20"/>
            </w:pPr>
            <w:r>
              <w:rPr>
                <w:sz w:val="18"/>
              </w:rPr>
              <w:t>局部状态性质在其有限抽象域内得到穷举检查</w:t>
            </w:r>
          </w:p>
        </w:tc>
      </w:tr>
      <w:tr>
        <w:tc>
          <w:tcPr>
            <w:tcW w:type="dxa" w:w="3135"/>
            <w:vAlign w:val="center"/>
          </w:tcPr>
          <w:p>
            <w:pPr>
              <w:spacing w:after="20"/>
            </w:pPr>
            <w:r>
              <w:rPr>
                <w:sz w:val="18"/>
              </w:rPr>
              <w:t>正确同步组合</w:t>
            </w:r>
          </w:p>
        </w:tc>
        <w:tc>
          <w:tcPr>
            <w:tcW w:type="dxa" w:w="3135"/>
            <w:vAlign w:val="center"/>
          </w:tcPr>
          <w:p>
            <w:pPr>
              <w:spacing w:after="20"/>
            </w:pPr>
            <w:r>
              <w:rPr>
                <w:sz w:val="18"/>
              </w:rPr>
              <w:t>Bounded；可达乘积状态 2</w:t>
            </w:r>
          </w:p>
        </w:tc>
        <w:tc>
          <w:tcPr>
            <w:tcW w:type="dxa" w:w="3135"/>
            <w:vAlign w:val="center"/>
          </w:tcPr>
          <w:p>
            <w:pPr>
              <w:spacing w:after="20"/>
            </w:pPr>
            <w:r>
              <w:rPr>
                <w:sz w:val="18"/>
              </w:rPr>
              <w:t>关系不变量与输出要求在给定同步组合模型内满足</w:t>
            </w:r>
          </w:p>
        </w:tc>
      </w:tr>
      <w:tr>
        <w:tc>
          <w:tcPr>
            <w:tcW w:type="dxa" w:w="3135"/>
            <w:vAlign w:val="center"/>
          </w:tcPr>
          <w:p>
            <w:pPr>
              <w:spacing w:after="20"/>
            </w:pPr>
            <w:r>
              <w:rPr>
                <w:sz w:val="18"/>
              </w:rPr>
              <w:t>错误 Mirror 的局部模型</w:t>
            </w:r>
          </w:p>
        </w:tc>
        <w:tc>
          <w:tcPr>
            <w:tcW w:type="dxa" w:w="3135"/>
            <w:vAlign w:val="center"/>
          </w:tcPr>
          <w:p>
            <w:pPr>
              <w:spacing w:after="20"/>
            </w:pPr>
            <w:r>
              <w:rPr>
                <w:sz w:val="18"/>
              </w:rPr>
              <w:t>Bounded</w:t>
            </w:r>
          </w:p>
        </w:tc>
        <w:tc>
          <w:tcPr>
            <w:tcW w:type="dxa" w:w="3135"/>
            <w:vAlign w:val="center"/>
          </w:tcPr>
          <w:p>
            <w:pPr>
              <w:spacing w:after="20"/>
            </w:pPr>
            <w:r>
              <w:rPr>
                <w:sz w:val="18"/>
              </w:rPr>
              <w:t>单独看两个模块无法暴露关系错误</w:t>
            </w:r>
          </w:p>
        </w:tc>
      </w:tr>
      <w:tr>
        <w:tc>
          <w:tcPr>
            <w:tcW w:type="dxa" w:w="3135"/>
            <w:vAlign w:val="center"/>
          </w:tcPr>
          <w:p>
            <w:pPr>
              <w:spacing w:after="20"/>
            </w:pPr>
            <w:r>
              <w:rPr>
                <w:sz w:val="18"/>
              </w:rPr>
              <w:t>错误同步组合</w:t>
            </w:r>
          </w:p>
        </w:tc>
        <w:tc>
          <w:tcPr>
            <w:tcW w:type="dxa" w:w="3135"/>
            <w:vAlign w:val="center"/>
          </w:tcPr>
          <w:p>
            <w:pPr>
              <w:spacing w:after="20"/>
            </w:pPr>
            <w:r>
              <w:rPr>
                <w:sz w:val="18"/>
              </w:rPr>
              <w:t>Violated；E_PRODUCT_PROPERTY</w:t>
            </w:r>
          </w:p>
        </w:tc>
        <w:tc>
          <w:tcPr>
            <w:tcW w:type="dxa" w:w="3135"/>
            <w:vAlign w:val="center"/>
          </w:tcPr>
          <w:p>
            <w:pPr>
              <w:spacing w:after="20"/>
            </w:pPr>
            <w:r>
              <w:rPr>
                <w:sz w:val="18"/>
              </w:rPr>
              <w:t>得到一次同步动作后的组合反例</w:t>
            </w:r>
          </w:p>
        </w:tc>
      </w:tr>
      <w:tr>
        <w:tc>
          <w:tcPr>
            <w:tcW w:type="dxa" w:w="3135"/>
            <w:vAlign w:val="center"/>
          </w:tcPr>
          <w:p>
            <w:pPr>
              <w:spacing w:after="20"/>
            </w:pPr>
            <w:r>
              <w:rPr>
                <w:sz w:val="18"/>
              </w:rPr>
              <w:t>证据篡改或规格变动</w:t>
            </w:r>
          </w:p>
        </w:tc>
        <w:tc>
          <w:tcPr>
            <w:tcW w:type="dxa" w:w="3135"/>
            <w:vAlign w:val="center"/>
          </w:tcPr>
          <w:p>
            <w:pPr>
              <w:spacing w:after="20"/>
            </w:pPr>
            <w:r>
              <w:rPr>
                <w:sz w:val="18"/>
              </w:rPr>
              <w:t>Blocked</w:t>
            </w:r>
          </w:p>
        </w:tc>
        <w:tc>
          <w:tcPr>
            <w:tcW w:type="dxa" w:w="3135"/>
            <w:vAlign w:val="center"/>
          </w:tcPr>
          <w:p>
            <w:pPr>
              <w:spacing w:after="20"/>
            </w:pPr>
            <w:r>
              <w:rPr>
                <w:sz w:val="18"/>
              </w:rPr>
              <w:t>过期或损坏证据不会被组合 Gate 直接使用</w:t>
            </w:r>
          </w:p>
        </w:tc>
      </w:tr>
      <w:tr>
        <w:tc>
          <w:tcPr>
            <w:tcW w:type="dxa" w:w="3135"/>
            <w:vAlign w:val="center"/>
          </w:tcPr>
          <w:p>
            <w:pPr>
              <w:spacing w:after="20"/>
            </w:pPr>
            <w:r>
              <w:rPr>
                <w:sz w:val="18"/>
              </w:rPr>
              <w:t>本地完整性审计</w:t>
            </w:r>
          </w:p>
        </w:tc>
        <w:tc>
          <w:tcPr>
            <w:tcW w:type="dxa" w:w="3135"/>
            <w:vAlign w:val="center"/>
          </w:tcPr>
          <w:p>
            <w:pPr>
              <w:spacing w:after="20"/>
            </w:pPr>
            <w:r>
              <w:rPr>
                <w:sz w:val="18"/>
              </w:rPr>
              <w:t>Consistent；2 条组合运行记录</w:t>
            </w:r>
          </w:p>
        </w:tc>
        <w:tc>
          <w:tcPr>
            <w:tcW w:type="dxa" w:w="3135"/>
            <w:vAlign w:val="center"/>
          </w:tcPr>
          <w:p>
            <w:pPr>
              <w:spacing w:after="20"/>
            </w:pPr>
            <w:r>
              <w:rPr>
                <w:sz w:val="18"/>
              </w:rPr>
              <w:t>目前保存的本地工件与索引一致，不构成恶意攻击安全保证</w:t>
            </w:r>
          </w:p>
        </w:tc>
      </w:tr>
    </w:tbl>
    <w:p>
      <w:pPr>
        <w:spacing w:after="0"/>
      </w:pPr>
    </w:p>
    <w:p>
      <w:pPr>
        <w:pStyle w:val="Heading1"/>
      </w:pPr>
      <w:r>
        <w:t>4  关键反例与工程意义</w:t>
      </w:r>
    </w:p>
    <w:p>
      <w:r>
        <w:t>初始 Source.on=false、Mirror.on=false；共同执行 set(desired=false)，两个 Action 的输出均为 true。正确组件的后继状态保持 false，错误 Mirror 的后继状态变为 true，导致 Source.on == Mirror.on 被违反。</w:t>
      </w:r>
    </w:p>
    <w:p>
      <w:r>
        <w:t>这验证了 P2c 相比 P2b 的增量能力：两个独立模型全部通过局部检查，仍然可能存在跨组件行为不一致；同步乘积关系检查可在明确的语义范围内识别这种问题。</w:t>
      </w:r>
    </w:p>
    <w:p>
      <w:pPr>
        <w:pStyle w:val="Heading1"/>
      </w:pPr>
      <w:r>
        <w:t>5  可信边界与风险</w:t>
      </w:r>
    </w:p>
    <w:p>
      <w:r>
        <w:t>本版只检查双模型原子同步步骤。未配对 Action 一律拒绝；任意交错、异步消息、失败重试与环境扰动未建模。有限穷举的 Bounded 是模型级结论。</w:t>
      </w:r>
    </w:p>
    <w:p>
      <w:r>
        <w:t>证据由本地内容寻址文件与 SQLite 保存，能够发现一般内容篡改及过期绑定；具有相同工作区写权限的攻击者仍可能伪造全套一致内容，故尚不具备独立信任根。</w:t>
      </w:r>
    </w:p>
    <w:p>
      <w:r>
        <w:t>真实 C++ 执行仍需 --trusted-local，未提供经过审计的隔离沙箱。当前 Gate 的 Approved 仅表示 finite-abstract-product-integration-check，绝不代表生产发布许可。</w:t>
      </w:r>
    </w:p>
    <w:p>
      <w:pPr>
        <w:pStyle w:val="Heading1"/>
      </w:pPr>
      <w:r>
        <w:t>6  下一阶段顺序</w:t>
      </w:r>
    </w:p>
    <w:p>
      <w:r>
        <w:t>（1）优先完成不可信代码安全执行隔离、独立证据签名与可信验证器部署；（2）扩展受控交错与三组件以上组合语义；（3）明确 C++ 接口/状态抽象映射及实现级证据；（4）对连续软件演化开展完整验证与增量验证的成本及漏检风险对照实验。</w:t>
      </w:r>
    </w:p>
    <w:p>
      <w:r>
        <w:t>Axiom 0.2 理论基线继续冻结，后续调整仅限概要设计允许的工程实现层；任何理论内核变更须单独提出。</w:t>
      </w:r>
    </w:p>
    <w:sectPr w:rsidR="00FC693F" w:rsidRPr="0006063C" w:rsidSect="00034616">
      <w:headerReference w:type="default" r:id="rId9"/>
      <w:footerReference w:type="default" r:id="rId10"/>
      <w:pgSz w:w="12240" w:h="15840"/>
      <w:pgMar w:top="1134" w:right="1389" w:bottom="1077"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Axiom 0.2 冻结理论基线   |   HLD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F5F5F"/>
        <w:sz w:val="16"/>
      </w:rPr>
      <w:t>AXIOM · 工程实施文档                                    P2c / 0.5.0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Noto Sans CJK SC" w:hAnsi="Noto Sans CJK SC" w:eastAsia="Noto Sans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