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Axiom P2 可信增量演化</w:t>
      </w:r>
    </w:p>
    <w:p>
      <w:pPr>
        <w:pStyle w:val="Subtitle"/>
      </w:pPr>
      <w:r>
        <w:t>第二批实施与验收报告  V0.2</w:t>
      </w:r>
    </w:p>
    <w:p>
      <w:r>
        <w:t>设计依据：Axiom 0.2 冻结理论基线（AX-B01—AX-B09）；概要设计说明书 V1.0。</w:t>
      </w:r>
    </w:p>
    <w:p>
      <w:r>
        <w:t>完成日期：2026 年 10 月 25 日。工程版本：axiom-prototype 0.4.0。定位：P2 第二批研究原型，不构成完整 P2 或生产安全验收。</w:t>
      </w:r>
    </w:p>
    <w:p>
      <w:pPr>
        <w:pStyle w:val="Heading1"/>
      </w:pPr>
      <w:r>
        <w:t>一、阶段结论</w:t>
      </w:r>
    </w:p>
    <w:p>
      <w:r>
        <w:t>在 P0/P1/P2 第一批代码基础上实现跨抽象模型的显式证据依赖准入、本地证据一致性审计、伪造 Bounded 报告重放核查，以及 12 次连续规格变更实验。原有代码与既有 CLI 保持兼容。合并自动化测试 77/77 通过，端到端命令行复现得到预期结果。</w:t>
      </w:r>
    </w:p>
    <w:p>
      <w:r>
        <w:t>本版跨模型功能严格定义为“集成准备状态”：只检查多个独立有限模型的验证结果及其声明的性质依赖，不验证组件运行组合、接口调用映射、环境假设的充分性或真实 C++ 互操作。不会将其称作已证明的 assume-guarantee 组合正确性。</w:t>
      </w:r>
    </w:p>
    <w:p>
      <w:pPr>
        <w:pStyle w:val="Heading1"/>
      </w:pPr>
      <w:r>
        <w:t>二、实现范围与落点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93"/>
        <w:gridCol w:w="3293"/>
        <w:gridCol w:w="3293"/>
      </w:tblGrid>
      <w:tr>
        <w:tc>
          <w:tcPr>
            <w:tcW w:type="dxa" w:w="3293"/>
            <w:shd w:fill="E0EBF6"/>
            <w:vAlign w:val="center"/>
          </w:tcPr>
          <w:p>
            <w:pPr>
              <w:spacing w:after="40" w:before="40"/>
            </w:pPr>
            <w:r>
              <w:rPr>
                <w:b/>
                <w:sz w:val="18"/>
              </w:rPr>
              <w:t>模块</w:t>
            </w:r>
          </w:p>
        </w:tc>
        <w:tc>
          <w:tcPr>
            <w:tcW w:type="dxa" w:w="3293"/>
            <w:shd w:fill="E0EBF6"/>
            <w:vAlign w:val="center"/>
          </w:tcPr>
          <w:p>
            <w:pPr>
              <w:spacing w:after="40" w:before="40"/>
            </w:pPr>
            <w:r>
              <w:rPr>
                <w:b/>
                <w:sz w:val="18"/>
              </w:rPr>
              <w:t>新增/强化功能</w:t>
            </w:r>
          </w:p>
        </w:tc>
        <w:tc>
          <w:tcPr>
            <w:tcW w:type="dxa" w:w="3293"/>
            <w:shd w:fill="E0EBF6"/>
            <w:vAlign w:val="center"/>
          </w:tcPr>
          <w:p>
            <w:pPr>
              <w:spacing w:after="40" w:before="40"/>
            </w:pPr>
            <w:r>
              <w:rPr>
                <w:b/>
                <w:sz w:val="18"/>
              </w:rPr>
              <w:t>保证边界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composition.py</w:t>
            </w:r>
          </w:p>
        </w:tc>
        <w:tc>
          <w:tcPr>
            <w:tcW w:type="dxa" w:w="3293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规格清单解析、导出性质、证据依赖、环路检测、Ready/Blocked 准入</w:t>
            </w:r>
          </w:p>
        </w:tc>
        <w:tc>
          <w:tcPr>
            <w:tcW w:type="dxa" w:w="3293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仅检查独立有限模型证据与声明的依赖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audit.py</w:t>
            </w:r>
          </w:p>
        </w:tc>
        <w:tc>
          <w:tcPr>
            <w:tcW w:type="dxa" w:w="3293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内容摘要、证据—报告—索引关联；C++ 二进制、Gate、Assessment 一致性</w:t>
            </w:r>
          </w:p>
        </w:tc>
        <w:tc>
          <w:tcPr>
            <w:tcW w:type="dxa" w:w="3293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同权限本地一致性检查，非不可抵赖证明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store.py</w:t>
            </w:r>
          </w:p>
        </w:tc>
        <w:tc>
          <w:tcPr>
            <w:tcW w:type="dxa" w:w="3293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Bounded 报告由验证器重放并比对；严格对象摘要格式</w:t>
            </w:r>
          </w:p>
        </w:tc>
        <w:tc>
          <w:tcPr>
            <w:tcW w:type="dxa" w:w="3293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避免简单报告注入，无法防同权限完全伪造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CLI</w:t>
            </w:r>
          </w:p>
        </w:tc>
        <w:tc>
          <w:tcPr>
            <w:tcW w:type="dxa" w:w="3293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compose-gate、audit 两条新命令</w:t>
            </w:r>
          </w:p>
        </w:tc>
        <w:tc>
          <w:tcPr>
            <w:tcW w:type="dxa" w:w="3293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原有 P0/P1/P2 CLI 保持可用</w:t>
            </w:r>
          </w:p>
        </w:tc>
      </w:tr>
      <w:tr>
        <w:tc>
          <w:tcPr>
            <w:tcW w:type="dxa" w:w="3293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连续演化实验</w:t>
            </w:r>
          </w:p>
        </w:tc>
        <w:tc>
          <w:tcPr>
            <w:tcW w:type="dxa" w:w="3293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12 次新增性质的证据复用簿记</w:t>
            </w:r>
          </w:p>
        </w:tc>
        <w:tc>
          <w:tcPr>
            <w:tcW w:type="dxa" w:w="3293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只统计可复用义务，不声称速度提升</w:t>
            </w:r>
          </w:p>
        </w:tc>
      </w:tr>
    </w:tbl>
    <w:p/>
    <w:p>
      <w:pPr>
        <w:pStyle w:val="Heading1"/>
      </w:pPr>
      <w:r>
        <w:t>三、关键语义决策</w:t>
      </w:r>
    </w:p>
    <w:p>
      <w:r>
        <w:t>（1）每个组件通过规范化 Semantic IR 的完整模型验证 Gate；导出 Property 必须实际存在于对应模型且有当前适用证据。仅验证某个导出性质而忽略无效 Action，不允许满足组件准入。</w:t>
      </w:r>
    </w:p>
    <w:p>
      <w:r>
        <w:t>（2）消费者与提供者以 provider/consumer/property 三元组建立显式“证据依赖”。重复、未知、越界及循环依赖拒绝。该依赖关系不是已证明的行为组合规则；目前不自动推断组件调用接口。</w:t>
      </w:r>
    </w:p>
    <w:p>
      <w:r>
        <w:t>（3）复用逻辑继续遵循完整行为内核一致、性质指纹一致、有限穷举证据范围及工具条件匹配的保守策略。Action 改变时，不因字段名称未变而复用旧证据。</w:t>
      </w:r>
    </w:p>
    <w:p>
      <w:r>
        <w:t>（4）验证结果、证据适用性、质量准入结论严格区分。Ready、Approved 及 Consistent 只能按各自 target 解释。</w:t>
      </w:r>
    </w:p>
    <w:p>
      <w:pPr>
        <w:pStyle w:val="Heading1"/>
      </w:pPr>
      <w:r>
        <w:t>四、实际验收结果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4939"/>
            <w:shd w:fill="E0EBF6"/>
            <w:vAlign w:val="center"/>
          </w:tcPr>
          <w:p>
            <w:pPr>
              <w:spacing w:after="40" w:before="40"/>
            </w:pPr>
            <w:r>
              <w:rPr>
                <w:b/>
                <w:sz w:val="18"/>
              </w:rPr>
              <w:t>验证场景</w:t>
            </w:r>
          </w:p>
        </w:tc>
        <w:tc>
          <w:tcPr>
            <w:tcW w:type="dxa" w:w="4939"/>
            <w:shd w:fill="E0EBF6"/>
            <w:vAlign w:val="center"/>
          </w:tcPr>
          <w:p>
            <w:pPr>
              <w:spacing w:after="40" w:before="40"/>
            </w:pPr>
            <w:r>
              <w:rPr>
                <w:b/>
                <w:sz w:val="18"/>
              </w:rPr>
              <w:t>实际结果</w:t>
            </w:r>
          </w:p>
        </w:tc>
      </w:tr>
      <w:tr>
        <w:tc>
          <w:tcPr>
            <w:tcW w:type="dxa" w:w="4939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P0—P2b 合并自动化测试</w:t>
            </w:r>
          </w:p>
        </w:tc>
        <w:tc>
          <w:tcPr>
            <w:tcW w:type="dxa" w:w="4939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77/77 通过，含 P0/P1/P2 已有 52 项</w:t>
            </w:r>
          </w:p>
        </w:tc>
      </w:tr>
      <w:tr>
        <w:tc>
          <w:tcPr>
            <w:tcW w:type="dxa" w:w="4939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双模型初始无证据</w:t>
            </w:r>
          </w:p>
        </w:tc>
        <w:tc>
          <w:tcPr>
            <w:tcW w:type="dxa" w:w="4939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compose-gate 返回 Blocked，退出码 4</w:t>
            </w:r>
          </w:p>
        </w:tc>
      </w:tr>
      <w:tr>
        <w:tc>
          <w:tcPr>
            <w:tcW w:type="dxa" w:w="4939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两个模型分别完成有限验证</w:t>
            </w:r>
          </w:p>
        </w:tc>
        <w:tc>
          <w:tcPr>
            <w:tcW w:type="dxa" w:w="4939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compose-gate 返回 Ready</w:t>
            </w:r>
          </w:p>
        </w:tc>
      </w:tr>
      <w:tr>
        <w:tc>
          <w:tcPr>
            <w:tcW w:type="dxa" w:w="4939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向账户模型新增独立不变量</w:t>
            </w:r>
          </w:p>
        </w:tc>
        <w:tc>
          <w:tcPr>
            <w:tcW w:type="dxa" w:w="4939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保留 5 项旧义务；新增 1 项未满足，Gate 阻断</w:t>
            </w:r>
          </w:p>
        </w:tc>
      </w:tr>
      <w:tr>
        <w:tc>
          <w:tcPr>
            <w:tcW w:type="dxa" w:w="4939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新增不变量完成验证后</w:t>
            </w:r>
          </w:p>
        </w:tc>
        <w:tc>
          <w:tcPr>
            <w:tcW w:type="dxa" w:w="4939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两模型 Gate 恢复 Ready</w:t>
            </w:r>
          </w:p>
        </w:tc>
      </w:tr>
      <w:tr>
        <w:tc>
          <w:tcPr>
            <w:tcW w:type="dxa" w:w="4939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变更账户模型 Action</w:t>
            </w:r>
          </w:p>
        </w:tc>
        <w:tc>
          <w:tcPr>
            <w:tcW w:type="dxa" w:w="4939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6 项验证义务重新进入 Missing，Gate 阻断</w:t>
            </w:r>
          </w:p>
        </w:tc>
      </w:tr>
      <w:tr>
        <w:tc>
          <w:tcPr>
            <w:tcW w:type="dxa" w:w="4939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12 次连续新增独立性质</w:t>
            </w:r>
          </w:p>
        </w:tc>
        <w:tc>
          <w:tcPr>
            <w:tcW w:type="dxa" w:w="4939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每次可复用历史未变义务；每次新增 1 项待验证</w:t>
            </w:r>
          </w:p>
        </w:tc>
      </w:tr>
      <w:tr>
        <w:tc>
          <w:tcPr>
            <w:tcW w:type="dxa" w:w="4939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证据对象/数据库索引篡改测试</w:t>
            </w:r>
          </w:p>
        </w:tc>
        <w:tc>
          <w:tcPr>
            <w:tcW w:type="dxa" w:w="4939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本地审计检测到摘要或关联不一致</w:t>
            </w:r>
          </w:p>
        </w:tc>
      </w:tr>
      <w:tr>
        <w:tc>
          <w:tcPr>
            <w:tcW w:type="dxa" w:w="4939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伪造 Bounded 验证报告</w:t>
            </w:r>
          </w:p>
        </w:tc>
        <w:tc>
          <w:tcPr>
            <w:tcW w:type="dxa" w:w="4939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record 重放校验拒绝报告注入</w:t>
            </w:r>
          </w:p>
        </w:tc>
      </w:tr>
      <w:tr>
        <w:tc>
          <w:tcPr>
            <w:tcW w:type="dxa" w:w="4939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工作区审计命令</w:t>
            </w:r>
          </w:p>
        </w:tc>
        <w:tc>
          <w:tcPr>
            <w:tcW w:type="dxa" w:w="4939"/>
            <w:vAlign w:val="center"/>
          </w:tcPr>
          <w:p>
            <w:pPr>
              <w:spacing w:after="40" w:before="40"/>
            </w:pPr>
            <w:r>
              <w:rPr>
                <w:sz w:val="18"/>
              </w:rPr>
              <w:t>Consistency = Consistent（干净实验）</w:t>
            </w:r>
          </w:p>
        </w:tc>
      </w:tr>
    </w:tbl>
    <w:p/>
    <w:p>
      <w:pPr>
        <w:pStyle w:val="Heading1"/>
      </w:pPr>
      <w:r>
        <w:t>五、代码运行与复现</w:t>
      </w:r>
    </w:p>
    <w:p>
      <w:r>
        <w:t>复现入口：python -m pytest -q；python scripts/run_p2b_demo.py。CLI：先 ax compose-gate，分别 ax verify 两个组件，再 ax compose-gate 与 ax audit。全部源码、示例、报告保存在 ZIP 包内，附 manifest.json 校验清单。</w:t>
      </w:r>
    </w:p>
    <w:p>
      <w:r>
        <w:t>实验统计“复用验证义务槽位”，而非实际节省的 CPU 时间。为保证检查可信，演示对每个新模型仍运行了完整的有限状态检查。不能将统计结果解释为已经获得可观的增量验证加速。</w:t>
      </w:r>
    </w:p>
    <w:p>
      <w:pPr>
        <w:pStyle w:val="Heading1"/>
      </w:pPr>
      <w:r>
        <w:t>六、风险、未完成事项与下一阶段</w:t>
      </w:r>
    </w:p>
    <w:p>
      <w:r>
        <w:t>P1 C++ 编译及执行仍缺乏经审计的操作系统或容器安全沙箱，严禁运行不可信源代码。P1 CLI 的 --trusted-local 是显式信任确认，并非真正隔离。</w:t>
      </w:r>
    </w:p>
    <w:p>
      <w:r>
        <w:t>证据库由同一权限用户管理，摘要与一致性审计不能防范恶意主体同步修改索引、对象和工具代码。生产部署仍需隔离的证据签署者、独立验证者、权限审计和强制访问控制。</w:t>
      </w:r>
    </w:p>
    <w:p>
      <w:r>
        <w:t>跨组件运行一致性、完整 Assume-Guarantee 合成、实施级语义依赖传播和形式化精化证明均未完成。P2b 的 Ready 不能作为“已证明的跨服务业务正确性”或 C++ 正式发布许可。</w:t>
      </w:r>
    </w:p>
    <w:p>
      <w:r>
        <w:t>下一阶段应先落地独立的可信执行和证据写入边界，再增加显式组件接口/事件连接语义与跨组件验证义务，随后在真实的多模块 C++ 项目中比较常规回归与语义增量验证的漏检率、成本和可维护性。</w:t>
      </w:r>
    </w:p>
    <w:p>
      <w:pPr>
        <w:pStyle w:val="Heading1"/>
      </w:pPr>
      <w:r>
        <w:t>七、阶段验收判断</w:t>
      </w:r>
    </w:p>
    <w:p>
      <w:r>
        <w:t>P2 第二批原型目标达成：新模块可运行、原有测试不退化、具备反例/阻断路径及可复现资料。P2 整体与 P1 生产级加固尚未验收。冻结理论基线 AX-B01—AX-B09 保持不变。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094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Axiom P2 第二批 · 工程版本 0.4.0  |  第 </w:t>
    </w:r>
    <w:fldSimple w:instr="PAGE"/>
    <w: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66F78"/>
        <w:sz w:val="16"/>
      </w:rPr>
      <w:t>AXIOM   /   可信软件构造原型   /   研发验收记录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Microsoft YaHei" w:hAnsi="Microsoft YaHei" w:eastAsia="Microsoft YaHe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771"/>
      <w:sz w:val="27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04D76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17365D" w:themeColor="text2" w:themeShade="BF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Microsoft YaHei" w:hAnsi="Microsoft YaHei" w:eastAsia="Microsoft YaHe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icrosoft YaHei" w:hAnsi="Microsoft YaHei" w:eastAsia="Microsoft YaHei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