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Axiom P2 第四批实施与验收报告</w:t>
      </w:r>
    </w:p>
    <w:p>
      <w:pPr>
        <w:pStyle w:val="Subtitle"/>
      </w:pPr>
      <w:r>
        <w:t>V0.4  ·  工程版本 0.6.0  ·  2026 年 10 月 25 日</w:t>
      </w:r>
    </w:p>
    <w:p>
      <w:r>
        <w:t>基于 Axiom 0.2 冻结理论基线与《Axiom 概要设计说明书 V1.0》。本版继续原有 P0—P2c 工程，新增混合同步/交错行为模型检查，以及独立签名的有限抽象验证证据机制。</w:t>
      </w:r>
    </w:p>
    <w:p>
      <w:pPr>
        <w:pStyle w:val="Heading1"/>
      </w:pPr>
      <w:r>
        <w:t>1 交付结论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952"/>
            <w:vAlign w:val="center"/>
            <w:shd w:fill="E9EFF5"/>
          </w:tcPr>
          <w:p>
            <w:pPr>
              <w:spacing w:after="0"/>
            </w:pPr>
            <w:r>
              <w:rPr>
                <w:b/>
                <w:sz w:val="16"/>
              </w:rPr>
              <w:t>验收项目</w:t>
            </w:r>
          </w:p>
        </w:tc>
        <w:tc>
          <w:tcPr>
            <w:tcW w:type="dxa" w:w="5184"/>
            <w:vAlign w:val="center"/>
            <w:shd w:fill="E9EFF5"/>
          </w:tcPr>
          <w:p>
            <w:pPr>
              <w:spacing w:after="0"/>
            </w:pPr>
            <w:r>
              <w:rPr>
                <w:b/>
                <w:sz w:val="16"/>
              </w:rPr>
              <w:t>实测结果</w:t>
            </w:r>
          </w:p>
        </w:tc>
        <w:tc>
          <w:tcPr>
            <w:tcW w:type="dxa" w:w="1584"/>
            <w:vAlign w:val="center"/>
            <w:shd w:fill="E9EFF5"/>
          </w:tcPr>
          <w:p>
            <w:pPr>
              <w:spacing w:after="0"/>
            </w:pPr>
            <w:r>
              <w:rPr>
                <w:b/>
                <w:sz w:val="16"/>
              </w:rPr>
              <w:t>结论</w:t>
            </w:r>
          </w:p>
        </w:tc>
      </w:tr>
      <w:tr>
        <w:tc>
          <w:tcPr>
            <w:tcW w:type="dxa" w:w="2952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原有 P0—P2c 自动化回归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96 项原有测试通过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通过</w:t>
            </w:r>
          </w:p>
        </w:tc>
      </w:tr>
      <w:tr>
        <w:tc>
          <w:tcPr>
            <w:tcW w:type="dxa" w:w="2952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本轮新增自动化测试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25 项新增测试通过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通过</w:t>
            </w:r>
          </w:p>
        </w:tc>
      </w:tr>
      <w:tr>
        <w:tc>
          <w:tcPr>
            <w:tcW w:type="dxa" w:w="2952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合并自动化测试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121 / 121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通过</w:t>
            </w:r>
          </w:p>
        </w:tc>
      </w:tr>
      <w:tr>
        <w:tc>
          <w:tcPr>
            <w:tcW w:type="dxa" w:w="2952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混合同步/交错组合验证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正确模型 Bounded；错误模型 Violated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通过</w:t>
            </w:r>
          </w:p>
        </w:tc>
      </w:tr>
      <w:tr>
        <w:tc>
          <w:tcPr>
            <w:tcW w:type="dxa" w:w="2952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签名报告验真与失效阻断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Ed25519 验签、重放、数据绑定测试通过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通过</w:t>
            </w:r>
          </w:p>
        </w:tc>
      </w:tr>
      <w:tr>
        <w:tc>
          <w:tcPr>
            <w:tcW w:type="dxa" w:w="2952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不可信 C++ 安全隔离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尚无经审计的 OS 执行沙箱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未完成</w:t>
            </w:r>
          </w:p>
        </w:tc>
      </w:tr>
      <w:tr>
        <w:tc>
          <w:tcPr>
            <w:tcW w:type="dxa" w:w="2952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真实 C++ 并发精化验证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尚未建立受信任的实现级行为绑定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未完成</w:t>
            </w:r>
          </w:p>
        </w:tc>
      </w:tr>
    </w:tbl>
    <w:p>
      <w:pPr>
        <w:spacing w:after="20"/>
      </w:pPr>
    </w:p>
    <w:p>
      <w:r>
        <w:t>验收判定：P2 第四批受限原型通过；完整 P2 与生产发布准入尚未完成。任何 Bounded / Approved 均限定于明确的有限抽象模型与指定证据条件。</w:t>
      </w:r>
    </w:p>
    <w:p>
      <w:pPr>
        <w:pStyle w:val="Heading1"/>
      </w:pPr>
      <w:r>
        <w:t>2 设计内容与体系边界</w:t>
      </w:r>
    </w:p>
    <w:p>
      <w:pPr>
        <w:pStyle w:val="Heading2"/>
      </w:pPr>
      <w:r>
        <w:t>2.1 混合同步/交错验证</w:t>
      </w:r>
    </w:p>
    <w:p>
      <w:r>
        <w:t>新增 ax-interleaving-composition/0.1。两组件的 Action 必须且只能归入两类：原子同步对（sync），或独立原子操作（independent）。检查器采用广度优先穷举，覆盖所有可达状态并在每个全局状态验证关系不变量。对于同步对，两侧共享同一输入并要求输出相等。</w:t>
      </w:r>
    </w:p>
    <w:p>
      <w:r>
        <w:t>该机制能发现同步产品无法表现的单边更新错误。但不支持线程内部指令级交错、非原子调用、网络消息、故障恢复、公平性或活性结论。</w:t>
      </w:r>
    </w:p>
    <w:p>
      <w:pPr>
        <w:pStyle w:val="Heading2"/>
      </w:pPr>
      <w:r>
        <w:t>2.2 证据准入与签名</w:t>
      </w:r>
    </w:p>
    <w:p>
      <w:r>
        <w:t>新增 interleave-verify / interleave-gate 以及独立的 Ed25519 签发与验签接口。Gate 要求组件级模型证据与当前绑定版本的组合证据同时存在。签名者在独立重放本地检查器并通过工件审计后，对证据及绑定摘要进行签名；验收者使用事先信任的公钥和 signer ID 复验。</w:t>
      </w:r>
    </w:p>
    <w:p>
      <w:r>
        <w:t>签名提高了对工作区内容被篡改的识别能力，但其保证取决于独立受保护的签名者、公钥分发和可信验签程序。该机制不能证明 C++ 代码正确，也不能将本地运行环境变为安全沙箱。</w:t>
      </w:r>
    </w:p>
    <w:p>
      <w:pPr>
        <w:pStyle w:val="Heading1"/>
      </w:pPr>
      <w:r>
        <w:t>3 关键实验及反例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600"/>
            <w:vAlign w:val="center"/>
            <w:shd w:fill="E9EFF5"/>
          </w:tcPr>
          <w:p>
            <w:pPr>
              <w:spacing w:after="0"/>
            </w:pPr>
            <w:r>
              <w:rPr>
                <w:b/>
                <w:sz w:val="16"/>
              </w:rPr>
              <w:t>场景</w:t>
            </w:r>
          </w:p>
        </w:tc>
        <w:tc>
          <w:tcPr>
            <w:tcW w:type="dxa" w:w="6120"/>
            <w:vAlign w:val="center"/>
            <w:shd w:fill="E9EFF5"/>
          </w:tcPr>
          <w:p>
            <w:pPr>
              <w:spacing w:after="0"/>
            </w:pPr>
            <w:r>
              <w:rPr>
                <w:b/>
                <w:sz w:val="16"/>
              </w:rPr>
              <w:t>观察结果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受控同步修改 + 独立读取</w:t>
            </w:r>
          </w:p>
        </w:tc>
        <w:tc>
          <w:tcPr>
            <w:tcW w:type="dxa" w:w="6120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Bounded；可达全局状态 2 个；候选检查 48 次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允许两端分别独立修改</w:t>
            </w:r>
          </w:p>
        </w:tc>
        <w:tc>
          <w:tcPr>
            <w:tcW w:type="dxa" w:w="6120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Violated；违反 MirroredState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缺少组件独立证据</w:t>
            </w:r>
          </w:p>
        </w:tc>
        <w:tc>
          <w:tcPr>
            <w:tcW w:type="dxa" w:w="6120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Gate = Blocked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补齐组件证据及组合证据</w:t>
            </w:r>
          </w:p>
        </w:tc>
        <w:tc>
          <w:tcPr>
            <w:tcW w:type="dxa" w:w="6120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有限抽象模型 Gate = Approved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证据/签名/模型被修改</w:t>
            </w:r>
          </w:p>
        </w:tc>
        <w:tc>
          <w:tcPr>
            <w:tcW w:type="dxa" w:w="6120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验签失败或准入阻断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资源预算不足</w:t>
            </w:r>
          </w:p>
        </w:tc>
        <w:tc>
          <w:tcPr>
            <w:tcW w:type="dxa" w:w="6120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Unknown，不得准入</w:t>
            </w:r>
          </w:p>
        </w:tc>
      </w:tr>
    </w:tbl>
    <w:p>
      <w:pPr>
        <w:spacing w:after="20"/>
      </w:pPr>
    </w:p>
    <w:p>
      <w:r>
        <w:br w:type="page"/>
      </w:r>
    </w:p>
    <w:p>
      <w:r>
        <w:t>错误组合反例（最短全局动作轨迹）：</w:t>
      </w:r>
    </w:p>
    <w:p>
      <w:pPr>
        <w:spacing w:after="20"/>
        <w:ind w:left="331"/>
      </w:pPr>
      <w:r>
        <w:rPr>
          <w:rFonts w:ascii="Consolas" w:hAnsi="Consolas"/>
          <w:color w:val="373F48"/>
          <w:sz w:val="16"/>
        </w:rPr>
        <w:t>S0: Source.on = false, Mirror.on = false</w:t>
      </w:r>
    </w:p>
    <w:p>
      <w:pPr>
        <w:spacing w:after="20"/>
        <w:ind w:left="331"/>
      </w:pPr>
      <w:r>
        <w:rPr>
          <w:rFonts w:ascii="Consolas" w:hAnsi="Consolas"/>
          <w:color w:val="373F48"/>
          <w:sz w:val="16"/>
        </w:rPr>
        <w:t>S1: Mirror.set(desired = true)</w:t>
      </w:r>
    </w:p>
    <w:p>
      <w:pPr>
        <w:spacing w:after="20"/>
        <w:ind w:left="331"/>
      </w:pPr>
      <w:r>
        <w:rPr>
          <w:rFonts w:ascii="Consolas" w:hAnsi="Consolas"/>
          <w:color w:val="373F48"/>
          <w:sz w:val="16"/>
        </w:rPr>
        <w:t>S1: Source.on = false, Mirror.on = true</w:t>
      </w:r>
    </w:p>
    <w:p>
      <w:pPr>
        <w:spacing w:after="20"/>
        <w:ind w:left="331"/>
      </w:pPr>
      <w:r>
        <w:rPr>
          <w:rFonts w:ascii="Consolas" w:hAnsi="Consolas"/>
          <w:color w:val="373F48"/>
          <w:sz w:val="16"/>
        </w:rPr>
        <w:t>Violation: Source.on == Mirror.on is false</w:t>
      </w:r>
    </w:p>
    <w:p>
      <w:r>
        <w:t>两个组件各自满足本地 WellTyped 性质，但在允许独立执行 set 的全局调度下违反跨组件不变量，表明局部模型证据不可替代组合行为检查。</w:t>
      </w:r>
    </w:p>
    <w:p>
      <w:pPr>
        <w:pStyle w:val="Heading1"/>
      </w:pPr>
      <w:r>
        <w:t>4 代码模块及接口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392"/>
            <w:vAlign w:val="center"/>
            <w:shd w:fill="E9EFF5"/>
          </w:tcPr>
          <w:p>
            <w:pPr>
              <w:spacing w:after="0"/>
            </w:pPr>
            <w:r>
              <w:rPr>
                <w:b/>
                <w:sz w:val="16"/>
              </w:rPr>
              <w:t>模块/命令</w:t>
            </w:r>
          </w:p>
        </w:tc>
        <w:tc>
          <w:tcPr>
            <w:tcW w:type="dxa" w:w="5328"/>
            <w:vAlign w:val="center"/>
            <w:shd w:fill="E9EFF5"/>
          </w:tcPr>
          <w:p>
            <w:pPr>
              <w:spacing w:after="0"/>
            </w:pPr>
            <w:r>
              <w:rPr>
                <w:b/>
                <w:sz w:val="16"/>
              </w:rPr>
              <w:t>职责</w:t>
            </w:r>
          </w:p>
        </w:tc>
      </w:tr>
      <w:tr>
        <w:tc>
          <w:tcPr>
            <w:tcW w:type="dxa" w:w="4392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axiom.interleaving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schema 与绑定校验；有限同步/独立交错状态探索；反例生成</w:t>
            </w:r>
          </w:p>
        </w:tc>
      </w:tr>
      <w:tr>
        <w:tc>
          <w:tcPr>
            <w:tcW w:type="dxa" w:w="4392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axiom.interleaving_store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当前证据索引、独立重放、模型级 Gate 和失效控制</w:t>
            </w:r>
          </w:p>
        </w:tc>
      </w:tr>
      <w:tr>
        <w:tc>
          <w:tcPr>
            <w:tcW w:type="dxa" w:w="4392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axiom.attestation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Ed25519 离线签名、绑定证明、使用固定公钥验签</w:t>
            </w:r>
          </w:p>
        </w:tc>
      </w:tr>
      <w:tr>
        <w:tc>
          <w:tcPr>
            <w:tcW w:type="dxa" w:w="4392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axiom.audit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新增 P2d 工件一致性审计</w:t>
            </w:r>
          </w:p>
        </w:tc>
      </w:tr>
      <w:tr>
        <w:tc>
          <w:tcPr>
            <w:tcW w:type="dxa" w:w="4392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ax interleave-verify / interleave-gate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有限模型验证与准入控制</w:t>
            </w:r>
          </w:p>
        </w:tc>
      </w:tr>
      <w:tr>
        <w:tc>
          <w:tcPr>
            <w:tcW w:type="dxa" w:w="4392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ax interleave-attest / interleave-verify-attestation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受信任签名与独立验签</w:t>
            </w:r>
          </w:p>
        </w:tc>
      </w:tr>
    </w:tbl>
    <w:p>
      <w:pPr>
        <w:spacing w:after="20"/>
      </w:pPr>
    </w:p>
    <w:p>
      <w:pPr>
        <w:pStyle w:val="Heading1"/>
      </w:pPr>
      <w:r>
        <w:t>5 安全审查与剩余风险</w:t>
      </w:r>
    </w:p>
    <w:p>
      <w:r>
        <w:t>（1）不可信执行：当前机器未完成经审计的 OS 沙箱，cpp-verify 继续要求 --trusted-local。进程资源限额不等于沙箱。</w:t>
      </w:r>
    </w:p>
    <w:p>
      <w:r>
        <w:t>（2）证据可信性：独立签名须在与候选生成隔离的权限域执行，私钥不得保存在工作区。验签方必须固定公钥，避免被替换。</w:t>
      </w:r>
    </w:p>
    <w:p>
      <w:r>
        <w:t>（3）模型充分性：当前静态有限模型仅能验证已表达的安全性质，不足以推断业务需求完整、环境正确或真实系统满足规格。</w:t>
      </w:r>
    </w:p>
    <w:p>
      <w:r>
        <w:t>（4）实现精化：P2d 并未证明实际 C++ 对抽象状态机的实现精化。C++ 验证仍限先前 P1 的测试级机制。</w:t>
      </w:r>
    </w:p>
    <w:p>
      <w:pPr>
        <w:pStyle w:val="Heading1"/>
      </w:pPr>
      <w:r>
        <w:t>6 后续阶段准入条件</w:t>
      </w:r>
    </w:p>
    <w:p>
      <w:r>
        <w:t>优先事项 A：采用受控签名/验签运行环境，实现由独立服务承担的质量准入，不与 AI 候选生成进程共享签名密钥。</w:t>
      </w:r>
    </w:p>
    <w:p>
      <w:r>
        <w:t>优先事项 B：实现可信 OS 沙箱，支持受控编译和执行不可信 C++；在沙箱完成安全审计前不得扩大现有执行权限。</w:t>
      </w:r>
    </w:p>
    <w:p>
      <w:r>
        <w:t>优先事项 C：建立真实 C++ 并发轨迹与抽象 Action/Observation 的映射，并与模型进行有范围的差分验证；不得将测试证据升级为通用形式化证明。</w:t>
      </w:r>
    </w:p>
    <w:p>
      <w:r>
        <w:t>优先事项 D：以真实多轮代码修改比较增量与全量验证的成本、准确性及证据复用风险，为 P2 验收及 P3 准入提供数据。</w:t>
      </w:r>
    </w:p>
    <w:p>
      <w:pPr>
        <w:pStyle w:val="Heading1"/>
      </w:pPr>
      <w:r>
        <w:t>7 版本一致性</w:t>
      </w:r>
    </w:p>
    <w:p>
      <w:r>
        <w:t>Axiom 0.2 理论基线 AX-B01—AX-B09 未变；概要设计 V1.0 未变；P0—P2c 已有接口保留。新功能全部使用明确版本号与独立工件，不将历史测试成果伪称为新的实现级形式化保证。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109" w:bottom="893" w:left="1195" w:header="504" w:footer="53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Axiom 0.2 基线不变  ·  概要设计 V1.0  |  第 </w:t>
    </w:r>
    <w:fldSimple w:instr="PAGE"/>
    <w:r>
      <w:rPr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F79"/>
        <w:sz w:val="16"/>
      </w:rPr>
      <w:t>AXIOM  |  P2  IMPLEMENTATION REVIEW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64" w:lineRule="auto"/>
    </w:pPr>
    <w:rPr>
      <w:rFonts w:ascii="Noto Sans CJK SC" w:hAnsi="Noto Sans CJK SC" w:eastAsia="Noto Sans CJK S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B334B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B334B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8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B334B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