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Axiom Studio 1.4.0</w:t>
      </w:r>
    </w:p>
    <w:p>
      <w:pPr>
        <w:pStyle w:val="Subtitle"/>
        <w:jc w:val="center"/>
      </w:pPr>
      <w:r>
        <w:t>可理解的设计方案评审与多候选对比</w:t>
      </w:r>
    </w:p>
    <w:p>
      <w:pPr>
        <w:jc w:val="center"/>
      </w:pPr>
      <w:r>
        <w:t>实施与验收记录 · 2026年10月28日 · 本地源码发行版</w:t>
      </w:r>
    </w:p>
    <w:p>
      <w:pPr>
        <w:pStyle w:val="Heading1"/>
      </w:pPr>
      <w:r>
        <w:t>一、发布目标与成果</w:t>
      </w:r>
    </w:p>
    <w:p>
      <w:r>
        <w:t>沿用冻结定位：Axiom Studio 是 AI 软件构造与可信演化的流程组织平台，代码编辑复用 VS Code。1.4 关注用户能否不经培训理解 AI 生成的行为规则、观察候选对原行为的影响、在对比后作出审查决定。</w:t>
      </w:r>
    </w:p>
    <w:p>
      <w:r>
        <w:t>已完成：规格 AST 结构对比、中文可读规则解释、场景保留/修改/删除/缺口识别、受控的两候选评审、HTTP API、工作台交互，以及编辑后误批准阻断。原有独立模型检查、候选暂存和演化分支逻辑保持。</w:t>
      </w:r>
    </w:p>
    <w:p>
      <w:pPr>
        <w:pStyle w:val="Heading1"/>
      </w:pPr>
      <w:r>
        <w:t>二、用户可直接完成的工作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用户想知道</w:t>
            </w:r>
          </w:p>
        </w:tc>
        <w:tc>
          <w:tcPr>
            <w:tcW w:type="dxa" w:w="3229"/>
          </w:tcPr>
          <w:p>
            <w:r>
              <w:t>工作台给出的答案</w:t>
            </w:r>
          </w:p>
        </w:tc>
        <w:tc>
          <w:tcPr>
            <w:tcW w:type="dxa" w:w="3229"/>
          </w:tcPr>
          <w:p>
            <w:r>
              <w:t>保持的可信边界</w:t>
            </w:r>
          </w:p>
        </w:tc>
      </w:tr>
      <w:tr>
        <w:tc>
          <w:tcPr>
            <w:tcW w:type="dxa" w:w="3229"/>
          </w:tcPr>
          <w:p>
            <w:r>
              <w:t>新方案改了什么？</w:t>
            </w:r>
          </w:p>
        </w:tc>
        <w:tc>
          <w:tcPr>
            <w:tcW w:type="dxa" w:w="3229"/>
          </w:tcPr>
          <w:p>
            <w:r>
              <w:t>列出类型、状态、动作、行为性质和观察字段的增删改</w:t>
            </w:r>
          </w:p>
        </w:tc>
        <w:tc>
          <w:tcPr>
            <w:tcW w:type="dxa" w:w="3229"/>
          </w:tcPr>
          <w:p>
            <w:r>
              <w:t>结构差异不证明外部行为等价</w:t>
            </w:r>
          </w:p>
        </w:tc>
      </w:tr>
      <w:tr>
        <w:tc>
          <w:tcPr>
            <w:tcW w:type="dxa" w:w="3229"/>
          </w:tcPr>
          <w:p>
            <w:r>
              <w:t>我的需求有保障吗？</w:t>
            </w:r>
          </w:p>
        </w:tc>
        <w:tc>
          <w:tcPr>
            <w:tcW w:type="dxa" w:w="3229"/>
          </w:tcPr>
          <w:p>
            <w:r>
              <w:t>逐条指出性质未关联、已改写、已移除或结构保留</w:t>
            </w:r>
          </w:p>
        </w:tc>
        <w:tc>
          <w:tcPr>
            <w:tcW w:type="dxa" w:w="3229"/>
          </w:tcPr>
          <w:p>
            <w:r>
              <w:t>保留映射不代表业务语义得到证明</w:t>
            </w:r>
          </w:p>
        </w:tc>
      </w:tr>
      <w:tr>
        <w:tc>
          <w:tcPr>
            <w:tcW w:type="dxa" w:w="3229"/>
          </w:tcPr>
          <w:p>
            <w:r>
              <w:t>两份 AI 设计哪个好？</w:t>
            </w:r>
          </w:p>
        </w:tc>
        <w:tc>
          <w:tcPr>
            <w:tcW w:type="dxa" w:w="3229"/>
          </w:tcPr>
          <w:p>
            <w:r>
              <w:t>并排比较两份已检查候选、列出差异与人工核对点</w:t>
            </w:r>
          </w:p>
        </w:tc>
        <w:tc>
          <w:tcPr>
            <w:tcW w:type="dxa" w:w="3229"/>
          </w:tcPr>
          <w:p>
            <w:r>
              <w:t>不自动给质量分数或选胜出者</w:t>
            </w:r>
          </w:p>
        </w:tc>
      </w:tr>
      <w:tr>
        <w:tc>
          <w:tcPr>
            <w:tcW w:type="dxa" w:w="3229"/>
          </w:tcPr>
          <w:p>
            <w:r>
              <w:t>是否会误批准？</w:t>
            </w:r>
          </w:p>
        </w:tc>
        <w:tc>
          <w:tcPr>
            <w:tcW w:type="dxa" w:w="3229"/>
          </w:tcPr>
          <w:p>
            <w:r>
              <w:t>暂存候选被编辑后，批准与验证按钮立即禁用</w:t>
            </w:r>
          </w:p>
        </w:tc>
        <w:tc>
          <w:tcPr>
            <w:tcW w:type="dxa" w:w="3229"/>
          </w:tcPr>
          <w:p>
            <w:r>
              <w:t>新文本必须另行暂存并重新审查</w:t>
            </w:r>
          </w:p>
        </w:tc>
      </w:tr>
      <w:tr>
        <w:tc>
          <w:tcPr>
            <w:tcW w:type="dxa" w:w="3229"/>
          </w:tcPr>
          <w:p>
            <w:r>
              <w:t>批准之后呢？</w:t>
            </w:r>
          </w:p>
        </w:tc>
        <w:tc>
          <w:tcPr>
            <w:tcW w:type="dxa" w:w="3229"/>
          </w:tcPr>
          <w:p>
            <w:r>
              <w:t>经人工选择性质关联并确认后建立新演化项目</w:t>
            </w:r>
          </w:p>
        </w:tc>
        <w:tc>
          <w:tcPr>
            <w:tcW w:type="dxa" w:w="3229"/>
          </w:tcPr>
          <w:p>
            <w:r>
              <w:t>不覆盖原规格，不继承旧证据或 Gate</w:t>
            </w:r>
          </w:p>
        </w:tc>
      </w:tr>
    </w:tbl>
    <w:p>
      <w:pPr>
        <w:pStyle w:val="Heading1"/>
      </w:pPr>
      <w:r>
        <w:t>三、实现与安全约束</w:t>
      </w:r>
    </w:p>
    <w:p>
      <w:r>
        <w:t>新增 studio/design_review.py，读取已经完成独立模型检查并锁定来源的候选，计算 AST 结构差异与验收场景关联状态，输出不会自带批准效果的评审摘要。GET 接口要求本地令牌，比较限制在同一项目及同一场景基线内；不执行生成的 C++，不调用远程 AI，不修改文件与合同。</w:t>
      </w:r>
    </w:p>
    <w:p>
      <w:r>
        <w:t>对外展示的是有限模型检查的历史结果及当前被锁定的源码，不是业务需求自动等价判定。审计和 SHA-256 仅实现本地记录误改识别，不能代替受保护的第三方签名。</w:t>
      </w:r>
    </w:p>
    <w:p>
      <w:r>
        <w:br w:type="page"/>
      </w:r>
    </w:p>
    <w:p>
      <w:pPr>
        <w:pStyle w:val="Heading1"/>
      </w:pPr>
      <w:r>
        <w:t>四、实际验收结果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</w:tcPr>
          <w:p>
            <w:r>
              <w:t>测试范围</w:t>
            </w:r>
          </w:p>
        </w:tc>
        <w:tc>
          <w:tcPr>
            <w:tcW w:type="dxa" w:w="3229"/>
          </w:tcPr>
          <w:p>
            <w:r>
              <w:t>实际执行结果</w:t>
            </w:r>
          </w:p>
        </w:tc>
        <w:tc>
          <w:tcPr>
            <w:tcW w:type="dxa" w:w="3229"/>
          </w:tcPr>
          <w:p>
            <w:r>
              <w:t>说明</w:t>
            </w:r>
          </w:p>
        </w:tc>
      </w:tr>
      <w:tr>
        <w:tc>
          <w:tcPr>
            <w:tcW w:type="dxa" w:w="3229"/>
          </w:tcPr>
          <w:p>
            <w:r>
              <w:t>1.4 新增专项</w:t>
            </w:r>
          </w:p>
        </w:tc>
        <w:tc>
          <w:tcPr>
            <w:tcW w:type="dxa" w:w="3229"/>
          </w:tcPr>
          <w:p>
            <w:r>
              <w:t>9/9 通过</w:t>
            </w:r>
          </w:p>
        </w:tc>
        <w:tc>
          <w:tcPr>
            <w:tcW w:type="dxa" w:w="3229"/>
          </w:tcPr>
          <w:p>
            <w:r>
              <w:t>含双候选真实 Axiom check/plan/verify/Gate、异常阻断、HTTP 鉴权</w:t>
            </w:r>
          </w:p>
        </w:tc>
      </w:tr>
      <w:tr>
        <w:tc>
          <w:tcPr>
            <w:tcW w:type="dxa" w:w="3229"/>
          </w:tcPr>
          <w:p>
            <w:r>
              <w:t>1.3 规格工作台</w:t>
            </w:r>
          </w:p>
        </w:tc>
        <w:tc>
          <w:tcPr>
            <w:tcW w:type="dxa" w:w="3229"/>
          </w:tcPr>
          <w:p>
            <w:r>
              <w:t>12/12 通过</w:t>
            </w:r>
          </w:p>
        </w:tc>
        <w:tc>
          <w:tcPr>
            <w:tcW w:type="dxa" w:w="3229"/>
          </w:tcPr>
          <w:p>
            <w:r>
              <w:t>审查、模型验证与人工演化边界未退化</w:t>
            </w:r>
          </w:p>
        </w:tc>
      </w:tr>
      <w:tr>
        <w:tc>
          <w:tcPr>
            <w:tcW w:type="dxa" w:w="3229"/>
          </w:tcPr>
          <w:p>
            <w:r>
              <w:t>1.2 场景与 1.1 引导</w:t>
            </w:r>
          </w:p>
        </w:tc>
        <w:tc>
          <w:tcPr>
            <w:tcW w:type="dxa" w:w="3229"/>
          </w:tcPr>
          <w:p>
            <w:r>
              <w:t>18/18 通过</w:t>
            </w:r>
          </w:p>
        </w:tc>
        <w:tc>
          <w:tcPr>
            <w:tcW w:type="dxa" w:w="3229"/>
          </w:tcPr>
          <w:p>
            <w:r>
              <w:t>需求缺口、版本冲突与冻结规则</w:t>
            </w:r>
          </w:p>
        </w:tc>
      </w:tr>
      <w:tr>
        <w:tc>
          <w:tcPr>
            <w:tcW w:type="dxa" w:w="3229"/>
          </w:tcPr>
          <w:p>
            <w:r>
              <w:t>项目与起步工作台</w:t>
            </w:r>
          </w:p>
        </w:tc>
        <w:tc>
          <w:tcPr>
            <w:tcW w:type="dxa" w:w="3229"/>
          </w:tcPr>
          <w:p>
            <w:r>
              <w:t>21/21 通过</w:t>
            </w:r>
          </w:p>
        </w:tc>
        <w:tc>
          <w:tcPr>
            <w:tcW w:type="dxa" w:w="3229"/>
          </w:tcPr>
          <w:p>
            <w:r>
              <w:t>发布总控、项目创建及待办兼容性</w:t>
            </w:r>
          </w:p>
        </w:tc>
      </w:tr>
      <w:tr>
        <w:tc>
          <w:tcPr>
            <w:tcW w:type="dxa" w:w="3229"/>
          </w:tcPr>
          <w:p>
            <w:r>
              <w:t>1.0 离线发布自检</w:t>
            </w:r>
          </w:p>
        </w:tc>
        <w:tc>
          <w:tcPr>
            <w:tcW w:type="dxa" w:w="3229"/>
          </w:tcPr>
          <w:p>
            <w:r>
              <w:t>14/14 通过</w:t>
            </w:r>
          </w:p>
        </w:tc>
        <w:tc>
          <w:tcPr>
            <w:tcW w:type="dxa" w:w="3229"/>
          </w:tcPr>
          <w:p>
            <w:r>
              <w:t>模型检查与非生产准入约束</w:t>
            </w:r>
          </w:p>
        </w:tc>
      </w:tr>
      <w:tr>
        <w:tc>
          <w:tcPr>
            <w:tcW w:type="dxa" w:w="3229"/>
          </w:tcPr>
          <w:p>
            <w:r>
              <w:t>浏览器交互复核</w:t>
            </w:r>
          </w:p>
        </w:tc>
        <w:tc>
          <w:tcPr>
            <w:tcW w:type="dxa" w:w="3229"/>
          </w:tcPr>
          <w:p>
            <w:r>
              <w:t>通过</w:t>
            </w:r>
          </w:p>
        </w:tc>
        <w:tc>
          <w:tcPr>
            <w:tcW w:type="dxa" w:w="3229"/>
          </w:tcPr>
          <w:p>
            <w:r>
              <w:t>Playwright 离线桥接真实后端计算结果；检验两方案对比和脏文本阻断</w:t>
            </w:r>
          </w:p>
        </w:tc>
      </w:tr>
    </w:tbl>
    <w:p>
      <w:r>
        <w:t>上述 60 项 Pytest 是分组执行的专项与兼容性结果，不等于历史全量套件一次执行通过。较大规模联合回归仍存在超时问题。当前 Chromium 网络导航被环境策略阻止，浏览器交互采用离线数据桥接；Windows 原生安装和新手任务研究尚未完成。</w:t>
      </w:r>
    </w:p>
    <w:p>
      <w:pPr>
        <w:pStyle w:val="Heading1"/>
      </w:pPr>
      <w:r>
        <w:t>五、启动与复测</w:t>
      </w:r>
    </w:p>
    <w:p>
      <w:r>
        <w:t>安装：python -m pip install -r requirements.txt</w:t>
      </w:r>
    </w:p>
    <w:p>
      <w:r>
        <w:t>新模块：python -m pytest -q studio/tests/test_design_review.py</w:t>
      </w:r>
    </w:p>
    <w:p>
      <w:r>
        <w:t>历史规格：python -m pytest -q studio/tests/test_spec_workshop.py</w:t>
      </w:r>
    </w:p>
    <w:p>
      <w:r>
        <w:t>发布自检：python scripts/release_selftest.py</w:t>
      </w:r>
    </w:p>
    <w:p>
      <w:r>
        <w:t>启动：python run_studio.py</w:t>
      </w:r>
    </w:p>
    <w:p>
      <w:r>
        <w:t>使用：在软件目标及验收场景后进入规格候选工作台；对任一候选执行“独立检查”，在“看懂候选改变了什么”中查看风险；检查至少两个候选后点击“对比两份方案”，最后人工确认属性映射并创建演化项目。</w:t>
      </w:r>
    </w:p>
    <w:sectPr w:rsidR="00FC693F" w:rsidRPr="0006063C" w:rsidSect="00034616">
      <w:footerReference w:type="default" r:id="rId9"/>
      <w:pgSz w:w="12240" w:h="15840"/>
      <w:pgMar w:top="1077" w:right="1276" w:bottom="1049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STUDIO 1.4.0 · 本地受控工作台 · 非生产发布授权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color w:val="1B28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F203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F203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F203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/>
      <w:i/>
      <w:iCs/>
      <w:color w:val="0F203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