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Axiom Studio 1.9.0</w:t>
        <w:br/>
        <w:t>可控多角色 AI 构造与增量影响分析</w:t>
      </w:r>
    </w:p>
    <w:p>
      <w:pPr>
        <w:pStyle w:val="Subtitle"/>
      </w:pPr>
      <w:r>
        <w:t>实施与验收报告  |  2026 年 10 月 29 日</w:t>
      </w:r>
    </w:p>
    <w:p>
      <w:pPr>
        <w:pStyle w:val="Heading1"/>
      </w:pPr>
      <w:r>
        <w:t>一、冻结定位与本轮产品能力</w:t>
      </w:r>
    </w:p>
    <w:p>
      <w:r>
        <w:t>Axiom Studio 继续遵循已冻结定位：面向 AI 的软件构造与可信演化体系，不重复制造 VS Code 等已有编辑器。核心为软件意图、行为规格、AI 构造、独立验证、证据、Gate 和可信演化的流程组织。</w:t>
      </w:r>
    </w:p>
    <w:p>
      <w:r>
        <w:t>1.9 在 1.8 跨模块任务图上增加“构造 Agent → 建议性复核 Agent → 用户审查 → 原有独立验证”的生产通路；最多 3 个模块可并行生成、每个模块允许 1—2 轮有界起草与复核。AI 不具备自行批准、改写规格、运行 C++ 或授予发布许可的权限。</w:t>
      </w:r>
    </w:p>
    <w:p>
      <w:pPr>
        <w:pStyle w:val="Heading1"/>
      </w:pPr>
      <w:r>
        <w:t>二、可直接使用的功能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7087"/>
      </w:tblGrid>
      <w:tr>
        <w:tc>
          <w:tcPr>
            <w:tcW w:type="dxa" w:w="4929"/>
          </w:tcPr>
          <w:p>
            <w:r>
              <w:t>项目</w:t>
            </w:r>
          </w:p>
        </w:tc>
        <w:tc>
          <w:tcPr>
            <w:tcW w:type="dxa" w:w="4929"/>
          </w:tcPr>
          <w:p>
            <w:r>
              <w:t>实现或验收结果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多角色构造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>
              <w:rPr>
                <w:sz w:val="16"/>
              </w:rPr>
              <w:t>Builder 生成 C++20 单文件候选，Reviewer 提供缺陷和测试建议；Reviewer 输出并非独立验证结论。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sz w:val="16"/>
              </w:rPr>
              <w:t>有界并行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>
              <w:rPr>
                <w:sz w:val="16"/>
              </w:rPr>
              <w:t>最多 3 个模块批量生成；默认最多同时 2 个远程模型任务，可选 1—3 并发；每个模块分别保存生成记录。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sz w:val="16"/>
              </w:rPr>
              <w:t>显式授权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>
              <w:rPr>
                <w:sz w:val="16"/>
              </w:rPr>
              <w:t>远程传输规格、源代码和目标需要用户确认；缺少模型配置可沿用 VS Code 手动交接。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候选隔离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>
              <w:rPr>
                <w:sz w:val="16"/>
              </w:rPr>
              <w:t>代码仅存入内容寻址对象库，记录输入文件摘要、任务包摘要与审计链；需人工阅读后显式暂存。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增量影响分析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>
              <w:rPr>
                <w:sz w:val="16"/>
              </w:rPr>
              <w:t>根据任务图依赖计算受影响模块的下游闭包；列出未影响模块及必须运行的全局 Gate，禁止自动复用旧证据。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工作台与 CLI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>
              <w:rPr>
                <w:sz w:val="16"/>
              </w:rPr>
              <w:t>跨模块任务界面提供 AI 单模块生成、批量生成和变更影响；新增 /api/agents/* 与 scripts/agent_cli.py。</w:t>
            </w:r>
          </w:p>
        </w:tc>
      </w:tr>
    </w:tbl>
    <w:p>
      <w:pPr>
        <w:pStyle w:val="Heading1"/>
      </w:pPr>
      <w:r>
        <w:t>三、端到端工作路径</w:t>
      </w:r>
    </w:p>
    <w:p>
      <w:r>
        <w:t>流程依次为：冻结目标与验收契约；建立多模块任务图；并行生成受约束候选；AI 提供建议性复核；用户审阅代码并暂存；人工批准应用；通过独立 C++ 编译、测试和 Gate；形成测试级证据及后续变更影响计划。</w:t>
      </w:r>
    </w:p>
    <w:p>
      <w:pPr>
        <w:pStyle w:val="Heading1"/>
      </w:pPr>
      <w:r>
        <w:t>四、测试与发布前验收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24"/>
        <w:gridCol w:w="7087"/>
      </w:tblGrid>
      <w:tr>
        <w:tc>
          <w:tcPr>
            <w:tcW w:type="dxa" w:w="4929"/>
          </w:tcPr>
          <w:p>
            <w:r>
              <w:t>项目</w:t>
            </w:r>
          </w:p>
        </w:tc>
        <w:tc>
          <w:tcPr>
            <w:tcW w:type="dxa" w:w="4929"/>
          </w:tcPr>
          <w:p>
            <w:r>
              <w:t>实现或验收结果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sz w:val="16"/>
              </w:rPr>
              <w:t>1.9 新增专项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>
              <w:rPr>
                <w:sz w:val="16"/>
              </w:rPr>
              <w:t>12/12 项分组通过。覆盖真实本地 OpenAI-compatible 模拟模型请求、两轮有界修改、不同线程并行、接口鉴权、输入漂移、审计/对象篡改、批量和影响分析。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sz w:val="16"/>
              </w:rPr>
              <w:t>真实 C++ 端到端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>
              <w:rPr>
                <w:sz w:val="16"/>
              </w:rPr>
              <w:t>1/1 项通过（包含在上述 12 项中）。模拟模型输出与人工审查之后，由真实 C++ 编译、测试及 Gate 验证；任务图只在验证后解锁后续模块。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sz w:val="16"/>
              </w:rPr>
              <w:t>1.8 兼容抽查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>
              <w:rPr>
                <w:sz w:val="16"/>
              </w:rPr>
              <w:t>4/4 项通过：任务包重建、隔离暂存、人工审查边界和失败反馈约束。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sz w:val="16"/>
              </w:rPr>
              <w:t>离线自检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>
              <w:rPr>
                <w:sz w:val="16"/>
              </w:rPr>
              <w:t>14/14 项通过，含真实有限模型检查。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sz w:val="16"/>
              </w:rPr>
              <w:t>真实商业模型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>
              <w:rPr>
                <w:sz w:val="16"/>
              </w:rPr>
              <w:t>未验证。测试使用本地模拟 Chat Completions 服务，不能据此宣称商业模型的代码质量与可用性。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0"/>
            </w:pPr>
            <w:r>
              <w:rPr>
                <w:sz w:val="16"/>
              </w:rPr>
              <w:t>历史大组回归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>
              <w:rPr>
                <w:sz w:val="16"/>
              </w:rPr>
              <w:t>仍存在偶发超时；不将未完成的全量回归计入通过。</w:t>
            </w:r>
          </w:p>
        </w:tc>
      </w:tr>
    </w:tbl>
    <w:p>
      <w:pPr>
        <w:pStyle w:val="Heading1"/>
      </w:pPr>
      <w:r>
        <w:t>五、工程安全边界与下一步</w:t>
      </w:r>
    </w:p>
    <w:p>
      <w:r>
        <w:t>本轮增量检查是保守的影响范围计划，不是已实现自动化增量证明；仍须执行适用的全局行为规格 Gate、C++ 集成测试和 Gate。哈希链只提供本地完整性检查，不是外部可信数字签名。模型生成代码始终不可信，执行仍须单独人工授权；缺乏生产级执行沙箱和无人值守发布能力。</w:t>
      </w:r>
    </w:p>
    <w:p>
      <w:r>
        <w:t>后续重点：复用可验证的证据依赖图，构建实际增量验证执行器；隔离不可信候选的运行环境；以真实中型工程衡量时间、操作次数、缺陷检出及演化成本。</w:t>
      </w:r>
    </w:p>
    <w:p>
      <w:pPr>
        <w:pStyle w:val="Heading1"/>
      </w:pPr>
      <w:r>
        <w:t>六、安装与使用</w:t>
      </w:r>
    </w:p>
    <w:p>
      <w:r>
        <w:t>解压后执行：python -m pip install -r requirements.txt；python scripts/release_selftest.py；python run_studio.py。打开“跨模块软件生产计划”，生成构造任务包后选择“AI 起草 + AI 复核”，或点击批量生成。需要模型服务时配置 AXIOM_STUDIO_LLM_ENDPOINT / MODEL / API_KEY；模型传输必须明确授权。</w:t>
      </w:r>
    </w:p>
    <w:sectPr w:rsidR="00FC693F" w:rsidRPr="0006063C" w:rsidSect="00034616">
      <w:footerReference w:type="default" r:id="rId9"/>
      <w:pgSz w:w="12240" w:h="15840"/>
      <w:pgMar w:top="737" w:right="1191" w:bottom="765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Axiom Studio 1.9.0  ·  本地研究原型  ·  受控 AI 构造  ·  测试级可信证据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Microsoft YaHei" w:hAnsi="Microsoft YaHe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92A39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92A3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20"/>
      <w:contextualSpacing/>
    </w:pPr>
    <w:rPr>
      <w:rFonts w:asciiTheme="majorHAnsi" w:eastAsiaTheme="majorEastAsia" w:hAnsiTheme="majorHAnsi" w:cstheme="majorBidi" w:ascii="Microsoft YaHei" w:hAnsi="Microsoft YaHei"/>
      <w:color w:val="192A39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