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Sample requests and test suite from WSDL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4630" cy="4458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2) Test suite execution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5105" cy="27000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3) Add test step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3995" cy="19164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4) Perform test step for SOAP 1.1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1805" cy="202946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5) Perform test step for SOAP 1.2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3995" cy="191643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6) Perform Send Request Manually and Reading Response step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142303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7) SOAP response messages in Log Panels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9570" cy="224345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8) Validation test for WS-I compliance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24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Provide written analysis of result report</w:t>
      </w:r>
    </w:p>
    <w:p>
      <w:pPr>
        <w:pStyle w:val="Normal"/>
        <w:bidi w:val="0"/>
        <w:jc w:val="left"/>
        <w:rPr/>
      </w:pPr>
      <w:r>
        <w:rPr/>
        <w:t xml:space="preserve">The test itself ensures </w:t>
      </w:r>
      <w:r>
        <w:rPr/>
        <w:t xml:space="preserve">the definitions in the WSDL are in </w:t>
      </w:r>
      <w:r>
        <w:rPr/>
        <w:t xml:space="preserve">compliance with WS-I by running assertions on the generated </w:t>
      </w:r>
      <w:r>
        <w:rPr/>
        <w:t xml:space="preserve">endpoints and </w:t>
      </w:r>
      <w:r>
        <w:rPr/>
        <w:t xml:space="preserve">bindings. </w:t>
      </w:r>
      <w:r>
        <w:rPr/>
        <w:t>More specifically, most of these tests seem to focus on message integrity and security (e.g., encryption, signing, transformations) rather than the business logic that would be tested on a per request basis.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LibreOffice/7.2.5.2$Windows_X86_64 LibreOffice_project/499f9727c189e6ef3471021d6132d4c694f357e5</Application>
  <AppVersion>15.0000</AppVersion>
  <Pages>3</Pages>
  <Words>114</Words>
  <Characters>573</Characters>
  <CharactersWithSpaces>677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2022-04-24T10:15:55Z</dcterms:created>
  <dc:creator/>
  <dc:description/>
  <dc:language>en-US</dc:language>
  <cp:lastModifiedBy/>
  <dcterms:modified xsi:type="dcterms:W3CDTF">2022-04-24T11:32:03Z</dcterms:modified>
  <cp:revision>12</cp:revision>
  <dc:subject/>
  <dc:title/>
</cp:coreProperties>
</file>