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1731C" w14:textId="77777777" w:rsidR="00716481" w:rsidRPr="00AF4556" w:rsidRDefault="00000000">
      <w:pPr>
        <w:spacing w:after="80"/>
        <w:rPr>
          <w:b/>
          <w:bCs/>
          <w:color w:val="196B24" w:themeColor="accent3"/>
        </w:rPr>
      </w:pPr>
      <w:r w:rsidRPr="00AF4556">
        <w:rPr>
          <w:b/>
          <w:bCs/>
          <w:color w:val="196B24" w:themeColor="accent3"/>
          <w:spacing w:val="40"/>
          <w:sz w:val="20"/>
          <w:szCs w:val="20"/>
        </w:rPr>
        <w:t>In-Class Exercise</w:t>
      </w:r>
    </w:p>
    <w:p w14:paraId="4749C201" w14:textId="4F48FB5A" w:rsidR="00716481" w:rsidRPr="00E769CA" w:rsidRDefault="00AF4556">
      <w:pPr>
        <w:pStyle w:val="Heading1"/>
        <w:spacing w:after="80"/>
        <w:rPr>
          <w:sz w:val="32"/>
          <w:szCs w:val="32"/>
        </w:rPr>
      </w:pPr>
      <w:r w:rsidRPr="00E769CA">
        <w:t>Contagion &amp; Cure: AI, Health Misinformation &amp; Clinical Decision Support Systems</w:t>
      </w:r>
    </w:p>
    <w:p w14:paraId="73A4691E" w14:textId="58509580" w:rsidR="00716481" w:rsidRDefault="00AF4556">
      <w:pPr>
        <w:spacing w:after="40"/>
      </w:pPr>
      <w:r>
        <w:rPr>
          <w:color w:val="3D5570"/>
        </w:rPr>
        <w:t>Health Informatics for the AI Era</w:t>
      </w:r>
    </w:p>
    <w:p w14:paraId="05618C0D" w14:textId="77777777" w:rsidR="00716481" w:rsidRDefault="00716481">
      <w:pPr>
        <w:pBdr>
          <w:bottom w:val="single" w:sz="4" w:space="1" w:color="2A8F65"/>
        </w:pBdr>
        <w:spacing w:after="120"/>
      </w:pPr>
    </w:p>
    <w:p w14:paraId="0A4694A2" w14:textId="77777777" w:rsidR="00716481" w:rsidRPr="00E769CA" w:rsidRDefault="00000000">
      <w:pPr>
        <w:pStyle w:val="Heading2"/>
        <w:rPr>
          <w:sz w:val="24"/>
          <w:szCs w:val="24"/>
        </w:rPr>
      </w:pPr>
      <w:r w:rsidRPr="00E769CA">
        <w:rPr>
          <w:sz w:val="24"/>
          <w:szCs w:val="24"/>
        </w:rPr>
        <w:t>Setting</w:t>
      </w:r>
    </w:p>
    <w:p w14:paraId="50C0D062" w14:textId="03F68779" w:rsidR="00716481" w:rsidRDefault="00000000" w:rsidP="00AF4556">
      <w:pPr>
        <w:spacing w:before="80" w:after="80" w:line="276" w:lineRule="auto"/>
      </w:pPr>
      <w:r>
        <w:t xml:space="preserve">Eagle Ridge Community Health Centre is a federally funded primary care clinic serving a remote First Nations community </w:t>
      </w:r>
      <w:r w:rsidR="00AF4556">
        <w:t>in rural</w:t>
      </w:r>
      <w:r>
        <w:t xml:space="preserve"> northern British Columbia, 380km from the nearest tertiary care centre. The clinic operates with two nurse practitioners, one rotating family physician (present two days per week), and a community health representative.</w:t>
      </w:r>
    </w:p>
    <w:p w14:paraId="10072F06" w14:textId="77777777" w:rsidR="00716481" w:rsidRDefault="00000000" w:rsidP="00AF4556">
      <w:pPr>
        <w:spacing w:before="80" w:after="80" w:line="276" w:lineRule="auto"/>
      </w:pPr>
      <w:r>
        <w:t>Eighteen months ago, the BC Ministry of Health approved the deployment of ClearPath across twelve remote and rural clinics in northern BC as part of its Digital Equity in Primary Care initiative. ClearPath is an AI-powered diagnostic and clinical decision support system that combines automated fundus image analysis with natural language recommendation generation, embedded directly into the clinic's EMR. The ministry's briefing note described ClearPath as a means of "extending specialist-level diagnostic capability to communities historically underserved by the provincial health system."</w:t>
      </w:r>
    </w:p>
    <w:p w14:paraId="7EA3B079" w14:textId="77777777" w:rsidR="00716481" w:rsidRDefault="00000000" w:rsidP="00AF4556">
      <w:pPr>
        <w:spacing w:before="80" w:after="80" w:line="276" w:lineRule="auto"/>
      </w:pPr>
      <w:r>
        <w:t>ClearPath was developed and validated on retinal imaging data and EHR records from Vancouver General Hospital, St. Paul's Hospital, and two large academic medical centres in Seattle. Its diagnostic thresholds — including the IOP benchmarks and optic nerve head parameters used to flag glaucomatous change — were derived from and validated against predominantly urban, non-Indigenous patient populations.</w:t>
      </w:r>
    </w:p>
    <w:p w14:paraId="68B6141B" w14:textId="77777777" w:rsidR="00716481" w:rsidRDefault="00000000" w:rsidP="00AF4556">
      <w:pPr>
        <w:spacing w:before="80" w:after="80" w:line="276" w:lineRule="auto"/>
      </w:pPr>
      <w:r>
        <w:t>The First Nations Health Authority was engaged during the implementation planning phase — after the training data had been collected, the model validated, and the budget for operational rollout already approved. No First Nations community data was included in the training set. No local validation study was conducted prior to deployment at Eagle Ridge.</w:t>
      </w:r>
    </w:p>
    <w:p w14:paraId="2C2E3D48" w14:textId="5A0F4847" w:rsidR="00716481" w:rsidRDefault="00000000" w:rsidP="00AF4556">
      <w:pPr>
        <w:spacing w:before="80" w:after="80" w:line="276" w:lineRule="auto"/>
      </w:pPr>
      <w:r>
        <w:t xml:space="preserve">ClearPath is </w:t>
      </w:r>
      <w:r w:rsidR="00AF4556">
        <w:t xml:space="preserve">approved by Health Canada and </w:t>
      </w:r>
      <w:r w:rsidR="006C3080">
        <w:tab/>
      </w:r>
      <w:r>
        <w:t>in routine clinical use — not a trial. Patients are not explicitly informed that the fundus analysis is AI-generated. Clinicians are not required to document whether they followed or overrode a ClearPath finding. The Ministry of Health has described the initiative internally as a flagship digital equity programme.</w:t>
      </w:r>
    </w:p>
    <w:p w14:paraId="47BD2D90" w14:textId="77777777" w:rsidR="00716481" w:rsidRPr="00E769CA" w:rsidRDefault="00000000">
      <w:pPr>
        <w:pStyle w:val="Heading2"/>
        <w:rPr>
          <w:sz w:val="24"/>
          <w:szCs w:val="24"/>
        </w:rPr>
      </w:pPr>
      <w:r w:rsidRPr="00E769CA">
        <w:rPr>
          <w:sz w:val="24"/>
          <w:szCs w:val="24"/>
        </w:rPr>
        <w:t>The Case</w:t>
      </w:r>
    </w:p>
    <w:p w14:paraId="3F89D0F8" w14:textId="187D3842" w:rsidR="00716481" w:rsidRDefault="00000000" w:rsidP="00AF4556">
      <w:pPr>
        <w:spacing w:before="80" w:after="80" w:line="276" w:lineRule="auto"/>
      </w:pPr>
      <w:r>
        <w:t xml:space="preserve">Margaret is a 58-year-old First Nations woman who presents to Eagle Ridge for a routine diabetes management follow-up. She mentions almost in passing that she has been having some trouble with her peripheral vision lately — "things just seem a bit off at the edges" — but attributes it to tiredness. She has no eye pain, no halos, no </w:t>
      </w:r>
      <w:r w:rsidR="006C3080">
        <w:t xml:space="preserve">other </w:t>
      </w:r>
      <w:r>
        <w:t>acute symptoms.</w:t>
      </w:r>
    </w:p>
    <w:p w14:paraId="252283E6" w14:textId="77777777" w:rsidR="00716481" w:rsidRDefault="00000000" w:rsidP="00AF4556">
      <w:pPr>
        <w:spacing w:before="80" w:after="80" w:line="276" w:lineRule="auto"/>
      </w:pPr>
      <w:r>
        <w:t>Her nurse practitioner, Sandra, notes the complaint. Given the visual symptom, she conducts a brief fundus imaging scan using the clinic's ClearPath-integrated retinal camera — exactly the kind of frontline diagnostic capability the ministry's briefing note had promised. The image is automatically uploaded to ClearPath for analysis. Thirty seconds later, the following finding appears in the EMR, embedded in the same font and format as Sandra's own clinical documentation:</w:t>
      </w:r>
    </w:p>
    <w:p w14:paraId="382AE52C" w14:textId="77777777" w:rsidR="00716481" w:rsidRDefault="00716481">
      <w:pPr>
        <w:spacing w:before="80"/>
      </w:pPr>
    </w:p>
    <w:p w14:paraId="060C1A9A" w14:textId="77777777" w:rsidR="00E769CA" w:rsidRDefault="00E769CA">
      <w:pPr>
        <w:spacing w:before="80"/>
      </w:pPr>
    </w:p>
    <w:p w14:paraId="5B69F521" w14:textId="77777777" w:rsidR="00E769CA" w:rsidRDefault="00E769CA">
      <w:pPr>
        <w:spacing w:before="80"/>
      </w:pPr>
    </w:p>
    <w:p w14:paraId="5C0AFF6D" w14:textId="08264CF4" w:rsidR="00E769CA" w:rsidRDefault="00E769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481" w14:paraId="2E0034DB" w14:textId="77777777">
        <w:tblPrEx>
          <w:tblCellMar>
            <w:top w:w="0" w:type="dxa"/>
            <w:bottom w:w="0" w:type="dxa"/>
          </w:tblCellMar>
        </w:tblPrEx>
        <w:tc>
          <w:tcPr>
            <w:tcW w:w="9360" w:type="dxa"/>
            <w:tcBorders>
              <w:top w:val="single" w:sz="1" w:space="0" w:color="D0D8E0"/>
              <w:left w:val="single" w:sz="12" w:space="0" w:color="364E60"/>
              <w:bottom w:val="single" w:sz="1" w:space="0" w:color="D0D8E0"/>
              <w:right w:val="single" w:sz="1" w:space="0" w:color="D0D8E0"/>
            </w:tcBorders>
            <w:shd w:val="clear" w:color="auto" w:fill="EEF2F5"/>
            <w:tcMar>
              <w:top w:w="140" w:type="dxa"/>
              <w:left w:w="200" w:type="dxa"/>
              <w:bottom w:w="140" w:type="dxa"/>
              <w:right w:w="200" w:type="dxa"/>
            </w:tcMar>
          </w:tcPr>
          <w:p w14:paraId="60A6A1EC" w14:textId="77777777" w:rsidR="00716481" w:rsidRDefault="00000000">
            <w:pPr>
              <w:spacing w:after="80"/>
            </w:pPr>
            <w:r>
              <w:rPr>
                <w:rFonts w:ascii="Courier New" w:eastAsia="Courier New" w:hAnsi="Courier New" w:cs="Courier New"/>
                <w:b/>
                <w:bCs/>
                <w:color w:val="364E60"/>
                <w:spacing w:val="20"/>
                <w:sz w:val="18"/>
                <w:szCs w:val="18"/>
              </w:rPr>
              <w:t>ClearPath CDSS Output</w:t>
            </w:r>
          </w:p>
          <w:p w14:paraId="739ECBE0" w14:textId="77777777" w:rsidR="00716481" w:rsidRDefault="00000000">
            <w:r>
              <w:rPr>
                <w:rFonts w:ascii="Courier New" w:eastAsia="Courier New" w:hAnsi="Courier New" w:cs="Courier New"/>
                <w:sz w:val="20"/>
                <w:szCs w:val="20"/>
              </w:rPr>
              <w:t>Fundus imaging analysis complete. Optic nerve head within normal parameters. Cup-to-disc ratio 0.5 — within acceptable range. IOP 19 mmHg bilaterally — within normal limits. No acute indicators of glaucomatous change detected. Recommend routine ophthalmology referral within 6-12 months if symptoms persist. Continue current diabetes management plan. Follow up PRN.</w:t>
            </w:r>
          </w:p>
        </w:tc>
      </w:tr>
    </w:tbl>
    <w:p w14:paraId="29B30DCD" w14:textId="77777777" w:rsidR="00BC0AB6" w:rsidRDefault="00BC0AB6" w:rsidP="00AF4556">
      <w:pPr>
        <w:spacing w:before="80" w:after="80" w:line="276" w:lineRule="auto"/>
      </w:pPr>
    </w:p>
    <w:p w14:paraId="503AE967" w14:textId="4062CF2F" w:rsidR="00716481" w:rsidRDefault="00000000" w:rsidP="00AF4556">
      <w:pPr>
        <w:spacing w:before="80" w:after="80" w:line="276" w:lineRule="auto"/>
      </w:pPr>
      <w:r>
        <w:t>Sandra reads the finding. It matches her clinical instincts. The retinal camera and ClearPath were deployed specifically because clinics like Eagle Ridge lack specialist ophthalmology access — this is precisely the use case the technology was designed for. She has twelve patients left to see today. She documents the finding verbatim, places a routine referral, and moves on.</w:t>
      </w:r>
    </w:p>
    <w:p w14:paraId="7F18ED5B" w14:textId="77777777" w:rsidR="00716481" w:rsidRDefault="00000000" w:rsidP="00AF4556">
      <w:pPr>
        <w:spacing w:before="80" w:after="80" w:line="276" w:lineRule="auto"/>
      </w:pPr>
      <w:r>
        <w:t>Margaret leaves the clinic. The nearest ophthalmologist accepting new referrals is in Prince George — 390km away. The average wait time for a routine referral is 14 months. Margaret does not have a car. She has not mentioned the visual changes to anyone else.</w:t>
      </w:r>
    </w:p>
    <w:p w14:paraId="7A56AD32" w14:textId="77777777" w:rsidR="00716481" w:rsidRDefault="00000000" w:rsidP="00AF4556">
      <w:pPr>
        <w:spacing w:before="80" w:after="80" w:line="276" w:lineRule="auto"/>
      </w:pPr>
      <w:r>
        <w:rPr>
          <w:b/>
          <w:bCs/>
        </w:rPr>
        <w:t xml:space="preserve">What neither Sandra nor Margaret knows: </w:t>
      </w:r>
      <w:r>
        <w:t>normal-tension glaucoma — a form of the disease that causes progressive optic nerve damage at IOP levels conventionally considered safe — is significantly more prevalent in populations of African and Asian descent, and emerging clinical evidence suggests First Nations populations may carry a similar elevated risk profile. The diagnostic thresholds ClearPath was trained on were not derived from any of these populations. ClearPath did not flag Margaret because, by the parameters it was given, there was nothing to flag.</w:t>
      </w:r>
    </w:p>
    <w:p w14:paraId="6A3F6201" w14:textId="77777777" w:rsidR="00716481" w:rsidRDefault="00000000" w:rsidP="00AF4556">
      <w:pPr>
        <w:spacing w:before="80" w:after="80" w:line="276" w:lineRule="auto"/>
      </w:pPr>
      <w:r>
        <w:t>The Ministry of Health's Digital Equity in Primary Care initiative is currently being evaluated for expansion to an additional 28 remote clinics across northern BC.</w:t>
      </w:r>
    </w:p>
    <w:p w14:paraId="2BF752E9" w14:textId="77777777" w:rsidR="00AF4556" w:rsidRDefault="00AF4556" w:rsidP="00AF4556">
      <w:pPr>
        <w:pBdr>
          <w:bottom w:val="single" w:sz="4" w:space="1" w:color="2A8F65"/>
        </w:pBdr>
        <w:spacing w:after="120"/>
      </w:pPr>
    </w:p>
    <w:p w14:paraId="35442806" w14:textId="5B80BCC6" w:rsidR="00716481" w:rsidRPr="00E769CA" w:rsidRDefault="00AF4556">
      <w:pPr>
        <w:pStyle w:val="Heading2"/>
        <w:rPr>
          <w:sz w:val="24"/>
          <w:szCs w:val="24"/>
        </w:rPr>
      </w:pPr>
      <w:r w:rsidRPr="00E769CA">
        <w:rPr>
          <w:sz w:val="24"/>
          <w:szCs w:val="24"/>
        </w:rPr>
        <w:t>The Exercise</w:t>
      </w:r>
    </w:p>
    <w:p w14:paraId="12C0471F" w14:textId="068FF11D" w:rsidR="00716481" w:rsidRDefault="006C3080">
      <w:pPr>
        <w:spacing w:before="80" w:after="160"/>
      </w:pPr>
      <w:r>
        <w:t>In small working</w:t>
      </w:r>
      <w:r w:rsidR="00000000">
        <w:t xml:space="preserve"> group</w:t>
      </w:r>
      <w:r>
        <w:t>s</w:t>
      </w:r>
      <w:r w:rsidR="00000000">
        <w:t>, address the following three questions. Be specific — vague answers will not survive the debrief.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16481" w14:paraId="77E1E538"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shd w:val="clear" w:color="auto" w:fill="091726"/>
            <w:tcMar>
              <w:top w:w="120" w:type="dxa"/>
              <w:left w:w="120" w:type="dxa"/>
              <w:bottom w:w="120" w:type="dxa"/>
              <w:right w:w="120" w:type="dxa"/>
            </w:tcMar>
            <w:vAlign w:val="center"/>
          </w:tcPr>
          <w:p w14:paraId="75753B0A" w14:textId="77777777" w:rsidR="00716481" w:rsidRDefault="00000000">
            <w:pPr>
              <w:jc w:val="center"/>
            </w:pPr>
            <w:r>
              <w:rPr>
                <w:b/>
                <w:bCs/>
                <w:color w:val="FFFFFF"/>
                <w:sz w:val="28"/>
                <w:szCs w:val="28"/>
              </w:rPr>
              <w:t>01</w:t>
            </w:r>
          </w:p>
        </w:tc>
        <w:tc>
          <w:tcPr>
            <w:tcW w:w="8560" w:type="dxa"/>
            <w:tcBorders>
              <w:top w:val="single" w:sz="1" w:space="0" w:color="D0D8E0"/>
              <w:left w:val="single" w:sz="1" w:space="0" w:color="D0D8E0"/>
              <w:bottom w:val="single" w:sz="1" w:space="0" w:color="D0D8E0"/>
              <w:right w:val="single" w:sz="1" w:space="0" w:color="D0D8E0"/>
            </w:tcBorders>
            <w:shd w:val="clear" w:color="auto" w:fill="F4F6F8"/>
            <w:tcMar>
              <w:top w:w="120" w:type="dxa"/>
              <w:left w:w="160" w:type="dxa"/>
              <w:bottom w:w="120" w:type="dxa"/>
              <w:right w:w="160" w:type="dxa"/>
            </w:tcMar>
          </w:tcPr>
          <w:p w14:paraId="2D66D31D" w14:textId="77777777" w:rsidR="00716481" w:rsidRDefault="00000000">
            <w:pPr>
              <w:spacing w:after="60"/>
            </w:pPr>
            <w:r>
              <w:rPr>
                <w:b/>
                <w:bCs/>
                <w:color w:val="091726"/>
              </w:rPr>
              <w:t>Diagnose the mechanism(s)</w:t>
            </w:r>
          </w:p>
          <w:p w14:paraId="5CBDC957" w14:textId="77777777" w:rsidR="00716481" w:rsidRDefault="00000000">
            <w:r>
              <w:rPr>
                <w:color w:val="3D5570"/>
                <w:sz w:val="20"/>
                <w:szCs w:val="20"/>
              </w:rPr>
              <w:t>Which of the three mechanisms is operating? Is it one, two, or all three? Justify your reasoning precisely. What is the specific pathway from mechanism to harm?</w:t>
            </w:r>
          </w:p>
        </w:tc>
      </w:tr>
    </w:tbl>
    <w:p w14:paraId="302394A6" w14:textId="77777777" w:rsidR="00716481" w:rsidRDefault="0071648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16481" w14:paraId="09CEF1C6"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shd w:val="clear" w:color="auto" w:fill="091726"/>
            <w:tcMar>
              <w:top w:w="120" w:type="dxa"/>
              <w:left w:w="120" w:type="dxa"/>
              <w:bottom w:w="120" w:type="dxa"/>
              <w:right w:w="120" w:type="dxa"/>
            </w:tcMar>
            <w:vAlign w:val="center"/>
          </w:tcPr>
          <w:p w14:paraId="600A6F28" w14:textId="77777777" w:rsidR="00716481" w:rsidRDefault="00000000">
            <w:pPr>
              <w:jc w:val="center"/>
            </w:pPr>
            <w:r>
              <w:rPr>
                <w:b/>
                <w:bCs/>
                <w:color w:val="FFFFFF"/>
                <w:sz w:val="28"/>
                <w:szCs w:val="28"/>
              </w:rPr>
              <w:t>02</w:t>
            </w:r>
          </w:p>
        </w:tc>
        <w:tc>
          <w:tcPr>
            <w:tcW w:w="8560" w:type="dxa"/>
            <w:tcBorders>
              <w:top w:val="single" w:sz="1" w:space="0" w:color="D0D8E0"/>
              <w:left w:val="single" w:sz="1" w:space="0" w:color="D0D8E0"/>
              <w:bottom w:val="single" w:sz="1" w:space="0" w:color="D0D8E0"/>
              <w:right w:val="single" w:sz="1" w:space="0" w:color="D0D8E0"/>
            </w:tcBorders>
            <w:shd w:val="clear" w:color="auto" w:fill="F4F6F8"/>
            <w:tcMar>
              <w:top w:w="120" w:type="dxa"/>
              <w:left w:w="160" w:type="dxa"/>
              <w:bottom w:w="120" w:type="dxa"/>
              <w:right w:w="160" w:type="dxa"/>
            </w:tcMar>
          </w:tcPr>
          <w:p w14:paraId="0B573CFB" w14:textId="77777777" w:rsidR="00716481" w:rsidRDefault="00000000">
            <w:pPr>
              <w:spacing w:after="60"/>
            </w:pPr>
            <w:r>
              <w:rPr>
                <w:b/>
                <w:bCs/>
                <w:color w:val="091726"/>
              </w:rPr>
              <w:t>Explain the harm</w:t>
            </w:r>
          </w:p>
          <w:p w14:paraId="2CCB2ECB" w14:textId="77777777" w:rsidR="00716481" w:rsidRDefault="00000000">
            <w:r>
              <w:rPr>
                <w:color w:val="3D5570"/>
                <w:sz w:val="20"/>
                <w:szCs w:val="20"/>
              </w:rPr>
              <w:t>ClearPath's finding was not a malfunction. It performed as designed, using clinically established parameters. Sandra was not negligent. The ministry's equity rationale was not cynical. So where exactly does the harm live — and how does the mechanism produce it in this specific context?</w:t>
            </w:r>
          </w:p>
        </w:tc>
      </w:tr>
    </w:tbl>
    <w:p w14:paraId="631DEC1B" w14:textId="77777777" w:rsidR="00716481" w:rsidRDefault="0071648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16481" w14:paraId="7C5CCA20"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shd w:val="clear" w:color="auto" w:fill="091726"/>
            <w:tcMar>
              <w:top w:w="120" w:type="dxa"/>
              <w:left w:w="120" w:type="dxa"/>
              <w:bottom w:w="120" w:type="dxa"/>
              <w:right w:w="120" w:type="dxa"/>
            </w:tcMar>
            <w:vAlign w:val="center"/>
          </w:tcPr>
          <w:p w14:paraId="0DF7A3F9" w14:textId="77777777" w:rsidR="00716481" w:rsidRDefault="00000000">
            <w:pPr>
              <w:jc w:val="center"/>
            </w:pPr>
            <w:r>
              <w:rPr>
                <w:b/>
                <w:bCs/>
                <w:color w:val="FFFFFF"/>
                <w:sz w:val="28"/>
                <w:szCs w:val="28"/>
              </w:rPr>
              <w:t>03</w:t>
            </w:r>
          </w:p>
        </w:tc>
        <w:tc>
          <w:tcPr>
            <w:tcW w:w="8560" w:type="dxa"/>
            <w:tcBorders>
              <w:top w:val="single" w:sz="1" w:space="0" w:color="D0D8E0"/>
              <w:left w:val="single" w:sz="1" w:space="0" w:color="D0D8E0"/>
              <w:bottom w:val="single" w:sz="1" w:space="0" w:color="D0D8E0"/>
              <w:right w:val="single" w:sz="1" w:space="0" w:color="D0D8E0"/>
            </w:tcBorders>
            <w:shd w:val="clear" w:color="auto" w:fill="F4F6F8"/>
            <w:tcMar>
              <w:top w:w="120" w:type="dxa"/>
              <w:left w:w="160" w:type="dxa"/>
              <w:bottom w:w="120" w:type="dxa"/>
              <w:right w:w="160" w:type="dxa"/>
            </w:tcMar>
          </w:tcPr>
          <w:p w14:paraId="705A4AF7" w14:textId="77777777" w:rsidR="00716481" w:rsidRDefault="00000000">
            <w:pPr>
              <w:spacing w:after="60"/>
            </w:pPr>
            <w:r>
              <w:rPr>
                <w:b/>
                <w:bCs/>
                <w:color w:val="091726"/>
              </w:rPr>
              <w:t>Propose an intervention</w:t>
            </w:r>
          </w:p>
          <w:p w14:paraId="52FAD8D2" w14:textId="77777777" w:rsidR="00716481" w:rsidRDefault="00000000">
            <w:r>
              <w:rPr>
                <w:color w:val="3D5570"/>
                <w:sz w:val="20"/>
                <w:szCs w:val="20"/>
              </w:rPr>
              <w:t>Propose one contextually grounded intervention point. Not a generic solution — something that would actually work here, for this community, in this health system. Who implements it? At what point in the chain? And critically — what does it not solve?</w:t>
            </w:r>
          </w:p>
        </w:tc>
      </w:tr>
    </w:tbl>
    <w:p w14:paraId="03BD8787" w14:textId="2F42570E" w:rsidR="00BC0AB6" w:rsidRDefault="00BC0AB6">
      <w:pPr>
        <w:rPr>
          <w:b/>
          <w:bCs/>
          <w:color w:val="091726"/>
          <w:sz w:val="30"/>
          <w:szCs w:val="30"/>
        </w:rPr>
      </w:pPr>
    </w:p>
    <w:p w14:paraId="6719F63E" w14:textId="128497BA" w:rsidR="00716481" w:rsidRDefault="00000000" w:rsidP="00BC0AB6">
      <w:pPr>
        <w:pBdr>
          <w:bottom w:val="single" w:sz="4" w:space="1" w:color="2A8F65"/>
        </w:pBdr>
        <w:spacing w:before="120"/>
      </w:pPr>
      <w:r>
        <w:rPr>
          <w:b/>
          <w:bCs/>
          <w:color w:val="091726"/>
          <w:sz w:val="30"/>
          <w:szCs w:val="30"/>
        </w:rPr>
        <w:lastRenderedPageBreak/>
        <w:t>Reference Cards</w:t>
      </w:r>
    </w:p>
    <w:p w14:paraId="6A089AA3" w14:textId="77777777" w:rsidR="00716481" w:rsidRDefault="00000000">
      <w:pPr>
        <w:spacing w:before="80" w:after="200"/>
      </w:pPr>
      <w:r>
        <w:t>Keep these in mind as you work through the scenario. They are here to help you apply the framework — not to do the thinking for you.</w:t>
      </w:r>
    </w:p>
    <w:p w14:paraId="6721518E" w14:textId="77777777" w:rsidR="00716481" w:rsidRPr="00E769CA" w:rsidRDefault="00000000">
      <w:pPr>
        <w:pStyle w:val="Heading2"/>
        <w:rPr>
          <w:sz w:val="24"/>
          <w:szCs w:val="24"/>
        </w:rPr>
      </w:pPr>
      <w:r w:rsidRPr="00E769CA">
        <w:rPr>
          <w:sz w:val="24"/>
          <w:szCs w:val="24"/>
        </w:rPr>
        <w:t>Two Typologies of AI-Mediated Misinformation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481" w14:paraId="40346D1F" w14:textId="77777777">
        <w:tblPrEx>
          <w:tblCellMar>
            <w:top w:w="0" w:type="dxa"/>
            <w:bottom w:w="0" w:type="dxa"/>
          </w:tblCellMar>
        </w:tblPrEx>
        <w:tc>
          <w:tcPr>
            <w:tcW w:w="9360" w:type="dxa"/>
            <w:tcBorders>
              <w:top w:val="single" w:sz="8" w:space="0" w:color="C07060"/>
              <w:left w:val="single" w:sz="8" w:space="0" w:color="C07060"/>
              <w:bottom w:val="single" w:sz="1" w:space="0" w:color="D0D8E0"/>
              <w:right w:val="single" w:sz="1" w:space="0" w:color="D0D8E0"/>
            </w:tcBorders>
            <w:shd w:val="clear" w:color="auto" w:fill="F4F6F8"/>
            <w:tcMar>
              <w:top w:w="140" w:type="dxa"/>
              <w:left w:w="200" w:type="dxa"/>
              <w:bottom w:w="140" w:type="dxa"/>
              <w:right w:w="200" w:type="dxa"/>
            </w:tcMar>
          </w:tcPr>
          <w:p w14:paraId="04429579" w14:textId="77777777" w:rsidR="00716481" w:rsidRDefault="00000000">
            <w:pPr>
              <w:spacing w:after="100"/>
            </w:pPr>
            <w:r>
              <w:rPr>
                <w:b/>
                <w:bCs/>
                <w:color w:val="C07060"/>
                <w:spacing w:val="30"/>
                <w:sz w:val="18"/>
                <w:szCs w:val="18"/>
              </w:rPr>
              <w:t xml:space="preserve">TYPE 1  </w:t>
            </w:r>
            <w:r>
              <w:rPr>
                <w:b/>
                <w:bCs/>
                <w:color w:val="091726"/>
                <w:sz w:val="24"/>
                <w:szCs w:val="24"/>
              </w:rPr>
              <w:t>AI as a weapon</w:t>
            </w:r>
          </w:p>
          <w:p w14:paraId="096CF11E" w14:textId="77777777" w:rsidR="00716481" w:rsidRPr="00E769CA" w:rsidRDefault="00000000">
            <w:pPr>
              <w:pStyle w:val="ListParagraph"/>
              <w:numPr>
                <w:ilvl w:val="0"/>
                <w:numId w:val="2"/>
              </w:numPr>
              <w:spacing w:before="40" w:after="40"/>
              <w:rPr>
                <w:sz w:val="20"/>
                <w:szCs w:val="20"/>
              </w:rPr>
            </w:pPr>
            <w:r w:rsidRPr="00E769CA">
              <w:rPr>
                <w:sz w:val="20"/>
                <w:szCs w:val="20"/>
              </w:rPr>
              <w:t>Deliberately deployed to generate and spread false health content</w:t>
            </w:r>
          </w:p>
          <w:p w14:paraId="336ABB2E" w14:textId="77777777" w:rsidR="00716481" w:rsidRPr="00E769CA" w:rsidRDefault="00000000">
            <w:pPr>
              <w:pStyle w:val="ListParagraph"/>
              <w:numPr>
                <w:ilvl w:val="0"/>
                <w:numId w:val="2"/>
              </w:numPr>
              <w:spacing w:before="40" w:after="40"/>
              <w:rPr>
                <w:sz w:val="20"/>
                <w:szCs w:val="20"/>
              </w:rPr>
            </w:pPr>
            <w:r w:rsidRPr="00E769CA">
              <w:rPr>
                <w:sz w:val="20"/>
                <w:szCs w:val="20"/>
              </w:rPr>
              <w:t>Well documented in the literature — active interventions exist</w:t>
            </w:r>
          </w:p>
          <w:p w14:paraId="209B9ECB" w14:textId="77777777" w:rsidR="00716481" w:rsidRPr="00E769CA" w:rsidRDefault="00000000">
            <w:pPr>
              <w:pStyle w:val="ListParagraph"/>
              <w:numPr>
                <w:ilvl w:val="0"/>
                <w:numId w:val="2"/>
              </w:numPr>
              <w:spacing w:before="40" w:after="40"/>
              <w:rPr>
                <w:sz w:val="20"/>
                <w:szCs w:val="20"/>
              </w:rPr>
            </w:pPr>
            <w:r w:rsidRPr="00E769CA">
              <w:rPr>
                <w:sz w:val="20"/>
                <w:szCs w:val="20"/>
              </w:rPr>
              <w:t>A malicious actor is always present in the causal chain</w:t>
            </w:r>
          </w:p>
          <w:p w14:paraId="0D278560" w14:textId="77777777" w:rsidR="00716481" w:rsidRDefault="00000000">
            <w:pPr>
              <w:pStyle w:val="ListParagraph"/>
              <w:numPr>
                <w:ilvl w:val="0"/>
                <w:numId w:val="2"/>
              </w:numPr>
              <w:spacing w:before="40" w:after="40"/>
            </w:pPr>
            <w:r w:rsidRPr="00E769CA">
              <w:rPr>
                <w:b/>
                <w:bCs/>
                <w:sz w:val="20"/>
                <w:szCs w:val="20"/>
              </w:rPr>
              <w:t xml:space="preserve">Exemplar:   </w:t>
            </w:r>
            <w:r w:rsidRPr="00E769CA">
              <w:rPr>
                <w:sz w:val="20"/>
                <w:szCs w:val="20"/>
              </w:rPr>
              <w:t>Menz et al., BMJ 2024 — 113 unique cancer disinformation blogs generated on demand, no jailbreaking required</w:t>
            </w:r>
          </w:p>
        </w:tc>
      </w:tr>
    </w:tbl>
    <w:p w14:paraId="364B0F69" w14:textId="77777777" w:rsidR="00716481" w:rsidRDefault="0071648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481" w14:paraId="666B2AF6" w14:textId="77777777">
        <w:tblPrEx>
          <w:tblCellMar>
            <w:top w:w="0" w:type="dxa"/>
            <w:bottom w:w="0" w:type="dxa"/>
          </w:tblCellMar>
        </w:tblPrEx>
        <w:tc>
          <w:tcPr>
            <w:tcW w:w="9360" w:type="dxa"/>
            <w:tcBorders>
              <w:top w:val="single" w:sz="8" w:space="0" w:color="2A8F65"/>
              <w:left w:val="single" w:sz="8" w:space="0" w:color="2A8F65"/>
              <w:bottom w:val="single" w:sz="1" w:space="0" w:color="D0D8E0"/>
              <w:right w:val="single" w:sz="1" w:space="0" w:color="D0D8E0"/>
            </w:tcBorders>
            <w:shd w:val="clear" w:color="auto" w:fill="F4F6F8"/>
            <w:tcMar>
              <w:top w:w="140" w:type="dxa"/>
              <w:left w:w="200" w:type="dxa"/>
              <w:bottom w:w="140" w:type="dxa"/>
              <w:right w:w="200" w:type="dxa"/>
            </w:tcMar>
          </w:tcPr>
          <w:p w14:paraId="789AFE1E" w14:textId="77777777" w:rsidR="00716481" w:rsidRDefault="00000000">
            <w:pPr>
              <w:spacing w:after="100"/>
            </w:pPr>
            <w:r>
              <w:rPr>
                <w:b/>
                <w:bCs/>
                <w:color w:val="2A8F65"/>
                <w:spacing w:val="30"/>
                <w:sz w:val="18"/>
                <w:szCs w:val="18"/>
              </w:rPr>
              <w:t xml:space="preserve">TYPE 2  </w:t>
            </w:r>
            <w:r>
              <w:rPr>
                <w:b/>
                <w:bCs/>
                <w:color w:val="091726"/>
                <w:sz w:val="24"/>
                <w:szCs w:val="24"/>
              </w:rPr>
              <w:t>AI as an unreliable guide</w:t>
            </w:r>
          </w:p>
          <w:p w14:paraId="6D13AFF8" w14:textId="77777777" w:rsidR="00716481" w:rsidRPr="00E769CA" w:rsidRDefault="00000000">
            <w:pPr>
              <w:pStyle w:val="ListParagraph"/>
              <w:numPr>
                <w:ilvl w:val="0"/>
                <w:numId w:val="2"/>
              </w:numPr>
              <w:spacing w:before="40" w:after="40"/>
              <w:rPr>
                <w:sz w:val="20"/>
                <w:szCs w:val="20"/>
              </w:rPr>
            </w:pPr>
            <w:r w:rsidRPr="00E769CA">
              <w:rPr>
                <w:sz w:val="20"/>
                <w:szCs w:val="20"/>
              </w:rPr>
              <w:t>Arises from ordinary interactions with AI health tools</w:t>
            </w:r>
          </w:p>
          <w:p w14:paraId="2752ACAA" w14:textId="77777777" w:rsidR="00716481" w:rsidRPr="00E769CA" w:rsidRDefault="00000000">
            <w:pPr>
              <w:pStyle w:val="ListParagraph"/>
              <w:numPr>
                <w:ilvl w:val="0"/>
                <w:numId w:val="2"/>
              </w:numPr>
              <w:spacing w:before="40" w:after="40"/>
              <w:rPr>
                <w:sz w:val="20"/>
                <w:szCs w:val="20"/>
              </w:rPr>
            </w:pPr>
            <w:r w:rsidRPr="00E769CA">
              <w:rPr>
                <w:sz w:val="20"/>
                <w:szCs w:val="20"/>
              </w:rPr>
              <w:t>Not malicious in origin — emergent from how models are built and aligned</w:t>
            </w:r>
          </w:p>
          <w:p w14:paraId="29B6BB11" w14:textId="77777777" w:rsidR="00716481" w:rsidRPr="00E769CA" w:rsidRDefault="00000000">
            <w:pPr>
              <w:pStyle w:val="ListParagraph"/>
              <w:numPr>
                <w:ilvl w:val="0"/>
                <w:numId w:val="2"/>
              </w:numPr>
              <w:spacing w:before="40" w:after="40"/>
              <w:rPr>
                <w:sz w:val="20"/>
                <w:szCs w:val="20"/>
              </w:rPr>
            </w:pPr>
            <w:r w:rsidRPr="00E769CA">
              <w:rPr>
                <w:sz w:val="20"/>
                <w:szCs w:val="20"/>
              </w:rPr>
              <w:t>Far less studied, far harder to detect</w:t>
            </w:r>
          </w:p>
          <w:p w14:paraId="623355B0" w14:textId="77777777" w:rsidR="00716481" w:rsidRDefault="00000000">
            <w:pPr>
              <w:pStyle w:val="ListParagraph"/>
              <w:numPr>
                <w:ilvl w:val="0"/>
                <w:numId w:val="2"/>
              </w:numPr>
              <w:spacing w:before="40" w:after="40"/>
            </w:pPr>
            <w:r w:rsidRPr="00E769CA">
              <w:rPr>
                <w:b/>
                <w:bCs/>
                <w:sz w:val="20"/>
                <w:szCs w:val="20"/>
              </w:rPr>
              <w:t xml:space="preserve">Exemplar:   </w:t>
            </w:r>
            <w:r w:rsidRPr="00E769CA">
              <w:rPr>
                <w:sz w:val="20"/>
                <w:szCs w:val="20"/>
              </w:rPr>
              <w:t>Omar et al., Lancet Digital Health 2026 — 3.4M prompts, 20 models, 50% misinformation acceptance in clinical language vs 9% in social media posts</w:t>
            </w:r>
          </w:p>
        </w:tc>
      </w:tr>
    </w:tbl>
    <w:p w14:paraId="3B93D681" w14:textId="77777777" w:rsidR="00716481" w:rsidRPr="00E769CA" w:rsidRDefault="00000000">
      <w:pPr>
        <w:pStyle w:val="Heading2"/>
        <w:rPr>
          <w:sz w:val="24"/>
          <w:szCs w:val="24"/>
        </w:rPr>
      </w:pPr>
      <w:r w:rsidRPr="00E769CA">
        <w:rPr>
          <w:sz w:val="24"/>
          <w:szCs w:val="24"/>
        </w:rPr>
        <w:t>Three Mechanisms of AI-Mediated Harm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481" w14:paraId="08EF770C" w14:textId="77777777">
        <w:tblPrEx>
          <w:tblCellMar>
            <w:top w:w="0" w:type="dxa"/>
            <w:bottom w:w="0" w:type="dxa"/>
          </w:tblCellMar>
        </w:tblPrEx>
        <w:tc>
          <w:tcPr>
            <w:tcW w:w="9360" w:type="dxa"/>
            <w:tcBorders>
              <w:top w:val="single" w:sz="8" w:space="0" w:color="5DCAA5"/>
              <w:left w:val="single" w:sz="8" w:space="0" w:color="5DCAA5"/>
              <w:bottom w:val="single" w:sz="1" w:space="0" w:color="D0D8E0"/>
              <w:right w:val="single" w:sz="1" w:space="0" w:color="D0D8E0"/>
            </w:tcBorders>
            <w:shd w:val="clear" w:color="auto" w:fill="F4F6F8"/>
            <w:tcMar>
              <w:top w:w="140" w:type="dxa"/>
              <w:left w:w="200" w:type="dxa"/>
              <w:bottom w:w="140" w:type="dxa"/>
              <w:right w:w="200" w:type="dxa"/>
            </w:tcMar>
          </w:tcPr>
          <w:p w14:paraId="3198E549" w14:textId="77777777" w:rsidR="00716481" w:rsidRDefault="00000000">
            <w:pPr>
              <w:spacing w:after="100"/>
            </w:pPr>
            <w:r>
              <w:rPr>
                <w:b/>
                <w:bCs/>
                <w:color w:val="5DCAA5"/>
                <w:spacing w:val="30"/>
                <w:sz w:val="20"/>
                <w:szCs w:val="20"/>
              </w:rPr>
              <w:t xml:space="preserve">01  </w:t>
            </w:r>
            <w:r>
              <w:rPr>
                <w:b/>
                <w:bCs/>
                <w:color w:val="091726"/>
                <w:sz w:val="24"/>
                <w:szCs w:val="24"/>
              </w:rPr>
              <w:t>Epistemic complacency</w:t>
            </w:r>
          </w:p>
          <w:p w14:paraId="51A0F3DD" w14:textId="77777777" w:rsidR="00716481" w:rsidRPr="00E769CA" w:rsidRDefault="00000000">
            <w:pPr>
              <w:spacing w:after="100"/>
              <w:rPr>
                <w:sz w:val="20"/>
                <w:szCs w:val="20"/>
              </w:rPr>
            </w:pPr>
            <w:r w:rsidRPr="00E769CA">
              <w:rPr>
                <w:sz w:val="20"/>
                <w:szCs w:val="20"/>
              </w:rPr>
              <w:t>AI is right most of the time → verification habits atrophy → consequential errors go undetected. The cues that should trigger scepticism are precisely what the system's fluency occludes. The problem is not over-trust — it is the gradual atrophy of the habits that protect against rare but high-impact mistakes.</w:t>
            </w:r>
          </w:p>
          <w:p w14:paraId="26B85707" w14:textId="77777777" w:rsidR="00716481" w:rsidRDefault="00000000">
            <w:pPr>
              <w:pBdr>
                <w:top w:val="single" w:sz="2" w:space="1" w:color="D0D8E0"/>
              </w:pBdr>
              <w:spacing w:before="80"/>
            </w:pPr>
            <w:r>
              <w:rPr>
                <w:b/>
                <w:bCs/>
                <w:color w:val="3D5570"/>
                <w:sz w:val="19"/>
                <w:szCs w:val="19"/>
              </w:rPr>
              <w:t xml:space="preserve">Evidence anchor:  </w:t>
            </w:r>
            <w:r>
              <w:rPr>
                <w:color w:val="3D5570"/>
                <w:sz w:val="19"/>
                <w:szCs w:val="19"/>
              </w:rPr>
              <w:t>Omar et al. 2026: 50% misinformation acceptance in clinical notes vs 9% in Reddit posts. The professional register is the vulnerability, not the content.</w:t>
            </w:r>
          </w:p>
        </w:tc>
      </w:tr>
    </w:tbl>
    <w:p w14:paraId="65B6B01E" w14:textId="77777777" w:rsidR="00716481" w:rsidRDefault="0071648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481" w14:paraId="5196A3A4" w14:textId="77777777">
        <w:tblPrEx>
          <w:tblCellMar>
            <w:top w:w="0" w:type="dxa"/>
            <w:bottom w:w="0" w:type="dxa"/>
          </w:tblCellMar>
        </w:tblPrEx>
        <w:tc>
          <w:tcPr>
            <w:tcW w:w="9360" w:type="dxa"/>
            <w:tcBorders>
              <w:top w:val="single" w:sz="8" w:space="0" w:color="B8924A"/>
              <w:left w:val="single" w:sz="8" w:space="0" w:color="B8924A"/>
              <w:bottom w:val="single" w:sz="1" w:space="0" w:color="D0D8E0"/>
              <w:right w:val="single" w:sz="1" w:space="0" w:color="D0D8E0"/>
            </w:tcBorders>
            <w:shd w:val="clear" w:color="auto" w:fill="F4F6F8"/>
            <w:tcMar>
              <w:top w:w="140" w:type="dxa"/>
              <w:left w:w="200" w:type="dxa"/>
              <w:bottom w:w="140" w:type="dxa"/>
              <w:right w:w="200" w:type="dxa"/>
            </w:tcMar>
          </w:tcPr>
          <w:p w14:paraId="2C8F67E9" w14:textId="77777777" w:rsidR="00716481" w:rsidRDefault="00000000">
            <w:pPr>
              <w:spacing w:after="100"/>
            </w:pPr>
            <w:r>
              <w:rPr>
                <w:b/>
                <w:bCs/>
                <w:color w:val="B8924A"/>
                <w:spacing w:val="30"/>
                <w:sz w:val="20"/>
                <w:szCs w:val="20"/>
              </w:rPr>
              <w:t xml:space="preserve">02  </w:t>
            </w:r>
            <w:r>
              <w:rPr>
                <w:b/>
                <w:bCs/>
                <w:color w:val="091726"/>
                <w:sz w:val="24"/>
                <w:szCs w:val="24"/>
              </w:rPr>
              <w:t>Shallow correctness</w:t>
            </w:r>
          </w:p>
          <w:p w14:paraId="14921689" w14:textId="77777777" w:rsidR="00716481" w:rsidRPr="00E769CA" w:rsidRDefault="00000000">
            <w:pPr>
              <w:spacing w:after="100"/>
              <w:rPr>
                <w:sz w:val="20"/>
                <w:szCs w:val="20"/>
              </w:rPr>
            </w:pPr>
            <w:r w:rsidRPr="00E769CA">
              <w:rPr>
                <w:sz w:val="20"/>
                <w:szCs w:val="20"/>
              </w:rPr>
              <w:t>Factually accurate but contextually insufficient → safe to read, unsafe to act on. A context mismatch between where the knowledge was generated and where it is applied. The output is not wrong — it is insufficiently situated for the patient, setting, and system in front of you.</w:t>
            </w:r>
          </w:p>
          <w:p w14:paraId="437744C9" w14:textId="77777777" w:rsidR="00716481" w:rsidRDefault="00000000">
            <w:pPr>
              <w:pBdr>
                <w:top w:val="single" w:sz="2" w:space="1" w:color="D0D8E0"/>
              </w:pBdr>
              <w:spacing w:before="80"/>
            </w:pPr>
            <w:r>
              <w:rPr>
                <w:b/>
                <w:bCs/>
                <w:color w:val="3D5570"/>
                <w:sz w:val="19"/>
                <w:szCs w:val="19"/>
              </w:rPr>
              <w:t xml:space="preserve">Evidence anchor:  </w:t>
            </w:r>
            <w:r>
              <w:rPr>
                <w:color w:val="3D5570"/>
                <w:sz w:val="19"/>
                <w:szCs w:val="19"/>
              </w:rPr>
              <w:t>Treatment guidelines that assume drug availability, clinic proximity, or out-of-pocket affordability that does not exist in the patient's life.</w:t>
            </w:r>
          </w:p>
        </w:tc>
      </w:tr>
    </w:tbl>
    <w:p w14:paraId="1B10B581" w14:textId="77777777" w:rsidR="00716481" w:rsidRDefault="0071648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481" w14:paraId="1D34470F" w14:textId="77777777">
        <w:tblPrEx>
          <w:tblCellMar>
            <w:top w:w="0" w:type="dxa"/>
            <w:bottom w:w="0" w:type="dxa"/>
          </w:tblCellMar>
        </w:tblPrEx>
        <w:tc>
          <w:tcPr>
            <w:tcW w:w="9360" w:type="dxa"/>
            <w:tcBorders>
              <w:top w:val="single" w:sz="8" w:space="0" w:color="C07060"/>
              <w:left w:val="single" w:sz="8" w:space="0" w:color="C07060"/>
              <w:bottom w:val="single" w:sz="1" w:space="0" w:color="D0D8E0"/>
              <w:right w:val="single" w:sz="1" w:space="0" w:color="D0D8E0"/>
            </w:tcBorders>
            <w:shd w:val="clear" w:color="auto" w:fill="F4F6F8"/>
            <w:tcMar>
              <w:top w:w="140" w:type="dxa"/>
              <w:left w:w="200" w:type="dxa"/>
              <w:bottom w:w="140" w:type="dxa"/>
              <w:right w:w="200" w:type="dxa"/>
            </w:tcMar>
          </w:tcPr>
          <w:p w14:paraId="6B0FD10E" w14:textId="77777777" w:rsidR="00716481" w:rsidRDefault="00000000">
            <w:pPr>
              <w:spacing w:after="100"/>
            </w:pPr>
            <w:r>
              <w:rPr>
                <w:b/>
                <w:bCs/>
                <w:color w:val="C07060"/>
                <w:spacing w:val="30"/>
                <w:sz w:val="20"/>
                <w:szCs w:val="20"/>
              </w:rPr>
              <w:t xml:space="preserve">03  </w:t>
            </w:r>
            <w:r>
              <w:rPr>
                <w:b/>
                <w:bCs/>
                <w:color w:val="091726"/>
                <w:sz w:val="24"/>
                <w:szCs w:val="24"/>
              </w:rPr>
              <w:t>Structural exclusion</w:t>
            </w:r>
          </w:p>
          <w:p w14:paraId="58D3F2F5" w14:textId="77777777" w:rsidR="00716481" w:rsidRPr="00E769CA" w:rsidRDefault="00000000">
            <w:pPr>
              <w:spacing w:after="100"/>
              <w:rPr>
                <w:sz w:val="20"/>
                <w:szCs w:val="20"/>
              </w:rPr>
            </w:pPr>
            <w:r w:rsidRPr="00E769CA">
              <w:rPr>
                <w:sz w:val="20"/>
                <w:szCs w:val="20"/>
              </w:rPr>
              <w:t>Training data encodes historical gaps → AI advice is presented as universal → populations excluded from the evidence base receive the least applicable guidance. Unlike the other two mechanisms, this one resists straightforward technical fixes — more inclusive research is essential but slow.</w:t>
            </w:r>
          </w:p>
          <w:p w14:paraId="561C77FF" w14:textId="77777777" w:rsidR="00716481" w:rsidRDefault="00000000">
            <w:pPr>
              <w:pBdr>
                <w:top w:val="single" w:sz="2" w:space="1" w:color="D0D8E0"/>
              </w:pBdr>
              <w:spacing w:before="80"/>
            </w:pPr>
            <w:r>
              <w:rPr>
                <w:b/>
                <w:bCs/>
                <w:color w:val="3D5570"/>
                <w:sz w:val="19"/>
                <w:szCs w:val="19"/>
              </w:rPr>
              <w:t xml:space="preserve">Evidence anchor:  </w:t>
            </w:r>
            <w:r>
              <w:rPr>
                <w:color w:val="3D5570"/>
                <w:sz w:val="19"/>
                <w:szCs w:val="19"/>
              </w:rPr>
              <w:t>Omar et al. 2026: LGBTQ+ patients flagged for mental health assessment at 6–7x the rate of controls. Not a malfunction — a learned pattern from biased training data.</w:t>
            </w:r>
          </w:p>
        </w:tc>
      </w:tr>
    </w:tbl>
    <w:p w14:paraId="6E218904" w14:textId="00E955CC" w:rsidR="00716481" w:rsidRDefault="00716481" w:rsidP="00E769CA">
      <w:pPr>
        <w:spacing w:before="80"/>
      </w:pPr>
    </w:p>
    <w:sectPr w:rsidR="00716481" w:rsidSect="00BC0AB6">
      <w:headerReference w:type="default" r:id="rId8"/>
      <w:footerReference w:type="default" r:id="rId9"/>
      <w:pgSz w:w="12240" w:h="15840"/>
      <w:pgMar w:top="720" w:right="720" w:bottom="720" w:left="72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E0570" w14:textId="77777777" w:rsidR="00647F37" w:rsidRDefault="00647F37">
      <w:r>
        <w:separator/>
      </w:r>
    </w:p>
  </w:endnote>
  <w:endnote w:type="continuationSeparator" w:id="0">
    <w:p w14:paraId="4D21F701" w14:textId="77777777" w:rsidR="00647F37" w:rsidRDefault="00647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FAC3" w14:textId="43DF7BED" w:rsidR="00716481" w:rsidRDefault="00AF4556">
    <w:pPr>
      <w:pBdr>
        <w:top w:val="single" w:sz="4" w:space="1" w:color="D0D8E0"/>
      </w:pBdr>
    </w:pPr>
    <w:hyperlink r:id="rId1" w:history="1">
      <w:r w:rsidRPr="00476626">
        <w:rPr>
          <w:rStyle w:val="Hyperlink"/>
          <w:sz w:val="18"/>
          <w:szCs w:val="18"/>
        </w:rPr>
        <w:t>https://drjforrest.com</w:t>
      </w:r>
    </w:hyperlink>
    <w:r>
      <w:rPr>
        <w:color w:val="364E60"/>
        <w:sz w:val="18"/>
        <w:szCs w:val="18"/>
      </w:rPr>
      <w:t xml:space="preserve"> | </w:t>
    </w:r>
    <w:r w:rsidR="00000000">
      <w:rPr>
        <w:color w:val="D0D8E0"/>
        <w:sz w:val="18"/>
        <w:szCs w:val="18"/>
      </w:rPr>
      <w:t>AI, Health Misinformation &amp; Clinical Decision Support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2EA37" w14:textId="77777777" w:rsidR="00647F37" w:rsidRDefault="00647F37">
      <w:r>
        <w:separator/>
      </w:r>
    </w:p>
  </w:footnote>
  <w:footnote w:type="continuationSeparator" w:id="0">
    <w:p w14:paraId="598A0F2F" w14:textId="77777777" w:rsidR="00647F37" w:rsidRDefault="00647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2477" w14:textId="24F5CBB8" w:rsidR="00716481" w:rsidRDefault="00AF4556" w:rsidP="00BC0AB6">
    <w:pPr>
      <w:pBdr>
        <w:bottom w:val="single" w:sz="4" w:space="6" w:color="D0D8E0"/>
      </w:pBdr>
    </w:pPr>
    <w:r>
      <w:rPr>
        <w:color w:val="364E60"/>
        <w:sz w:val="18"/>
        <w:szCs w:val="18"/>
      </w:rPr>
      <w:t xml:space="preserve">Teaching Demo | </w:t>
    </w:r>
    <w:r w:rsidR="00000000">
      <w:rPr>
        <w:color w:val="364E60"/>
        <w:sz w:val="18"/>
        <w:szCs w:val="18"/>
      </w:rPr>
      <w:t>In-Class Exercise</w:t>
    </w:r>
    <w:r>
      <w:rPr>
        <w:color w:val="D0D8E0"/>
        <w:sz w:val="18"/>
        <w:szCs w:val="18"/>
      </w:rPr>
      <w:t xml:space="preserve"> | </w:t>
    </w:r>
    <w:r w:rsidR="00000000">
      <w:rPr>
        <w:color w:val="D0D8E0"/>
        <w:sz w:val="18"/>
        <w:szCs w:val="18"/>
      </w:rPr>
      <w:t>Jamie Forrest PhD</w:t>
    </w:r>
    <w:r>
      <w:rPr>
        <w:color w:val="D0D8E0"/>
        <w:sz w:val="18"/>
        <w:szCs w:val="18"/>
      </w:rPr>
      <w:t>, MPH – Northeastern University May 19,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6C32"/>
    <w:multiLevelType w:val="hybridMultilevel"/>
    <w:tmpl w:val="0D6E7CEE"/>
    <w:lvl w:ilvl="0" w:tplc="4E3CDB8C">
      <w:start w:val="1"/>
      <w:numFmt w:val="bullet"/>
      <w:lvlText w:val="●"/>
      <w:lvlJc w:val="left"/>
      <w:pPr>
        <w:ind w:left="720" w:hanging="360"/>
      </w:pPr>
    </w:lvl>
    <w:lvl w:ilvl="1" w:tplc="0D4432BC">
      <w:start w:val="1"/>
      <w:numFmt w:val="bullet"/>
      <w:lvlText w:val="○"/>
      <w:lvlJc w:val="left"/>
      <w:pPr>
        <w:ind w:left="1440" w:hanging="360"/>
      </w:pPr>
    </w:lvl>
    <w:lvl w:ilvl="2" w:tplc="CCB4C4AA">
      <w:start w:val="1"/>
      <w:numFmt w:val="bullet"/>
      <w:lvlText w:val="■"/>
      <w:lvlJc w:val="left"/>
      <w:pPr>
        <w:ind w:left="2160" w:hanging="360"/>
      </w:pPr>
    </w:lvl>
    <w:lvl w:ilvl="3" w:tplc="4B02DD10">
      <w:start w:val="1"/>
      <w:numFmt w:val="bullet"/>
      <w:lvlText w:val="●"/>
      <w:lvlJc w:val="left"/>
      <w:pPr>
        <w:ind w:left="2880" w:hanging="360"/>
      </w:pPr>
    </w:lvl>
    <w:lvl w:ilvl="4" w:tplc="5C8271EE">
      <w:start w:val="1"/>
      <w:numFmt w:val="bullet"/>
      <w:lvlText w:val="○"/>
      <w:lvlJc w:val="left"/>
      <w:pPr>
        <w:ind w:left="3600" w:hanging="360"/>
      </w:pPr>
    </w:lvl>
    <w:lvl w:ilvl="5" w:tplc="2AD0B19A">
      <w:start w:val="1"/>
      <w:numFmt w:val="bullet"/>
      <w:lvlText w:val="■"/>
      <w:lvlJc w:val="left"/>
      <w:pPr>
        <w:ind w:left="4320" w:hanging="360"/>
      </w:pPr>
    </w:lvl>
    <w:lvl w:ilvl="6" w:tplc="D9DC710C">
      <w:start w:val="1"/>
      <w:numFmt w:val="bullet"/>
      <w:lvlText w:val="●"/>
      <w:lvlJc w:val="left"/>
      <w:pPr>
        <w:ind w:left="5040" w:hanging="360"/>
      </w:pPr>
    </w:lvl>
    <w:lvl w:ilvl="7" w:tplc="39B8B536">
      <w:start w:val="1"/>
      <w:numFmt w:val="bullet"/>
      <w:lvlText w:val="●"/>
      <w:lvlJc w:val="left"/>
      <w:pPr>
        <w:ind w:left="5760" w:hanging="360"/>
      </w:pPr>
    </w:lvl>
    <w:lvl w:ilvl="8" w:tplc="6B9CD264">
      <w:start w:val="1"/>
      <w:numFmt w:val="bullet"/>
      <w:lvlText w:val="●"/>
      <w:lvlJc w:val="left"/>
      <w:pPr>
        <w:ind w:left="6480" w:hanging="360"/>
      </w:pPr>
    </w:lvl>
  </w:abstractNum>
  <w:abstractNum w:abstractNumId="1" w15:restartNumberingAfterBreak="0">
    <w:nsid w:val="7374799F"/>
    <w:multiLevelType w:val="hybridMultilevel"/>
    <w:tmpl w:val="581C9F74"/>
    <w:lvl w:ilvl="0" w:tplc="C572440C">
      <w:start w:val="1"/>
      <w:numFmt w:val="bullet"/>
      <w:lvlText w:val="•"/>
      <w:lvlJc w:val="left"/>
      <w:pPr>
        <w:ind w:left="560" w:hanging="280"/>
      </w:pPr>
    </w:lvl>
    <w:lvl w:ilvl="1" w:tplc="0188F720">
      <w:numFmt w:val="decimal"/>
      <w:lvlText w:val=""/>
      <w:lvlJc w:val="left"/>
    </w:lvl>
    <w:lvl w:ilvl="2" w:tplc="10584B0A">
      <w:numFmt w:val="decimal"/>
      <w:lvlText w:val=""/>
      <w:lvlJc w:val="left"/>
    </w:lvl>
    <w:lvl w:ilvl="3" w:tplc="5358E64A">
      <w:numFmt w:val="decimal"/>
      <w:lvlText w:val=""/>
      <w:lvlJc w:val="left"/>
    </w:lvl>
    <w:lvl w:ilvl="4" w:tplc="5BAC4CE6">
      <w:numFmt w:val="decimal"/>
      <w:lvlText w:val=""/>
      <w:lvlJc w:val="left"/>
    </w:lvl>
    <w:lvl w:ilvl="5" w:tplc="A3B267BE">
      <w:numFmt w:val="decimal"/>
      <w:lvlText w:val=""/>
      <w:lvlJc w:val="left"/>
    </w:lvl>
    <w:lvl w:ilvl="6" w:tplc="7166D820">
      <w:numFmt w:val="decimal"/>
      <w:lvlText w:val=""/>
      <w:lvlJc w:val="left"/>
    </w:lvl>
    <w:lvl w:ilvl="7" w:tplc="C1768222">
      <w:numFmt w:val="decimal"/>
      <w:lvlText w:val=""/>
      <w:lvlJc w:val="left"/>
    </w:lvl>
    <w:lvl w:ilvl="8" w:tplc="B004FA98">
      <w:numFmt w:val="decimal"/>
      <w:lvlText w:val=""/>
      <w:lvlJc w:val="left"/>
    </w:lvl>
  </w:abstractNum>
  <w:num w:numId="1" w16cid:durableId="1823811363">
    <w:abstractNumId w:val="0"/>
    <w:lvlOverride w:ilvl="0">
      <w:startOverride w:val="1"/>
    </w:lvlOverride>
  </w:num>
  <w:num w:numId="2" w16cid:durableId="12250271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481"/>
    <w:rsid w:val="00647F37"/>
    <w:rsid w:val="00656527"/>
    <w:rsid w:val="006C3080"/>
    <w:rsid w:val="00716481"/>
    <w:rsid w:val="00AF4556"/>
    <w:rsid w:val="00BC0AB6"/>
    <w:rsid w:val="00E769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F6964"/>
  <w15:docId w15:val="{7E39E137-A0B8-9846-ADBC-A9906B97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D3D"/>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556"/>
  </w:style>
  <w:style w:type="paragraph" w:styleId="Heading1">
    <w:name w:val="heading 1"/>
    <w:uiPriority w:val="9"/>
    <w:qFormat/>
    <w:pPr>
      <w:spacing w:after="160"/>
      <w:outlineLvl w:val="0"/>
    </w:pPr>
    <w:rPr>
      <w:b/>
      <w:bCs/>
      <w:color w:val="091726"/>
      <w:sz w:val="36"/>
      <w:szCs w:val="36"/>
    </w:rPr>
  </w:style>
  <w:style w:type="paragraph" w:styleId="Heading2">
    <w:name w:val="heading 2"/>
    <w:uiPriority w:val="9"/>
    <w:unhideWhenUsed/>
    <w:qFormat/>
    <w:pPr>
      <w:spacing w:before="280" w:after="120"/>
      <w:outlineLvl w:val="1"/>
    </w:pPr>
    <w:rPr>
      <w:b/>
      <w:bCs/>
      <w:color w:val="09172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4556"/>
    <w:pPr>
      <w:tabs>
        <w:tab w:val="center" w:pos="4680"/>
        <w:tab w:val="right" w:pos="9360"/>
      </w:tabs>
    </w:pPr>
  </w:style>
  <w:style w:type="character" w:customStyle="1" w:styleId="HeaderChar">
    <w:name w:val="Header Char"/>
    <w:basedOn w:val="DefaultParagraphFont"/>
    <w:link w:val="Header"/>
    <w:uiPriority w:val="99"/>
    <w:rsid w:val="00AF4556"/>
  </w:style>
  <w:style w:type="paragraph" w:styleId="Footer">
    <w:name w:val="footer"/>
    <w:basedOn w:val="Normal"/>
    <w:link w:val="FooterChar"/>
    <w:uiPriority w:val="99"/>
    <w:unhideWhenUsed/>
    <w:rsid w:val="00AF4556"/>
    <w:pPr>
      <w:tabs>
        <w:tab w:val="center" w:pos="4680"/>
        <w:tab w:val="right" w:pos="9360"/>
      </w:tabs>
    </w:pPr>
  </w:style>
  <w:style w:type="character" w:customStyle="1" w:styleId="FooterChar">
    <w:name w:val="Footer Char"/>
    <w:basedOn w:val="DefaultParagraphFont"/>
    <w:link w:val="Footer"/>
    <w:uiPriority w:val="99"/>
    <w:rsid w:val="00AF4556"/>
  </w:style>
  <w:style w:type="character" w:styleId="UnresolvedMention">
    <w:name w:val="Unresolved Mention"/>
    <w:basedOn w:val="DefaultParagraphFont"/>
    <w:uiPriority w:val="99"/>
    <w:semiHidden/>
    <w:unhideWhenUsed/>
    <w:rsid w:val="00AF4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rjforr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FF2B3-762D-794A-8B71-7D592111D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1224</Words>
  <Characters>6897</Characters>
  <Application>Microsoft Office Word</Application>
  <DocSecurity>0</DocSecurity>
  <Lines>130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Forrest, James</cp:lastModifiedBy>
  <cp:revision>2</cp:revision>
  <dcterms:created xsi:type="dcterms:W3CDTF">2026-05-15T11:29:00Z</dcterms:created>
  <dcterms:modified xsi:type="dcterms:W3CDTF">2026-05-16T08:20:00Z</dcterms:modified>
</cp:coreProperties>
</file>