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line="276" w:lineRule="auto"/>
        <w:jc w:val="center"/>
      </w:pPr>
      <w:r>
        <w:rPr>
          <w:b/>
          <w:i w:val="0"/>
          <w:color w:val="1F3B57"/>
          <w:sz w:val="30"/>
        </w:rPr>
        <w:t>QP Clinic, S.C.</w:t>
      </w:r>
    </w:p>
    <w:p>
      <w:pPr>
        <w:spacing w:after="320" w:line="276" w:lineRule="auto"/>
        <w:jc w:val="center"/>
      </w:pPr>
      <w:r>
        <w:rPr>
          <w:b w:val="0"/>
          <w:i w:val="0"/>
          <w:color w:val="546E7A"/>
          <w:sz w:val="18"/>
        </w:rPr>
        <w:t>Insurgentes Sur 933, Int. Piso 12, Col. Nápoles, Alcaldía Benito Juárez, C.P. 03810, Ciudad de México</w:t>
      </w:r>
    </w:p>
    <w:p>
      <w:pPr>
        <w:spacing w:after="60" w:line="276" w:lineRule="auto"/>
        <w:jc w:val="center"/>
      </w:pPr>
      <w:r>
        <w:rPr>
          <w:b/>
          <w:i w:val="0"/>
          <w:color w:val="1F3B57"/>
          <w:sz w:val="28"/>
        </w:rPr>
        <w:t>MANUAL DE PROCEDIMIENTOS DEL SISTEMA DE INFORMACIÓN PARA EL EXPEDIENTE CLÍNICO (SIEC)</w:t>
      </w:r>
    </w:p>
    <w:p>
      <w:pPr>
        <w:spacing w:after="280" w:line="276" w:lineRule="auto"/>
        <w:jc w:val="center"/>
      </w:pPr>
      <w:r>
        <w:rPr>
          <w:b w:val="0"/>
          <w:i w:val="0"/>
          <w:color w:val="546E7A"/>
          <w:sz w:val="22"/>
        </w:rPr>
        <w:t>QP Clinic ECE — Sistema de Expediente Clínico Electrónico</w:t>
      </w:r>
    </w:p>
    <w:tbl>
      <w:tblPr>
        <w:tblStyle w:val="TableGrid"/>
        <w:tblW w:type="auto" w:w="0"/>
        <w:jc w:val="center"/>
        <w:tblLayout w:type="fixed"/>
        <w:tblLook w:firstColumn="1" w:firstRow="1" w:lastColumn="0" w:lastRow="0" w:noHBand="0" w:noVBand="1" w:val="04A0"/>
        <w:tblLayout w:type="fixed"/>
      </w:tblPr>
      <w:tblGrid>
        <w:gridCol w:w="1927"/>
        <w:gridCol w:w="7144"/>
      </w:tblGrid>
      <w:tr>
        <w:trPr>
          <w:tblHeader w:val="true"/>
        </w:trPr>
        <w:tc>
          <w:tcPr>
            <w:tcW w:type="dxa" w:w="1928"/>
            <w:shd w:val="clear" w:color="auto" w:fill="1F3B57"/>
          </w:tcPr>
          <w:p>
            <w:pPr>
              <w:spacing w:before="20" w:after="20"/>
            </w:pPr>
            <w:r>
              <w:rPr>
                <w:b/>
                <w:i w:val="0"/>
                <w:color w:val="FFFFFF"/>
                <w:sz w:val="18"/>
              </w:rPr>
              <w:t>Campo</w:t>
            </w:r>
          </w:p>
        </w:tc>
        <w:tc>
          <w:tcPr>
            <w:tcW w:type="dxa" w:w="7143"/>
            <w:shd w:val="clear" w:color="auto" w:fill="1F3B57"/>
          </w:tcPr>
          <w:p>
            <w:pPr>
              <w:spacing w:before="20" w:after="20"/>
            </w:pPr>
            <w:r>
              <w:rPr>
                <w:b/>
                <w:i w:val="0"/>
                <w:color w:val="FFFFFF"/>
                <w:sz w:val="18"/>
              </w:rPr>
              <w:t>Datos</w:t>
            </w:r>
          </w:p>
        </w:tc>
      </w:tr>
      <w:tr>
        <w:tc>
          <w:tcPr>
            <w:tcW w:type="dxa" w:w="1928"/>
          </w:tcPr>
          <w:p>
            <w:pPr>
              <w:spacing w:before="20" w:after="20"/>
            </w:pPr>
            <w:r>
              <w:rPr>
                <w:b w:val="0"/>
                <w:i w:val="0"/>
                <w:color w:val="212121"/>
                <w:sz w:val="18"/>
              </w:rPr>
              <w:t>Versión</w:t>
            </w:r>
          </w:p>
        </w:tc>
        <w:tc>
          <w:tcPr>
            <w:tcW w:type="dxa" w:w="7143"/>
          </w:tcPr>
          <w:p>
            <w:pPr>
              <w:spacing w:before="20" w:after="20"/>
            </w:pPr>
            <w:r>
              <w:rPr>
                <w:b w:val="0"/>
                <w:i w:val="0"/>
                <w:color w:val="212121"/>
                <w:sz w:val="18"/>
              </w:rPr>
              <w:t>2.0 — sustituye a la versión 1.0 de mayo de 2026</w:t>
            </w:r>
          </w:p>
        </w:tc>
      </w:tr>
      <w:tr>
        <w:tc>
          <w:tcPr>
            <w:tcW w:type="dxa" w:w="1928"/>
          </w:tcPr>
          <w:p>
            <w:pPr>
              <w:spacing w:before="20" w:after="20"/>
            </w:pPr>
            <w:r>
              <w:rPr>
                <w:b w:val="0"/>
                <w:i w:val="0"/>
                <w:color w:val="212121"/>
                <w:sz w:val="18"/>
              </w:rPr>
              <w:t>Fecha de emisión</w:t>
            </w:r>
          </w:p>
        </w:tc>
        <w:tc>
          <w:tcPr>
            <w:tcW w:type="dxa" w:w="7143"/>
          </w:tcPr>
          <w:p>
            <w:pPr>
              <w:spacing w:before="20" w:after="20"/>
            </w:pPr>
            <w:r>
              <w:rPr>
                <w:b w:val="0"/>
                <w:i w:val="0"/>
                <w:color w:val="212121"/>
                <w:sz w:val="18"/>
              </w:rPr>
              <w:t>Agosto de 2026</w:t>
            </w:r>
          </w:p>
        </w:tc>
      </w:tr>
      <w:tr>
        <w:tc>
          <w:tcPr>
            <w:tcW w:type="dxa" w:w="1928"/>
          </w:tcPr>
          <w:p>
            <w:pPr>
              <w:spacing w:before="20" w:after="20"/>
            </w:pPr>
            <w:r>
              <w:rPr>
                <w:b w:val="0"/>
                <w:i w:val="0"/>
                <w:color w:val="212121"/>
                <w:sz w:val="18"/>
              </w:rPr>
              <w:t>Responsable sanitario</w:t>
            </w:r>
          </w:p>
        </w:tc>
        <w:tc>
          <w:tcPr>
            <w:tcW w:type="dxa" w:w="7143"/>
          </w:tcPr>
          <w:p>
            <w:pPr>
              <w:spacing w:before="20" w:after="20"/>
            </w:pPr>
            <w:r>
              <w:rPr>
                <w:b w:val="0"/>
                <w:i w:val="0"/>
                <w:color w:val="212121"/>
                <w:sz w:val="18"/>
              </w:rPr>
              <w:t>Dr. José Alan Polanco Fierro</w:t>
            </w:r>
          </w:p>
        </w:tc>
      </w:tr>
      <w:tr>
        <w:tc>
          <w:tcPr>
            <w:tcW w:type="dxa" w:w="1928"/>
          </w:tcPr>
          <w:p>
            <w:pPr>
              <w:spacing w:before="20" w:after="20"/>
            </w:pPr>
            <w:r>
              <w:rPr>
                <w:b w:val="0"/>
                <w:i w:val="0"/>
                <w:color w:val="212121"/>
                <w:sz w:val="18"/>
              </w:rPr>
              <w:t>Cédula profesional</w:t>
            </w:r>
          </w:p>
        </w:tc>
        <w:tc>
          <w:tcPr>
            <w:tcW w:type="dxa" w:w="7143"/>
          </w:tcPr>
          <w:p>
            <w:pPr>
              <w:spacing w:before="20" w:after="20"/>
            </w:pPr>
            <w:r>
              <w:rPr>
                <w:b w:val="0"/>
                <w:i w:val="0"/>
                <w:color w:val="212121"/>
                <w:sz w:val="18"/>
              </w:rPr>
              <w:t>6382840 (UNAM) · Especialidad 10861477 (IPN)</w:t>
            </w:r>
          </w:p>
        </w:tc>
      </w:tr>
      <w:tr>
        <w:tc>
          <w:tcPr>
            <w:tcW w:type="dxa" w:w="1928"/>
          </w:tcPr>
          <w:p>
            <w:pPr>
              <w:spacing w:before="20" w:after="20"/>
            </w:pPr>
            <w:r>
              <w:rPr>
                <w:b w:val="0"/>
                <w:i w:val="0"/>
                <w:color w:val="212121"/>
                <w:sz w:val="18"/>
              </w:rPr>
              <w:t>Unidades que cubre</w:t>
            </w:r>
          </w:p>
        </w:tc>
        <w:tc>
          <w:tcPr>
            <w:tcW w:type="dxa" w:w="7143"/>
          </w:tcPr>
          <w:p>
            <w:pPr>
              <w:spacing w:before="20" w:after="20"/>
            </w:pPr>
            <w:r>
              <w:rPr>
                <w:b w:val="0"/>
                <w:i w:val="0"/>
                <w:color w:val="212121"/>
                <w:sz w:val="18"/>
              </w:rPr>
              <w:t>QP Clinic · QP Surgery Clinic · amfa Nutrición Especializada</w:t>
            </w:r>
          </w:p>
        </w:tc>
      </w:tr>
      <w:tr>
        <w:tc>
          <w:tcPr>
            <w:tcW w:type="dxa" w:w="1928"/>
          </w:tcPr>
          <w:p>
            <w:pPr>
              <w:spacing w:before="20" w:after="20"/>
            </w:pPr>
            <w:r>
              <w:rPr>
                <w:b w:val="0"/>
                <w:i w:val="0"/>
                <w:color w:val="212121"/>
                <w:sz w:val="18"/>
              </w:rPr>
              <w:t>Vigencia</w:t>
            </w:r>
          </w:p>
        </w:tc>
        <w:tc>
          <w:tcPr>
            <w:tcW w:type="dxa" w:w="7143"/>
          </w:tcPr>
          <w:p>
            <w:pPr>
              <w:spacing w:before="20" w:after="20"/>
            </w:pPr>
            <w:r>
              <w:rPr>
                <w:b w:val="0"/>
                <w:i w:val="0"/>
                <w:color w:val="212121"/>
                <w:sz w:val="18"/>
              </w:rPr>
              <w:t>Anual — revisión cada 12 meses o ante cambio mayor del sistema</w:t>
            </w:r>
          </w:p>
        </w:tc>
      </w:tr>
      <w:tr>
        <w:tc>
          <w:tcPr>
            <w:tcW w:type="dxa" w:w="1928"/>
          </w:tcPr>
          <w:p>
            <w:pPr>
              <w:spacing w:before="20" w:after="20"/>
            </w:pPr>
            <w:r>
              <w:rPr>
                <w:b w:val="0"/>
                <w:i w:val="0"/>
                <w:color w:val="212121"/>
                <w:sz w:val="18"/>
              </w:rPr>
              <w:t>Clasificación</w:t>
            </w:r>
          </w:p>
        </w:tc>
        <w:tc>
          <w:tcPr>
            <w:tcW w:type="dxa" w:w="7143"/>
          </w:tcPr>
          <w:p>
            <w:pPr>
              <w:spacing w:before="20" w:after="20"/>
            </w:pPr>
            <w:r>
              <w:rPr>
                <w:b w:val="0"/>
                <w:i w:val="0"/>
                <w:color w:val="212121"/>
                <w:sz w:val="18"/>
              </w:rPr>
              <w:t>Uso interno — Confidencial</w:t>
            </w:r>
          </w:p>
        </w:tc>
      </w:tr>
      <w:tr>
        <w:tc>
          <w:tcPr>
            <w:tcW w:type="dxa" w:w="1928"/>
          </w:tcPr>
          <w:p>
            <w:pPr>
              <w:spacing w:before="20" w:after="20"/>
            </w:pPr>
            <w:r>
              <w:rPr>
                <w:b w:val="0"/>
                <w:i w:val="0"/>
                <w:color w:val="212121"/>
                <w:sz w:val="18"/>
              </w:rPr>
              <w:t>Documento complementario</w:t>
            </w:r>
          </w:p>
        </w:tc>
        <w:tc>
          <w:tcPr>
            <w:tcW w:type="dxa" w:w="7143"/>
          </w:tcPr>
          <w:p>
            <w:pPr>
              <w:spacing w:before="20" w:after="20"/>
            </w:pPr>
            <w:r>
              <w:rPr>
                <w:b w:val="0"/>
                <w:i w:val="0"/>
                <w:color w:val="212121"/>
                <w:sz w:val="18"/>
              </w:rPr>
              <w:t>QP-OP-PNO-013, Manual de Procedimientos del SIEC (procedimientos operativos por módulo)</w:t>
            </w:r>
          </w:p>
        </w:tc>
      </w:tr>
    </w:tbl>
    <w:p>
      <w:pPr>
        <w:spacing w:after="100"/>
      </w:pPr>
    </w:p>
    <w:p>
      <w:pPr>
        <w:keepNext/>
        <w:spacing w:before="320" w:after="120"/>
        <w:pBdr>
          <w:bottom w:val="single" w:sz="8" w:space="2" w:color="1F3B57"/>
        </w:pBdr>
      </w:pPr>
      <w:r>
        <w:rPr>
          <w:b/>
          <w:i w:val="0"/>
          <w:color w:val="1F3B57"/>
          <w:sz w:val="26"/>
        </w:rPr>
        <w:t>1. Introducción</w:t>
      </w:r>
    </w:p>
    <w:p>
      <w:pPr>
        <w:spacing w:after="100" w:line="276" w:lineRule="auto"/>
        <w:jc w:val="both"/>
      </w:pPr>
      <w:r>
        <w:rPr>
          <w:b w:val="0"/>
          <w:i w:val="0"/>
          <w:color w:val="212121"/>
          <w:sz w:val="20"/>
        </w:rPr>
        <w:t>Este manual describe el Sistema de Información para el Expediente Clínico Electrónico de QP Clinic: qué es, de qué partes se compone, quién accede a él, cómo se protege la información y qué hacer cuando algo falla. Su propósito es garantizar la confidencialidad, la integridad y la disponibilidad de la información clínica de los pacientes, y servir como documento de referencia ante la autoridad sanitaria en materia de la NOM-024-SSA3-2012.</w:t>
      </w:r>
    </w:p>
    <w:p>
      <w:pPr>
        <w:spacing w:after="100" w:line="276" w:lineRule="auto"/>
        <w:jc w:val="both"/>
      </w:pPr>
      <w:r>
        <w:rPr>
          <w:b w:val="0"/>
          <w:i w:val="0"/>
          <w:color w:val="212121"/>
          <w:sz w:val="20"/>
        </w:rPr>
        <w:t>La versión 2.0 corrige y amplía la anterior en tres aspectos. Primero, el catálogo de módulos pasó de 14 a 28, porque el sistema creció y la versión previa había quedado rezagada. Segundo, se incorpora la tercera unidad de atención, amfa Nutrición Especializada, y la regla de aislamiento que separa su padrón de pacientes. Tercero, se corrigieron descripciones que no correspondían al comportamiento real del sistema; quedan señaladas en el apartado 14.</w:t>
      </w:r>
    </w:p>
    <w:p>
      <w:pPr>
        <w:spacing w:after="100" w:line="276" w:lineRule="auto"/>
        <w:jc w:val="both"/>
      </w:pPr>
      <w:r>
        <w:rPr>
          <w:b w:val="0"/>
          <w:i/>
          <w:color w:val="546E7A"/>
          <w:sz w:val="20"/>
        </w:rPr>
        <w:t>Los procedimientos operativos paso a paso —quién hace qué, en qué orden y con qué registro— viven en el documento QP-OP-PNO-013. Este manual describe el sistema y sus controles; aquel describe la operación. Deben leerse juntos.</w:t>
      </w:r>
    </w:p>
    <w:p>
      <w:pPr>
        <w:keepNext/>
        <w:spacing w:before="320" w:after="120"/>
        <w:pBdr>
          <w:bottom w:val="single" w:sz="8" w:space="2" w:color="1F3B57"/>
        </w:pBdr>
      </w:pPr>
      <w:r>
        <w:rPr>
          <w:b/>
          <w:i w:val="0"/>
          <w:color w:val="1F3B57"/>
          <w:sz w:val="26"/>
        </w:rPr>
        <w:t>2. Marco legal</w:t>
      </w:r>
    </w:p>
    <w:p>
      <w:pPr>
        <w:spacing w:after="100" w:line="276" w:lineRule="auto"/>
        <w:jc w:val="both"/>
      </w:pPr>
      <w:r>
        <w:rPr>
          <w:b w:val="0"/>
          <w:i w:val="0"/>
          <w:color w:val="212121"/>
          <w:sz w:val="20"/>
        </w:rPr>
        <w:t>El sistema se rige por la siguiente normatividad vigente:</w:t>
      </w:r>
    </w:p>
    <w:p>
      <w:pPr>
        <w:spacing w:after="40"/>
        <w:ind w:left="482" w:hanging="198"/>
        <w:jc w:val="both"/>
      </w:pPr>
      <w:r>
        <w:rPr>
          <w:b/>
          <w:i w:val="0"/>
          <w:color w:val="212121"/>
          <w:sz w:val="20"/>
        </w:rPr>
        <w:t xml:space="preserve">•  NOM-004-SSA3-2012. </w:t>
      </w:r>
      <w:r>
        <w:rPr>
          <w:b w:val="0"/>
          <w:i w:val="0"/>
          <w:color w:val="212121"/>
          <w:sz w:val="20"/>
        </w:rPr>
        <w:t>Del expediente clínico (D.O.F. 15 de octubre de 2012).</w:t>
      </w:r>
    </w:p>
    <w:p>
      <w:pPr>
        <w:spacing w:after="40"/>
        <w:ind w:left="482" w:hanging="198"/>
        <w:jc w:val="both"/>
      </w:pPr>
      <w:r>
        <w:rPr>
          <w:b/>
          <w:i w:val="0"/>
          <w:color w:val="212121"/>
          <w:sz w:val="20"/>
        </w:rPr>
        <w:t xml:space="preserve">•  NOM-024-SSA3-2012. </w:t>
      </w:r>
      <w:r>
        <w:rPr>
          <w:b w:val="0"/>
          <w:i w:val="0"/>
          <w:color w:val="212121"/>
          <w:sz w:val="20"/>
        </w:rPr>
        <w:t>Sistemas de información de registro electrónico para la salud. Intercambio de información en salud (D.O.F. 30 de noviembre de 2012).</w:t>
      </w:r>
    </w:p>
    <w:p>
      <w:pPr>
        <w:spacing w:after="40"/>
        <w:ind w:left="482" w:hanging="198"/>
        <w:jc w:val="both"/>
      </w:pPr>
      <w:r>
        <w:rPr>
          <w:b/>
          <w:i w:val="0"/>
          <w:color w:val="212121"/>
          <w:sz w:val="20"/>
        </w:rPr>
        <w:t xml:space="preserve">•  NOM-035-SSA3-2012. </w:t>
      </w:r>
      <w:r>
        <w:rPr>
          <w:b w:val="0"/>
          <w:i w:val="0"/>
          <w:color w:val="212121"/>
          <w:sz w:val="20"/>
        </w:rPr>
        <w:t>En materia de información en salud (D.O.F. 30 de noviembre de 2012).</w:t>
      </w:r>
    </w:p>
    <w:p>
      <w:pPr>
        <w:spacing w:after="40"/>
        <w:ind w:left="482" w:hanging="198"/>
        <w:jc w:val="both"/>
      </w:pPr>
      <w:r>
        <w:rPr>
          <w:b/>
          <w:i w:val="0"/>
          <w:color w:val="212121"/>
          <w:sz w:val="20"/>
        </w:rPr>
        <w:t xml:space="preserve">•  Ley General de Salud, </w:t>
      </w:r>
      <w:r>
        <w:rPr>
          <w:b w:val="0"/>
          <w:i w:val="0"/>
          <w:color w:val="212121"/>
          <w:sz w:val="20"/>
        </w:rPr>
        <w:t>artículos 77 bis 37, 82 a 84 y 98, en materia de expediente clínico y de investigación en seres humanos.</w:t>
      </w:r>
    </w:p>
    <w:p>
      <w:pPr>
        <w:spacing w:after="40"/>
        <w:ind w:left="482" w:hanging="198"/>
        <w:jc w:val="both"/>
      </w:pPr>
      <w:r>
        <w:rPr>
          <w:b/>
          <w:i w:val="0"/>
          <w:color w:val="212121"/>
          <w:sz w:val="20"/>
        </w:rPr>
        <w:t xml:space="preserve">•  Reglamento de la Ley General de Salud en materia de prestación de servicios de atención médica, </w:t>
      </w:r>
      <w:r>
        <w:rPr>
          <w:b w:val="0"/>
          <w:i w:val="0"/>
          <w:color w:val="212121"/>
          <w:sz w:val="20"/>
        </w:rPr>
        <w:t>artículos 80 a 83, sobre consentimiento informado.</w:t>
      </w:r>
    </w:p>
    <w:p>
      <w:pPr>
        <w:spacing w:after="40"/>
        <w:ind w:left="482" w:hanging="198"/>
        <w:jc w:val="both"/>
      </w:pPr>
      <w:r>
        <w:rPr>
          <w:b/>
          <w:i w:val="0"/>
          <w:color w:val="212121"/>
          <w:sz w:val="20"/>
        </w:rPr>
        <w:t xml:space="preserve">•  Ley Federal de Protección de Datos Personales en Posesión de los Particulares, </w:t>
      </w:r>
      <w:r>
        <w:rPr>
          <w:b w:val="0"/>
          <w:i w:val="0"/>
          <w:color w:val="212121"/>
          <w:sz w:val="20"/>
        </w:rPr>
        <w:t>en particular los artículos 8, 9, 20 y 21, sobre datos personales sensibles, medidas de seguridad y notificación de vulneraciones.</w:t>
      </w:r>
    </w:p>
    <w:p>
      <w:pPr>
        <w:spacing w:after="40"/>
        <w:ind w:left="482" w:hanging="198"/>
        <w:jc w:val="both"/>
      </w:pPr>
      <w:r>
        <w:rPr>
          <w:b/>
          <w:i w:val="0"/>
          <w:color w:val="212121"/>
          <w:sz w:val="20"/>
        </w:rPr>
        <w:t xml:space="preserve">•  NOM-014-SSA2-2020. </w:t>
      </w:r>
      <w:r>
        <w:rPr>
          <w:b w:val="0"/>
          <w:i w:val="0"/>
          <w:color w:val="212121"/>
          <w:sz w:val="20"/>
        </w:rPr>
        <w:t>Prevención y detección del cáncer cervicouterino.</w:t>
      </w:r>
    </w:p>
    <w:p>
      <w:pPr>
        <w:spacing w:after="120"/>
        <w:ind w:left="482" w:hanging="198"/>
        <w:jc w:val="both"/>
      </w:pPr>
      <w:r>
        <w:rPr>
          <w:b/>
          <w:i w:val="0"/>
          <w:color w:val="212121"/>
          <w:sz w:val="20"/>
        </w:rPr>
        <w:t xml:space="preserve">•  NOM-041-SSA2-2011. </w:t>
      </w:r>
      <w:r>
        <w:rPr>
          <w:b w:val="0"/>
          <w:i w:val="0"/>
          <w:color w:val="212121"/>
          <w:sz w:val="20"/>
        </w:rPr>
        <w:t>Prevención, diagnóstico y tratamiento del cáncer de mama.</w:t>
      </w:r>
    </w:p>
    <w:p>
      <w:pPr>
        <w:keepNext/>
        <w:spacing w:before="320" w:after="120"/>
        <w:pBdr>
          <w:bottom w:val="single" w:sz="8" w:space="2" w:color="1F3B57"/>
        </w:pBdr>
      </w:pPr>
      <w:r>
        <w:rPr>
          <w:b/>
          <w:i w:val="0"/>
          <w:color w:val="1F3B57"/>
          <w:sz w:val="26"/>
        </w:rPr>
        <w:t>3. Descripción del sistema</w:t>
      </w:r>
    </w:p>
    <w:p>
      <w:pPr>
        <w:keepNext/>
        <w:spacing w:before="220" w:after="60"/>
      </w:pPr>
      <w:r>
        <w:rPr>
          <w:b/>
          <w:i w:val="0"/>
          <w:color w:val="1F3B57"/>
          <w:sz w:val="22"/>
        </w:rPr>
        <w:t>3.1  Identificación técnica</w:t>
      </w:r>
    </w:p>
    <w:tbl>
      <w:tblPr>
        <w:tblStyle w:val="TableGrid"/>
        <w:tblW w:type="auto" w:w="0"/>
        <w:jc w:val="center"/>
        <w:tblLayout w:type="fixed"/>
        <w:tblLook w:firstColumn="1" w:firstRow="1" w:lastColumn="0" w:lastRow="0" w:noHBand="0" w:noVBand="1" w:val="04A0"/>
        <w:tblLayout w:type="fixed"/>
      </w:tblPr>
      <w:tblGrid>
        <w:gridCol w:w="2608"/>
        <w:gridCol w:w="6463"/>
      </w:tblGrid>
      <w:tr>
        <w:trPr>
          <w:tblHeader w:val="true"/>
        </w:trPr>
        <w:tc>
          <w:tcPr>
            <w:tcW w:type="dxa" w:w="2608"/>
            <w:shd w:val="clear" w:color="auto" w:fill="1F3B57"/>
          </w:tcPr>
          <w:p>
            <w:pPr>
              <w:spacing w:before="20" w:after="20"/>
            </w:pPr>
            <w:r>
              <w:rPr>
                <w:b/>
                <w:i w:val="0"/>
                <w:color w:val="FFFFFF"/>
                <w:sz w:val="17"/>
              </w:rPr>
              <w:t>Atributo</w:t>
            </w:r>
          </w:p>
        </w:tc>
        <w:tc>
          <w:tcPr>
            <w:tcW w:type="dxa" w:w="6463"/>
            <w:shd w:val="clear" w:color="auto" w:fill="1F3B57"/>
          </w:tcPr>
          <w:p>
            <w:pPr>
              <w:spacing w:before="20" w:after="20"/>
            </w:pPr>
            <w:r>
              <w:rPr>
                <w:b/>
                <w:i w:val="0"/>
                <w:color w:val="FFFFFF"/>
                <w:sz w:val="17"/>
              </w:rPr>
              <w:t>Descripción</w:t>
            </w:r>
          </w:p>
        </w:tc>
      </w:tr>
      <w:tr>
        <w:tc>
          <w:tcPr>
            <w:tcW w:type="dxa" w:w="2608"/>
          </w:tcPr>
          <w:p>
            <w:pPr>
              <w:spacing w:before="20" w:after="20"/>
            </w:pPr>
            <w:r>
              <w:rPr>
                <w:b w:val="0"/>
                <w:i w:val="0"/>
                <w:color w:val="212121"/>
                <w:sz w:val="17"/>
              </w:rPr>
              <w:t>Nombre del sistema</w:t>
            </w:r>
          </w:p>
        </w:tc>
        <w:tc>
          <w:tcPr>
            <w:tcW w:type="dxa" w:w="6463"/>
          </w:tcPr>
          <w:p>
            <w:pPr>
              <w:spacing w:before="20" w:after="20"/>
            </w:pPr>
            <w:r>
              <w:rPr>
                <w:b w:val="0"/>
                <w:i w:val="0"/>
                <w:color w:val="212121"/>
                <w:sz w:val="17"/>
              </w:rPr>
              <w:t>QP Clinic ECE — Sistema de Expediente Clínico Electrónico</w:t>
            </w:r>
          </w:p>
        </w:tc>
      </w:tr>
      <w:tr>
        <w:tc>
          <w:tcPr>
            <w:tcW w:type="dxa" w:w="2608"/>
          </w:tcPr>
          <w:p>
            <w:pPr>
              <w:spacing w:before="20" w:after="20"/>
            </w:pPr>
            <w:r>
              <w:rPr>
                <w:b w:val="0"/>
                <w:i w:val="0"/>
                <w:color w:val="212121"/>
                <w:sz w:val="17"/>
              </w:rPr>
              <w:t>Dirección de acceso</w:t>
            </w:r>
          </w:p>
        </w:tc>
        <w:tc>
          <w:tcPr>
            <w:tcW w:type="dxa" w:w="6463"/>
          </w:tcPr>
          <w:p>
            <w:pPr>
              <w:spacing w:before="20" w:after="20"/>
            </w:pPr>
            <w:r>
              <w:rPr>
                <w:b w:val="0"/>
                <w:i w:val="0"/>
                <w:color w:val="212121"/>
                <w:sz w:val="17"/>
              </w:rPr>
              <w:t>https://qpclinic.org — HTTPS obligatorio</w:t>
            </w:r>
          </w:p>
        </w:tc>
      </w:tr>
      <w:tr>
        <w:tc>
          <w:tcPr>
            <w:tcW w:type="dxa" w:w="2608"/>
          </w:tcPr>
          <w:p>
            <w:pPr>
              <w:spacing w:before="20" w:after="20"/>
            </w:pPr>
            <w:r>
              <w:rPr>
                <w:b w:val="0"/>
                <w:i w:val="0"/>
                <w:color w:val="212121"/>
                <w:sz w:val="17"/>
              </w:rPr>
              <w:t>Tipo</w:t>
            </w:r>
          </w:p>
        </w:tc>
        <w:tc>
          <w:tcPr>
            <w:tcW w:type="dxa" w:w="6463"/>
          </w:tcPr>
          <w:p>
            <w:pPr>
              <w:spacing w:before="20" w:after="20"/>
            </w:pPr>
            <w:r>
              <w:rPr>
                <w:b w:val="0"/>
                <w:i w:val="0"/>
                <w:color w:val="212121"/>
                <w:sz w:val="17"/>
              </w:rPr>
              <w:t>Aplicación web de página única (SPA)</w:t>
            </w:r>
          </w:p>
        </w:tc>
      </w:tr>
      <w:tr>
        <w:tc>
          <w:tcPr>
            <w:tcW w:type="dxa" w:w="2608"/>
          </w:tcPr>
          <w:p>
            <w:pPr>
              <w:spacing w:before="20" w:after="20"/>
            </w:pPr>
            <w:r>
              <w:rPr>
                <w:b w:val="0"/>
                <w:i w:val="0"/>
                <w:color w:val="212121"/>
                <w:sz w:val="17"/>
              </w:rPr>
              <w:t>Plataforma de publicación</w:t>
            </w:r>
          </w:p>
        </w:tc>
        <w:tc>
          <w:tcPr>
            <w:tcW w:type="dxa" w:w="6463"/>
          </w:tcPr>
          <w:p>
            <w:pPr>
              <w:spacing w:before="20" w:after="20"/>
            </w:pPr>
            <w:r>
              <w:rPr>
                <w:b w:val="0"/>
                <w:i w:val="0"/>
                <w:color w:val="212121"/>
                <w:sz w:val="17"/>
              </w:rPr>
              <w:t>Vercel, con red de distribución de contenido global</w:t>
            </w:r>
          </w:p>
        </w:tc>
      </w:tr>
      <w:tr>
        <w:tc>
          <w:tcPr>
            <w:tcW w:type="dxa" w:w="2608"/>
          </w:tcPr>
          <w:p>
            <w:pPr>
              <w:spacing w:before="20" w:after="20"/>
            </w:pPr>
            <w:r>
              <w:rPr>
                <w:b w:val="0"/>
                <w:i w:val="0"/>
                <w:color w:val="212121"/>
                <w:sz w:val="17"/>
              </w:rPr>
              <w:t>Base de datos</w:t>
            </w:r>
          </w:p>
        </w:tc>
        <w:tc>
          <w:tcPr>
            <w:tcW w:type="dxa" w:w="6463"/>
          </w:tcPr>
          <w:p>
            <w:pPr>
              <w:spacing w:before="20" w:after="20"/>
            </w:pPr>
            <w:r>
              <w:rPr>
                <w:b w:val="0"/>
                <w:i w:val="0"/>
                <w:color w:val="212121"/>
                <w:sz w:val="17"/>
              </w:rPr>
              <w:t>PostgreSQL administrado por Supabase</w:t>
            </w:r>
          </w:p>
        </w:tc>
      </w:tr>
      <w:tr>
        <w:tc>
          <w:tcPr>
            <w:tcW w:type="dxa" w:w="2608"/>
          </w:tcPr>
          <w:p>
            <w:pPr>
              <w:spacing w:before="20" w:after="20"/>
            </w:pPr>
            <w:r>
              <w:rPr>
                <w:b w:val="0"/>
                <w:i w:val="0"/>
                <w:color w:val="212121"/>
                <w:sz w:val="17"/>
              </w:rPr>
              <w:t>Almacenamiento de archivos</w:t>
            </w:r>
          </w:p>
        </w:tc>
        <w:tc>
          <w:tcPr>
            <w:tcW w:type="dxa" w:w="6463"/>
          </w:tcPr>
          <w:p>
            <w:pPr>
              <w:spacing w:before="20" w:after="20"/>
            </w:pPr>
            <w:r>
              <w:rPr>
                <w:b w:val="0"/>
                <w:i w:val="0"/>
                <w:color w:val="212121"/>
                <w:sz w:val="17"/>
              </w:rPr>
              <w:t>Supabase Storage — depósito «expedientes»</w:t>
            </w:r>
          </w:p>
        </w:tc>
      </w:tr>
      <w:tr>
        <w:tc>
          <w:tcPr>
            <w:tcW w:type="dxa" w:w="2608"/>
          </w:tcPr>
          <w:p>
            <w:pPr>
              <w:spacing w:before="20" w:after="20"/>
            </w:pPr>
            <w:r>
              <w:rPr>
                <w:b w:val="0"/>
                <w:i w:val="0"/>
                <w:color w:val="212121"/>
                <w:sz w:val="17"/>
              </w:rPr>
              <w:t>Autenticación</w:t>
            </w:r>
          </w:p>
        </w:tc>
        <w:tc>
          <w:tcPr>
            <w:tcW w:type="dxa" w:w="6463"/>
          </w:tcPr>
          <w:p>
            <w:pPr>
              <w:spacing w:before="20" w:after="20"/>
            </w:pPr>
            <w:r>
              <w:rPr>
                <w:b w:val="0"/>
                <w:i w:val="0"/>
                <w:color w:val="212121"/>
                <w:sz w:val="17"/>
              </w:rPr>
              <w:t>Supabase Auth — token JWT; contraseñas con hash bcrypt</w:t>
            </w:r>
          </w:p>
        </w:tc>
      </w:tr>
      <w:tr>
        <w:tc>
          <w:tcPr>
            <w:tcW w:type="dxa" w:w="2608"/>
          </w:tcPr>
          <w:p>
            <w:pPr>
              <w:spacing w:before="20" w:after="20"/>
            </w:pPr>
            <w:r>
              <w:rPr>
                <w:b w:val="0"/>
                <w:i w:val="0"/>
                <w:color w:val="212121"/>
                <w:sz w:val="17"/>
              </w:rPr>
              <w:t>Control de acceso a los datos</w:t>
            </w:r>
          </w:p>
        </w:tc>
        <w:tc>
          <w:tcPr>
            <w:tcW w:type="dxa" w:w="6463"/>
          </w:tcPr>
          <w:p>
            <w:pPr>
              <w:spacing w:before="20" w:after="20"/>
            </w:pPr>
            <w:r>
              <w:rPr>
                <w:b w:val="0"/>
                <w:i w:val="0"/>
                <w:color w:val="212121"/>
                <w:sz w:val="17"/>
              </w:rPr>
              <w:t>Seguridad a nivel de fila (RLS) en las tablas del expediente, evaluada por la propia base de datos</w:t>
            </w:r>
          </w:p>
        </w:tc>
      </w:tr>
      <w:tr>
        <w:tc>
          <w:tcPr>
            <w:tcW w:type="dxa" w:w="2608"/>
          </w:tcPr>
          <w:p>
            <w:pPr>
              <w:spacing w:before="20" w:after="20"/>
            </w:pPr>
            <w:r>
              <w:rPr>
                <w:b w:val="0"/>
                <w:i w:val="0"/>
                <w:color w:val="212121"/>
                <w:sz w:val="17"/>
              </w:rPr>
              <w:t>Cifrado en tránsito</w:t>
            </w:r>
          </w:p>
        </w:tc>
        <w:tc>
          <w:tcPr>
            <w:tcW w:type="dxa" w:w="6463"/>
          </w:tcPr>
          <w:p>
            <w:pPr>
              <w:spacing w:before="20" w:after="20"/>
            </w:pPr>
            <w:r>
              <w:rPr>
                <w:b w:val="0"/>
                <w:i w:val="0"/>
                <w:color w:val="212121"/>
                <w:sz w:val="17"/>
              </w:rPr>
              <w:t>TLS 1.3</w:t>
            </w:r>
          </w:p>
        </w:tc>
      </w:tr>
      <w:tr>
        <w:tc>
          <w:tcPr>
            <w:tcW w:type="dxa" w:w="2608"/>
          </w:tcPr>
          <w:p>
            <w:pPr>
              <w:spacing w:before="20" w:after="20"/>
            </w:pPr>
            <w:r>
              <w:rPr>
                <w:b w:val="0"/>
                <w:i w:val="0"/>
                <w:color w:val="212121"/>
                <w:sz w:val="17"/>
              </w:rPr>
              <w:t>Cifrado en reposo</w:t>
            </w:r>
          </w:p>
        </w:tc>
        <w:tc>
          <w:tcPr>
            <w:tcW w:type="dxa" w:w="6463"/>
          </w:tcPr>
          <w:p>
            <w:pPr>
              <w:spacing w:before="20" w:after="20"/>
            </w:pPr>
            <w:r>
              <w:rPr>
                <w:b w:val="0"/>
                <w:i w:val="0"/>
                <w:color w:val="212121"/>
                <w:sz w:val="17"/>
              </w:rPr>
              <w:t>AES-256, administrado por el proveedor</w:t>
            </w:r>
          </w:p>
        </w:tc>
      </w:tr>
      <w:tr>
        <w:tc>
          <w:tcPr>
            <w:tcW w:type="dxa" w:w="2608"/>
          </w:tcPr>
          <w:p>
            <w:pPr>
              <w:spacing w:before="20" w:after="20"/>
            </w:pPr>
            <w:r>
              <w:rPr>
                <w:b w:val="0"/>
                <w:i w:val="0"/>
                <w:color w:val="212121"/>
                <w:sz w:val="17"/>
              </w:rPr>
              <w:t>Respaldo automático</w:t>
            </w:r>
          </w:p>
        </w:tc>
        <w:tc>
          <w:tcPr>
            <w:tcW w:type="dxa" w:w="6463"/>
          </w:tcPr>
          <w:p>
            <w:pPr>
              <w:spacing w:before="20" w:after="20"/>
            </w:pPr>
            <w:r>
              <w:rPr>
                <w:b w:val="0"/>
                <w:i w:val="0"/>
                <w:color w:val="212121"/>
                <w:sz w:val="17"/>
              </w:rPr>
              <w:t>Registro continuo de escritura (WAL) y recuperación a un punto en el tiempo de hasta 7 días</w:t>
            </w:r>
          </w:p>
        </w:tc>
      </w:tr>
      <w:tr>
        <w:tc>
          <w:tcPr>
            <w:tcW w:type="dxa" w:w="2608"/>
          </w:tcPr>
          <w:p>
            <w:pPr>
              <w:spacing w:before="20" w:after="20"/>
            </w:pPr>
            <w:r>
              <w:rPr>
                <w:b w:val="0"/>
                <w:i w:val="0"/>
                <w:color w:val="212121"/>
                <w:sz w:val="17"/>
              </w:rPr>
              <w:t>Código fuente</w:t>
            </w:r>
          </w:p>
        </w:tc>
        <w:tc>
          <w:tcPr>
            <w:tcW w:type="dxa" w:w="6463"/>
          </w:tcPr>
          <w:p>
            <w:pPr>
              <w:spacing w:before="20" w:after="20"/>
            </w:pPr>
            <w:r>
              <w:rPr>
                <w:b w:val="0"/>
                <w:i w:val="0"/>
                <w:color w:val="212121"/>
                <w:sz w:val="17"/>
              </w:rPr>
              <w:t>Repositorio privado en GitHub; publicación automática al confirmar cambios</w:t>
            </w:r>
          </w:p>
        </w:tc>
      </w:tr>
    </w:tbl>
    <w:p>
      <w:pPr>
        <w:spacing w:after="100"/>
      </w:pPr>
    </w:p>
    <w:p>
      <w:pPr>
        <w:keepNext/>
        <w:spacing w:before="220" w:after="60"/>
      </w:pPr>
      <w:r>
        <w:rPr>
          <w:b/>
          <w:i w:val="0"/>
          <w:color w:val="1F3B57"/>
          <w:sz w:val="22"/>
        </w:rPr>
        <w:t>3.2  Unidades de atención</w:t>
      </w:r>
    </w:p>
    <w:p>
      <w:pPr>
        <w:spacing w:after="100" w:line="276" w:lineRule="auto"/>
        <w:jc w:val="both"/>
      </w:pPr>
      <w:r>
        <w:rPr>
          <w:b w:val="0"/>
          <w:i w:val="0"/>
          <w:color w:val="212121"/>
          <w:sz w:val="20"/>
        </w:rPr>
        <w:t>El SIEC es un solo sistema que da servicio a tres unidades. Cada una tiene identidad visual, domicilio, teléfonos y catálogo de módulos propios.</w:t>
      </w:r>
    </w:p>
    <w:tbl>
      <w:tblPr>
        <w:tblStyle w:val="TableGrid"/>
        <w:tblW w:type="auto" w:w="0"/>
        <w:jc w:val="center"/>
        <w:tblLayout w:type="fixed"/>
        <w:tblLook w:firstColumn="1" w:firstRow="1" w:lastColumn="0" w:lastRow="0" w:noHBand="0" w:noVBand="1" w:val="04A0"/>
        <w:tblLayout w:type="fixed"/>
      </w:tblPr>
      <w:tblGrid>
        <w:gridCol w:w="1701"/>
        <w:gridCol w:w="1020"/>
        <w:gridCol w:w="3175"/>
        <w:gridCol w:w="3175"/>
      </w:tblGrid>
      <w:tr>
        <w:trPr>
          <w:tblHeader w:val="true"/>
        </w:trPr>
        <w:tc>
          <w:tcPr>
            <w:tcW w:type="dxa" w:w="1701"/>
            <w:shd w:val="clear" w:color="auto" w:fill="1F3B57"/>
          </w:tcPr>
          <w:p>
            <w:pPr>
              <w:spacing w:before="20" w:after="20"/>
            </w:pPr>
            <w:r>
              <w:rPr>
                <w:b/>
                <w:i w:val="0"/>
                <w:color w:val="FFFFFF"/>
                <w:sz w:val="17"/>
              </w:rPr>
              <w:t>Unidad</w:t>
            </w:r>
          </w:p>
        </w:tc>
        <w:tc>
          <w:tcPr>
            <w:tcW w:type="dxa" w:w="1020"/>
            <w:shd w:val="clear" w:color="auto" w:fill="1F3B57"/>
          </w:tcPr>
          <w:p>
            <w:pPr>
              <w:spacing w:before="20" w:after="20"/>
            </w:pPr>
            <w:r>
              <w:rPr>
                <w:b/>
                <w:i w:val="0"/>
                <w:color w:val="FFFFFF"/>
                <w:sz w:val="17"/>
              </w:rPr>
              <w:t>Clave interna</w:t>
            </w:r>
          </w:p>
        </w:tc>
        <w:tc>
          <w:tcPr>
            <w:tcW w:type="dxa" w:w="3175"/>
            <w:shd w:val="clear" w:color="auto" w:fill="1F3B57"/>
          </w:tcPr>
          <w:p>
            <w:pPr>
              <w:spacing w:before="20" w:after="20"/>
            </w:pPr>
            <w:r>
              <w:rPr>
                <w:b/>
                <w:i w:val="0"/>
                <w:color w:val="FFFFFF"/>
                <w:sz w:val="17"/>
              </w:rPr>
              <w:t>Domicilio</w:t>
            </w:r>
          </w:p>
        </w:tc>
        <w:tc>
          <w:tcPr>
            <w:tcW w:type="dxa" w:w="3175"/>
            <w:shd w:val="clear" w:color="auto" w:fill="1F3B57"/>
          </w:tcPr>
          <w:p>
            <w:pPr>
              <w:spacing w:before="20" w:after="20"/>
            </w:pPr>
            <w:r>
              <w:rPr>
                <w:b/>
                <w:i w:val="0"/>
                <w:color w:val="FFFFFF"/>
                <w:sz w:val="17"/>
              </w:rPr>
              <w:t>Servicios en el SIEC</w:t>
            </w:r>
          </w:p>
        </w:tc>
      </w:tr>
      <w:tr>
        <w:tc>
          <w:tcPr>
            <w:tcW w:type="dxa" w:w="1701"/>
          </w:tcPr>
          <w:p>
            <w:pPr>
              <w:spacing w:before="20" w:after="20"/>
            </w:pPr>
            <w:r>
              <w:rPr>
                <w:b w:val="0"/>
                <w:i w:val="0"/>
                <w:color w:val="212121"/>
                <w:sz w:val="17"/>
              </w:rPr>
              <w:t>QP Clinic</w:t>
            </w:r>
          </w:p>
        </w:tc>
        <w:tc>
          <w:tcPr>
            <w:tcW w:type="dxa" w:w="1020"/>
          </w:tcPr>
          <w:p>
            <w:pPr>
              <w:spacing w:before="20" w:after="20"/>
            </w:pPr>
            <w:r>
              <w:rPr>
                <w:b w:val="0"/>
                <w:i w:val="0"/>
                <w:color w:val="212121"/>
                <w:sz w:val="17"/>
              </w:rPr>
              <w:t>clinic</w:t>
            </w:r>
          </w:p>
        </w:tc>
        <w:tc>
          <w:tcPr>
            <w:tcW w:type="dxa" w:w="3175"/>
          </w:tcPr>
          <w:p>
            <w:pPr>
              <w:spacing w:before="20" w:after="20"/>
            </w:pPr>
            <w:r>
              <w:rPr>
                <w:b w:val="0"/>
                <w:i w:val="0"/>
                <w:color w:val="212121"/>
                <w:sz w:val="17"/>
              </w:rPr>
              <w:t>Insurgentes Sur 933, Piso 12, Col. Nápoles, Benito Juárez, C.P. 03810, CDMX</w:t>
            </w:r>
          </w:p>
        </w:tc>
        <w:tc>
          <w:tcPr>
            <w:tcW w:type="dxa" w:w="3175"/>
          </w:tcPr>
          <w:p>
            <w:pPr>
              <w:spacing w:before="20" w:after="20"/>
            </w:pPr>
            <w:r>
              <w:rPr>
                <w:b w:val="0"/>
                <w:i w:val="0"/>
                <w:color w:val="212121"/>
                <w:sz w:val="17"/>
              </w:rPr>
              <w:t>Medicina del deporte, rehabilitación, nutrición, ultrasonido, prescripción de ejercicio</w:t>
            </w:r>
          </w:p>
        </w:tc>
      </w:tr>
      <w:tr>
        <w:tc>
          <w:tcPr>
            <w:tcW w:type="dxa" w:w="1701"/>
          </w:tcPr>
          <w:p>
            <w:pPr>
              <w:spacing w:before="20" w:after="20"/>
            </w:pPr>
            <w:r>
              <w:rPr>
                <w:b w:val="0"/>
                <w:i w:val="0"/>
                <w:color w:val="212121"/>
                <w:sz w:val="17"/>
              </w:rPr>
              <w:t>QP Surgery Clinic</w:t>
            </w:r>
          </w:p>
        </w:tc>
        <w:tc>
          <w:tcPr>
            <w:tcW w:type="dxa" w:w="1020"/>
          </w:tcPr>
          <w:p>
            <w:pPr>
              <w:spacing w:before="20" w:after="20"/>
            </w:pPr>
            <w:r>
              <w:rPr>
                <w:b w:val="0"/>
                <w:i w:val="0"/>
                <w:color w:val="212121"/>
                <w:sz w:val="17"/>
              </w:rPr>
              <w:t>surgery</w:t>
            </w:r>
          </w:p>
        </w:tc>
        <w:tc>
          <w:tcPr>
            <w:tcW w:type="dxa" w:w="3175"/>
          </w:tcPr>
          <w:p>
            <w:pPr>
              <w:spacing w:before="20" w:after="20"/>
            </w:pPr>
            <w:r>
              <w:rPr>
                <w:b w:val="0"/>
                <w:i w:val="0"/>
                <w:color w:val="212121"/>
                <w:sz w:val="17"/>
              </w:rPr>
              <w:t>Insurgentes Sur 933, Piso 12, Col. Nápoles, Benito Juárez, C.P. 03810, CDMX</w:t>
            </w:r>
          </w:p>
        </w:tc>
        <w:tc>
          <w:tcPr>
            <w:tcW w:type="dxa" w:w="3175"/>
          </w:tcPr>
          <w:p>
            <w:pPr>
              <w:spacing w:before="20" w:after="20"/>
            </w:pPr>
            <w:r>
              <w:rPr>
                <w:b w:val="0"/>
                <w:i w:val="0"/>
                <w:color w:val="212121"/>
                <w:sz w:val="17"/>
              </w:rPr>
              <w:t>Cirugía, anestesia, quirófano y notas peri-operatorias</w:t>
            </w:r>
          </w:p>
        </w:tc>
      </w:tr>
      <w:tr>
        <w:tc>
          <w:tcPr>
            <w:tcW w:type="dxa" w:w="1701"/>
          </w:tcPr>
          <w:p>
            <w:pPr>
              <w:spacing w:before="20" w:after="20"/>
            </w:pPr>
            <w:r>
              <w:rPr>
                <w:b w:val="0"/>
                <w:i w:val="0"/>
                <w:color w:val="212121"/>
                <w:sz w:val="17"/>
              </w:rPr>
              <w:t>amfa Nutrición Especializada</w:t>
            </w:r>
          </w:p>
        </w:tc>
        <w:tc>
          <w:tcPr>
            <w:tcW w:type="dxa" w:w="1020"/>
          </w:tcPr>
          <w:p>
            <w:pPr>
              <w:spacing w:before="20" w:after="20"/>
            </w:pPr>
            <w:r>
              <w:rPr>
                <w:b w:val="0"/>
                <w:i w:val="0"/>
                <w:color w:val="212121"/>
                <w:sz w:val="17"/>
              </w:rPr>
              <w:t>amfa</w:t>
            </w:r>
          </w:p>
        </w:tc>
        <w:tc>
          <w:tcPr>
            <w:tcW w:type="dxa" w:w="3175"/>
          </w:tcPr>
          <w:p>
            <w:pPr>
              <w:spacing w:before="20" w:after="20"/>
            </w:pPr>
            <w:r>
              <w:rPr>
                <w:b w:val="0"/>
                <w:i w:val="0"/>
                <w:color w:val="212121"/>
                <w:sz w:val="17"/>
              </w:rPr>
              <w:t>Anillo Periférico 3332, Consultorio 1811, Piso 18, Jardines del Pedregal, Álvaro Obregón, C.P. 01900, CDMX</w:t>
            </w:r>
          </w:p>
        </w:tc>
        <w:tc>
          <w:tcPr>
            <w:tcW w:type="dxa" w:w="3175"/>
          </w:tcPr>
          <w:p>
            <w:pPr>
              <w:spacing w:before="20" w:after="20"/>
            </w:pPr>
            <w:r>
              <w:rPr>
                <w:b w:val="0"/>
                <w:i w:val="0"/>
                <w:color w:val="212121"/>
                <w:sz w:val="17"/>
              </w:rPr>
              <w:t>Consulta nutricional exclusivamente</w:t>
            </w:r>
          </w:p>
        </w:tc>
      </w:tr>
    </w:tbl>
    <w:p>
      <w:pPr>
        <w:spacing w:after="100"/>
      </w:pPr>
    </w:p>
    <w:p>
      <w:pPr>
        <w:keepNext/>
        <w:spacing w:before="220" w:after="60"/>
      </w:pPr>
      <w:r>
        <w:rPr>
          <w:b/>
          <w:i w:val="0"/>
          <w:color w:val="1F3B57"/>
          <w:sz w:val="22"/>
        </w:rPr>
        <w:t>3.3  Módulos del sistema</w:t>
      </w:r>
    </w:p>
    <w:p>
      <w:pPr>
        <w:spacing w:after="100" w:line="276" w:lineRule="auto"/>
        <w:jc w:val="both"/>
      </w:pPr>
      <w:r>
        <w:rPr>
          <w:b w:val="0"/>
          <w:i/>
          <w:color w:val="546E7A"/>
          <w:sz w:val="20"/>
        </w:rPr>
        <w:t>Los 28 módulos en operación a la fecha de emisión de este manual. El detalle procedimental de cada uno se encuentra en el documento QP-OP-PNO-013.</w:t>
      </w:r>
    </w:p>
    <w:tbl>
      <w:tblPr>
        <w:tblStyle w:val="TableGrid"/>
        <w:tblW w:type="auto" w:w="0"/>
        <w:jc w:val="center"/>
        <w:tblLayout w:type="fixed"/>
        <w:tblLook w:firstColumn="1" w:firstRow="1" w:lastColumn="0" w:lastRow="0" w:noHBand="0" w:noVBand="1" w:val="04A0"/>
        <w:tblLayout w:type="fixed"/>
      </w:tblPr>
      <w:tblGrid>
        <w:gridCol w:w="453"/>
        <w:gridCol w:w="3402"/>
        <w:gridCol w:w="1701"/>
        <w:gridCol w:w="3515"/>
      </w:tblGrid>
      <w:tr>
        <w:trPr>
          <w:tblHeader w:val="true"/>
        </w:trPr>
        <w:tc>
          <w:tcPr>
            <w:tcW w:type="dxa" w:w="454"/>
            <w:shd w:val="clear" w:color="auto" w:fill="1F3B57"/>
          </w:tcPr>
          <w:p>
            <w:pPr>
              <w:spacing w:before="20" w:after="20"/>
            </w:pPr>
            <w:r>
              <w:rPr>
                <w:b/>
                <w:i w:val="0"/>
                <w:color w:val="FFFFFF"/>
                <w:sz w:val="16"/>
              </w:rPr>
              <w:t>#</w:t>
            </w:r>
          </w:p>
        </w:tc>
        <w:tc>
          <w:tcPr>
            <w:tcW w:type="dxa" w:w="3402"/>
            <w:shd w:val="clear" w:color="auto" w:fill="1F3B57"/>
          </w:tcPr>
          <w:p>
            <w:pPr>
              <w:spacing w:before="20" w:after="20"/>
            </w:pPr>
            <w:r>
              <w:rPr>
                <w:b/>
                <w:i w:val="0"/>
                <w:color w:val="FFFFFF"/>
                <w:sz w:val="16"/>
              </w:rPr>
              <w:t>Módulo</w:t>
            </w:r>
          </w:p>
        </w:tc>
        <w:tc>
          <w:tcPr>
            <w:tcW w:type="dxa" w:w="1701"/>
            <w:shd w:val="clear" w:color="auto" w:fill="1F3B57"/>
          </w:tcPr>
          <w:p>
            <w:pPr>
              <w:spacing w:before="20" w:after="20"/>
            </w:pPr>
            <w:r>
              <w:rPr>
                <w:b/>
                <w:i w:val="0"/>
                <w:color w:val="FFFFFF"/>
                <w:sz w:val="16"/>
              </w:rPr>
              <w:t>Unidades</w:t>
            </w:r>
          </w:p>
        </w:tc>
        <w:tc>
          <w:tcPr>
            <w:tcW w:type="dxa" w:w="3515"/>
            <w:shd w:val="clear" w:color="auto" w:fill="1F3B57"/>
          </w:tcPr>
          <w:p>
            <w:pPr>
              <w:spacing w:before="20" w:after="20"/>
            </w:pPr>
            <w:r>
              <w:rPr>
                <w:b/>
                <w:i w:val="0"/>
                <w:color w:val="FFFFFF"/>
                <w:sz w:val="16"/>
              </w:rPr>
              <w:t>Tabla o soporte del registro</w:t>
            </w:r>
          </w:p>
        </w:tc>
      </w:tr>
      <w:tr>
        <w:tc>
          <w:tcPr>
            <w:tcW w:type="dxa" w:w="454"/>
          </w:tcPr>
          <w:p>
            <w:pPr>
              <w:spacing w:before="20" w:after="20"/>
            </w:pPr>
            <w:r>
              <w:rPr>
                <w:b w:val="0"/>
                <w:i w:val="0"/>
                <w:color w:val="212121"/>
                <w:sz w:val="16"/>
              </w:rPr>
              <w:t>1</w:t>
            </w:r>
          </w:p>
        </w:tc>
        <w:tc>
          <w:tcPr>
            <w:tcW w:type="dxa" w:w="3402"/>
          </w:tcPr>
          <w:p>
            <w:pPr>
              <w:spacing w:before="20" w:after="20"/>
            </w:pPr>
            <w:r>
              <w:rPr>
                <w:b w:val="0"/>
                <w:i w:val="0"/>
                <w:color w:val="212121"/>
                <w:sz w:val="16"/>
              </w:rPr>
              <w:t>Admisión y registro de pacientes</w:t>
            </w:r>
          </w:p>
        </w:tc>
        <w:tc>
          <w:tcPr>
            <w:tcW w:type="dxa" w:w="1701"/>
          </w:tcPr>
          <w:p>
            <w:pPr>
              <w:spacing w:before="20" w:after="20"/>
            </w:pPr>
            <w:r>
              <w:rPr>
                <w:b w:val="0"/>
                <w:i w:val="0"/>
                <w:color w:val="212121"/>
                <w:sz w:val="16"/>
              </w:rPr>
              <w:t>Las tres</w:t>
            </w:r>
          </w:p>
        </w:tc>
        <w:tc>
          <w:tcPr>
            <w:tcW w:type="dxa" w:w="3515"/>
          </w:tcPr>
          <w:p>
            <w:pPr>
              <w:spacing w:before="20" w:after="20"/>
            </w:pPr>
            <w:r>
              <w:rPr>
                <w:b w:val="0"/>
                <w:i w:val="0"/>
                <w:color w:val="212121"/>
                <w:sz w:val="16"/>
              </w:rPr>
              <w:t>pacientes · pre_registros</w:t>
            </w:r>
          </w:p>
        </w:tc>
      </w:tr>
      <w:tr>
        <w:tc>
          <w:tcPr>
            <w:tcW w:type="dxa" w:w="454"/>
          </w:tcPr>
          <w:p>
            <w:pPr>
              <w:spacing w:before="20" w:after="20"/>
            </w:pPr>
            <w:r>
              <w:rPr>
                <w:b w:val="0"/>
                <w:i w:val="0"/>
                <w:color w:val="212121"/>
                <w:sz w:val="16"/>
              </w:rPr>
              <w:t>2</w:t>
            </w:r>
          </w:p>
        </w:tc>
        <w:tc>
          <w:tcPr>
            <w:tcW w:type="dxa" w:w="3402"/>
          </w:tcPr>
          <w:p>
            <w:pPr>
              <w:spacing w:before="20" w:after="20"/>
            </w:pPr>
            <w:r>
              <w:rPr>
                <w:b w:val="0"/>
                <w:i w:val="0"/>
                <w:color w:val="212121"/>
                <w:sz w:val="16"/>
              </w:rPr>
              <w:t>Expediente clínico</w:t>
            </w:r>
          </w:p>
        </w:tc>
        <w:tc>
          <w:tcPr>
            <w:tcW w:type="dxa" w:w="1701"/>
          </w:tcPr>
          <w:p>
            <w:pPr>
              <w:spacing w:before="20" w:after="20"/>
            </w:pPr>
            <w:r>
              <w:rPr>
                <w:b w:val="0"/>
                <w:i w:val="0"/>
                <w:color w:val="212121"/>
                <w:sz w:val="16"/>
              </w:rPr>
              <w:t>Las tres</w:t>
            </w:r>
          </w:p>
        </w:tc>
        <w:tc>
          <w:tcPr>
            <w:tcW w:type="dxa" w:w="3515"/>
          </w:tcPr>
          <w:p>
            <w:pPr>
              <w:spacing w:before="20" w:after="20"/>
            </w:pPr>
            <w:r>
              <w:rPr>
                <w:b w:val="0"/>
                <w:i w:val="0"/>
                <w:color w:val="212121"/>
                <w:sz w:val="16"/>
              </w:rPr>
              <w:t>expedientes</w:t>
            </w:r>
          </w:p>
        </w:tc>
      </w:tr>
      <w:tr>
        <w:tc>
          <w:tcPr>
            <w:tcW w:type="dxa" w:w="454"/>
          </w:tcPr>
          <w:p>
            <w:pPr>
              <w:spacing w:before="20" w:after="20"/>
            </w:pPr>
            <w:r>
              <w:rPr>
                <w:b w:val="0"/>
                <w:i w:val="0"/>
                <w:color w:val="212121"/>
                <w:sz w:val="16"/>
              </w:rPr>
              <w:t>3</w:t>
            </w:r>
          </w:p>
        </w:tc>
        <w:tc>
          <w:tcPr>
            <w:tcW w:type="dxa" w:w="3402"/>
          </w:tcPr>
          <w:p>
            <w:pPr>
              <w:spacing w:before="20" w:after="20"/>
            </w:pPr>
            <w:r>
              <w:rPr>
                <w:b w:val="0"/>
                <w:i w:val="0"/>
                <w:color w:val="212121"/>
                <w:sz w:val="16"/>
              </w:rPr>
              <w:t>Signos vitales</w:t>
            </w:r>
          </w:p>
        </w:tc>
        <w:tc>
          <w:tcPr>
            <w:tcW w:type="dxa" w:w="1701"/>
          </w:tcPr>
          <w:p>
            <w:pPr>
              <w:spacing w:before="20" w:after="20"/>
            </w:pPr>
            <w:r>
              <w:rPr>
                <w:b w:val="0"/>
                <w:i w:val="0"/>
                <w:color w:val="212121"/>
                <w:sz w:val="16"/>
              </w:rPr>
              <w:t>Clinic · Surgery</w:t>
            </w:r>
          </w:p>
        </w:tc>
        <w:tc>
          <w:tcPr>
            <w:tcW w:type="dxa" w:w="3515"/>
          </w:tcPr>
          <w:p>
            <w:pPr>
              <w:spacing w:before="20" w:after="20"/>
            </w:pPr>
            <w:r>
              <w:rPr>
                <w:b w:val="0"/>
                <w:i w:val="0"/>
                <w:color w:val="212121"/>
                <w:sz w:val="16"/>
              </w:rPr>
              <w:t>signos_vitales</w:t>
            </w:r>
          </w:p>
        </w:tc>
      </w:tr>
      <w:tr>
        <w:tc>
          <w:tcPr>
            <w:tcW w:type="dxa" w:w="454"/>
          </w:tcPr>
          <w:p>
            <w:pPr>
              <w:spacing w:before="20" w:after="20"/>
            </w:pPr>
            <w:r>
              <w:rPr>
                <w:b w:val="0"/>
                <w:i w:val="0"/>
                <w:color w:val="212121"/>
                <w:sz w:val="16"/>
              </w:rPr>
              <w:t>4</w:t>
            </w:r>
          </w:p>
        </w:tc>
        <w:tc>
          <w:tcPr>
            <w:tcW w:type="dxa" w:w="3402"/>
          </w:tcPr>
          <w:p>
            <w:pPr>
              <w:spacing w:before="20" w:after="20"/>
            </w:pPr>
            <w:r>
              <w:rPr>
                <w:b w:val="0"/>
                <w:i w:val="0"/>
                <w:color w:val="212121"/>
                <w:sz w:val="16"/>
              </w:rPr>
              <w:t>Antecedentes clínicos</w:t>
            </w:r>
          </w:p>
        </w:tc>
        <w:tc>
          <w:tcPr>
            <w:tcW w:type="dxa" w:w="1701"/>
          </w:tcPr>
          <w:p>
            <w:pPr>
              <w:spacing w:before="20" w:after="20"/>
            </w:pPr>
            <w:r>
              <w:rPr>
                <w:b w:val="0"/>
                <w:i w:val="0"/>
                <w:color w:val="212121"/>
                <w:sz w:val="16"/>
              </w:rPr>
              <w:t>Las tres</w:t>
            </w:r>
          </w:p>
        </w:tc>
        <w:tc>
          <w:tcPr>
            <w:tcW w:type="dxa" w:w="3515"/>
          </w:tcPr>
          <w:p>
            <w:pPr>
              <w:spacing w:before="20" w:after="20"/>
            </w:pPr>
            <w:r>
              <w:rPr>
                <w:b w:val="0"/>
                <w:i w:val="0"/>
                <w:color w:val="212121"/>
                <w:sz w:val="16"/>
              </w:rPr>
              <w:t>antecedentes_patologicos · antecedentes_no_patologicos · antecedentes_familiares · antecedentes_gineco</w:t>
            </w:r>
          </w:p>
        </w:tc>
      </w:tr>
      <w:tr>
        <w:tc>
          <w:tcPr>
            <w:tcW w:type="dxa" w:w="454"/>
          </w:tcPr>
          <w:p>
            <w:pPr>
              <w:spacing w:before="20" w:after="20"/>
            </w:pPr>
            <w:r>
              <w:rPr>
                <w:b w:val="0"/>
                <w:i w:val="0"/>
                <w:color w:val="212121"/>
                <w:sz w:val="16"/>
              </w:rPr>
              <w:t>5</w:t>
            </w:r>
          </w:p>
        </w:tc>
        <w:tc>
          <w:tcPr>
            <w:tcW w:type="dxa" w:w="3402"/>
          </w:tcPr>
          <w:p>
            <w:pPr>
              <w:spacing w:before="20" w:after="20"/>
            </w:pPr>
            <w:r>
              <w:rPr>
                <w:b w:val="0"/>
                <w:i w:val="0"/>
                <w:color w:val="212121"/>
                <w:sz w:val="16"/>
              </w:rPr>
              <w:t>Interrogatorio por aparatos y sistemas</w:t>
            </w:r>
          </w:p>
        </w:tc>
        <w:tc>
          <w:tcPr>
            <w:tcW w:type="dxa" w:w="1701"/>
          </w:tcPr>
          <w:p>
            <w:pPr>
              <w:spacing w:before="20" w:after="20"/>
            </w:pPr>
            <w:r>
              <w:rPr>
                <w:b w:val="0"/>
                <w:i w:val="0"/>
                <w:color w:val="212121"/>
                <w:sz w:val="16"/>
              </w:rPr>
              <w:t>Las tres</w:t>
            </w:r>
          </w:p>
        </w:tc>
        <w:tc>
          <w:tcPr>
            <w:tcW w:type="dxa" w:w="3515"/>
          </w:tcPr>
          <w:p>
            <w:pPr>
              <w:spacing w:before="20" w:after="20"/>
            </w:pPr>
            <w:r>
              <w:rPr>
                <w:b w:val="0"/>
                <w:i w:val="0"/>
                <w:color w:val="212121"/>
                <w:sz w:val="16"/>
              </w:rPr>
              <w:t>interrogatorio_aparatos</w:t>
            </w:r>
          </w:p>
        </w:tc>
      </w:tr>
      <w:tr>
        <w:tc>
          <w:tcPr>
            <w:tcW w:type="dxa" w:w="454"/>
          </w:tcPr>
          <w:p>
            <w:pPr>
              <w:spacing w:before="20" w:after="20"/>
            </w:pPr>
            <w:r>
              <w:rPr>
                <w:b w:val="0"/>
                <w:i w:val="0"/>
                <w:color w:val="212121"/>
                <w:sz w:val="16"/>
              </w:rPr>
              <w:t>6</w:t>
            </w:r>
          </w:p>
        </w:tc>
        <w:tc>
          <w:tcPr>
            <w:tcW w:type="dxa" w:w="3402"/>
          </w:tcPr>
          <w:p>
            <w:pPr>
              <w:spacing w:before="20" w:after="20"/>
            </w:pPr>
            <w:r>
              <w:rPr>
                <w:b w:val="0"/>
                <w:i w:val="0"/>
                <w:color w:val="212121"/>
                <w:sz w:val="16"/>
              </w:rPr>
              <w:t>Alergias y discapacidades</w:t>
            </w:r>
          </w:p>
        </w:tc>
        <w:tc>
          <w:tcPr>
            <w:tcW w:type="dxa" w:w="1701"/>
          </w:tcPr>
          <w:p>
            <w:pPr>
              <w:spacing w:before="20" w:after="20"/>
            </w:pPr>
            <w:r>
              <w:rPr>
                <w:b w:val="0"/>
                <w:i w:val="0"/>
                <w:color w:val="212121"/>
                <w:sz w:val="16"/>
              </w:rPr>
              <w:t>Las tres</w:t>
            </w:r>
          </w:p>
        </w:tc>
        <w:tc>
          <w:tcPr>
            <w:tcW w:type="dxa" w:w="3515"/>
          </w:tcPr>
          <w:p>
            <w:pPr>
              <w:spacing w:before="20" w:after="20"/>
            </w:pPr>
            <w:r>
              <w:rPr>
                <w:b w:val="0"/>
                <w:i w:val="0"/>
                <w:color w:val="212121"/>
                <w:sz w:val="16"/>
              </w:rPr>
              <w:t>alergias · discapacidades</w:t>
            </w:r>
          </w:p>
        </w:tc>
      </w:tr>
      <w:tr>
        <w:tc>
          <w:tcPr>
            <w:tcW w:type="dxa" w:w="454"/>
          </w:tcPr>
          <w:p>
            <w:pPr>
              <w:spacing w:before="20" w:after="20"/>
            </w:pPr>
            <w:r>
              <w:rPr>
                <w:b w:val="0"/>
                <w:i w:val="0"/>
                <w:color w:val="212121"/>
                <w:sz w:val="16"/>
              </w:rPr>
              <w:t>7</w:t>
            </w:r>
          </w:p>
        </w:tc>
        <w:tc>
          <w:tcPr>
            <w:tcW w:type="dxa" w:w="3402"/>
          </w:tcPr>
          <w:p>
            <w:pPr>
              <w:spacing w:before="20" w:after="20"/>
            </w:pPr>
            <w:r>
              <w:rPr>
                <w:b w:val="0"/>
                <w:i w:val="0"/>
                <w:color w:val="212121"/>
                <w:sz w:val="16"/>
              </w:rPr>
              <w:t>Notas médicas — 13 tipos, con firma y versionado</w:t>
            </w:r>
          </w:p>
        </w:tc>
        <w:tc>
          <w:tcPr>
            <w:tcW w:type="dxa" w:w="1701"/>
          </w:tcPr>
          <w:p>
            <w:pPr>
              <w:spacing w:before="20" w:after="20"/>
            </w:pPr>
            <w:r>
              <w:rPr>
                <w:b w:val="0"/>
                <w:i w:val="0"/>
                <w:color w:val="212121"/>
                <w:sz w:val="16"/>
              </w:rPr>
              <w:t>Las tres</w:t>
            </w:r>
          </w:p>
        </w:tc>
        <w:tc>
          <w:tcPr>
            <w:tcW w:type="dxa" w:w="3515"/>
          </w:tcPr>
          <w:p>
            <w:pPr>
              <w:spacing w:before="20" w:after="20"/>
            </w:pPr>
            <w:r>
              <w:rPr>
                <w:b w:val="0"/>
                <w:i w:val="0"/>
                <w:color w:val="212121"/>
                <w:sz w:val="16"/>
              </w:rPr>
              <w:t>consultas</w:t>
            </w:r>
          </w:p>
        </w:tc>
      </w:tr>
      <w:tr>
        <w:tc>
          <w:tcPr>
            <w:tcW w:type="dxa" w:w="454"/>
          </w:tcPr>
          <w:p>
            <w:pPr>
              <w:spacing w:before="20" w:after="20"/>
            </w:pPr>
            <w:r>
              <w:rPr>
                <w:b w:val="0"/>
                <w:i w:val="0"/>
                <w:color w:val="212121"/>
                <w:sz w:val="16"/>
              </w:rPr>
              <w:t>8</w:t>
            </w:r>
          </w:p>
        </w:tc>
        <w:tc>
          <w:tcPr>
            <w:tcW w:type="dxa" w:w="3402"/>
          </w:tcPr>
          <w:p>
            <w:pPr>
              <w:spacing w:before="20" w:after="20"/>
            </w:pPr>
            <w:r>
              <w:rPr>
                <w:b w:val="0"/>
                <w:i w:val="0"/>
                <w:color w:val="212121"/>
                <w:sz w:val="16"/>
              </w:rPr>
              <w:t>Nota nutricional con valoración ABCD</w:t>
            </w:r>
          </w:p>
        </w:tc>
        <w:tc>
          <w:tcPr>
            <w:tcW w:type="dxa" w:w="1701"/>
          </w:tcPr>
          <w:p>
            <w:pPr>
              <w:spacing w:before="20" w:after="20"/>
            </w:pPr>
            <w:r>
              <w:rPr>
                <w:b w:val="0"/>
                <w:i w:val="0"/>
                <w:color w:val="212121"/>
                <w:sz w:val="16"/>
              </w:rPr>
              <w:t>Las tres</w:t>
            </w:r>
          </w:p>
        </w:tc>
        <w:tc>
          <w:tcPr>
            <w:tcW w:type="dxa" w:w="3515"/>
          </w:tcPr>
          <w:p>
            <w:pPr>
              <w:spacing w:before="20" w:after="20"/>
            </w:pPr>
            <w:r>
              <w:rPr>
                <w:b w:val="0"/>
                <w:i w:val="0"/>
                <w:color w:val="212121"/>
                <w:sz w:val="16"/>
              </w:rPr>
              <w:t>consultas</w:t>
            </w:r>
          </w:p>
        </w:tc>
      </w:tr>
      <w:tr>
        <w:tc>
          <w:tcPr>
            <w:tcW w:type="dxa" w:w="454"/>
          </w:tcPr>
          <w:p>
            <w:pPr>
              <w:spacing w:before="20" w:after="20"/>
            </w:pPr>
            <w:r>
              <w:rPr>
                <w:b w:val="0"/>
                <w:i w:val="0"/>
                <w:color w:val="212121"/>
                <w:sz w:val="16"/>
              </w:rPr>
              <w:t>9</w:t>
            </w:r>
          </w:p>
        </w:tc>
        <w:tc>
          <w:tcPr>
            <w:tcW w:type="dxa" w:w="3402"/>
          </w:tcPr>
          <w:p>
            <w:pPr>
              <w:spacing w:before="20" w:after="20"/>
            </w:pPr>
            <w:r>
              <w:rPr>
                <w:b w:val="0"/>
                <w:i w:val="0"/>
                <w:color w:val="212121"/>
                <w:sz w:val="16"/>
              </w:rPr>
              <w:t>Historial de versiones de notas</w:t>
            </w:r>
          </w:p>
        </w:tc>
        <w:tc>
          <w:tcPr>
            <w:tcW w:type="dxa" w:w="1701"/>
          </w:tcPr>
          <w:p>
            <w:pPr>
              <w:spacing w:before="20" w:after="20"/>
            </w:pPr>
            <w:r>
              <w:rPr>
                <w:b w:val="0"/>
                <w:i w:val="0"/>
                <w:color w:val="212121"/>
                <w:sz w:val="16"/>
              </w:rPr>
              <w:t>Las tres</w:t>
            </w:r>
          </w:p>
        </w:tc>
        <w:tc>
          <w:tcPr>
            <w:tcW w:type="dxa" w:w="3515"/>
          </w:tcPr>
          <w:p>
            <w:pPr>
              <w:spacing w:before="20" w:after="20"/>
            </w:pPr>
            <w:r>
              <w:rPr>
                <w:b w:val="0"/>
                <w:i w:val="0"/>
                <w:color w:val="212121"/>
                <w:sz w:val="16"/>
              </w:rPr>
              <w:t>consultas_historial</w:t>
            </w:r>
          </w:p>
        </w:tc>
      </w:tr>
      <w:tr>
        <w:tc>
          <w:tcPr>
            <w:tcW w:type="dxa" w:w="454"/>
          </w:tcPr>
          <w:p>
            <w:pPr>
              <w:spacing w:before="20" w:after="20"/>
            </w:pPr>
            <w:r>
              <w:rPr>
                <w:b w:val="0"/>
                <w:i w:val="0"/>
                <w:color w:val="212121"/>
                <w:sz w:val="16"/>
              </w:rPr>
              <w:t>10</w:t>
            </w:r>
          </w:p>
        </w:tc>
        <w:tc>
          <w:tcPr>
            <w:tcW w:type="dxa" w:w="3402"/>
          </w:tcPr>
          <w:p>
            <w:pPr>
              <w:spacing w:before="20" w:after="20"/>
            </w:pPr>
            <w:r>
              <w:rPr>
                <w:b w:val="0"/>
                <w:i w:val="0"/>
                <w:color w:val="212121"/>
                <w:sz w:val="16"/>
              </w:rPr>
              <w:t>Interconsultas</w:t>
            </w:r>
          </w:p>
        </w:tc>
        <w:tc>
          <w:tcPr>
            <w:tcW w:type="dxa" w:w="1701"/>
          </w:tcPr>
          <w:p>
            <w:pPr>
              <w:spacing w:before="20" w:after="20"/>
            </w:pPr>
            <w:r>
              <w:rPr>
                <w:b w:val="0"/>
                <w:i w:val="0"/>
                <w:color w:val="212121"/>
                <w:sz w:val="16"/>
              </w:rPr>
              <w:t>Las tres</w:t>
            </w:r>
          </w:p>
        </w:tc>
        <w:tc>
          <w:tcPr>
            <w:tcW w:type="dxa" w:w="3515"/>
          </w:tcPr>
          <w:p>
            <w:pPr>
              <w:spacing w:before="20" w:after="20"/>
            </w:pPr>
            <w:r>
              <w:rPr>
                <w:b w:val="0"/>
                <w:i w:val="0"/>
                <w:color w:val="212121"/>
                <w:sz w:val="16"/>
              </w:rPr>
              <w:t>interconsultas</w:t>
            </w:r>
          </w:p>
        </w:tc>
      </w:tr>
      <w:tr>
        <w:tc>
          <w:tcPr>
            <w:tcW w:type="dxa" w:w="454"/>
          </w:tcPr>
          <w:p>
            <w:pPr>
              <w:spacing w:before="20" w:after="20"/>
            </w:pPr>
            <w:r>
              <w:rPr>
                <w:b w:val="0"/>
                <w:i w:val="0"/>
                <w:color w:val="212121"/>
                <w:sz w:val="16"/>
              </w:rPr>
              <w:t>11</w:t>
            </w:r>
          </w:p>
        </w:tc>
        <w:tc>
          <w:tcPr>
            <w:tcW w:type="dxa" w:w="3402"/>
          </w:tcPr>
          <w:p>
            <w:pPr>
              <w:spacing w:before="20" w:after="20"/>
            </w:pPr>
            <w:r>
              <w:rPr>
                <w:b w:val="0"/>
                <w:i w:val="0"/>
                <w:color w:val="212121"/>
                <w:sz w:val="16"/>
              </w:rPr>
              <w:t>Consentimientos informados — 17 formatos con firma digital</w:t>
            </w:r>
          </w:p>
        </w:tc>
        <w:tc>
          <w:tcPr>
            <w:tcW w:type="dxa" w:w="1701"/>
          </w:tcPr>
          <w:p>
            <w:pPr>
              <w:spacing w:before="20" w:after="20"/>
            </w:pPr>
            <w:r>
              <w:rPr>
                <w:b w:val="0"/>
                <w:i w:val="0"/>
                <w:color w:val="212121"/>
                <w:sz w:val="16"/>
              </w:rPr>
              <w:t>Clinic · Surgery</w:t>
            </w:r>
          </w:p>
        </w:tc>
        <w:tc>
          <w:tcPr>
            <w:tcW w:type="dxa" w:w="3515"/>
          </w:tcPr>
          <w:p>
            <w:pPr>
              <w:spacing w:before="20" w:after="20"/>
            </w:pPr>
            <w:r>
              <w:rPr>
                <w:b w:val="0"/>
                <w:i w:val="0"/>
                <w:color w:val="212121"/>
                <w:sz w:val="16"/>
              </w:rPr>
              <w:t>Storage «expedientes»</w:t>
            </w:r>
          </w:p>
        </w:tc>
      </w:tr>
      <w:tr>
        <w:tc>
          <w:tcPr>
            <w:tcW w:type="dxa" w:w="454"/>
          </w:tcPr>
          <w:p>
            <w:pPr>
              <w:spacing w:before="20" w:after="20"/>
            </w:pPr>
            <w:r>
              <w:rPr>
                <w:b w:val="0"/>
                <w:i w:val="0"/>
                <w:color w:val="212121"/>
                <w:sz w:val="16"/>
              </w:rPr>
              <w:t>12</w:t>
            </w:r>
          </w:p>
        </w:tc>
        <w:tc>
          <w:tcPr>
            <w:tcW w:type="dxa" w:w="3402"/>
          </w:tcPr>
          <w:p>
            <w:pPr>
              <w:spacing w:before="20" w:after="20"/>
            </w:pPr>
            <w:r>
              <w:rPr>
                <w:b w:val="0"/>
                <w:i w:val="0"/>
                <w:color w:val="212121"/>
                <w:sz w:val="16"/>
              </w:rPr>
              <w:t>Recetas y suplementación — catálogo Famel, 17 productos</w:t>
            </w:r>
          </w:p>
        </w:tc>
        <w:tc>
          <w:tcPr>
            <w:tcW w:type="dxa" w:w="1701"/>
          </w:tcPr>
          <w:p>
            <w:pPr>
              <w:spacing w:before="20" w:after="20"/>
            </w:pPr>
            <w:r>
              <w:rPr>
                <w:b w:val="0"/>
                <w:i w:val="0"/>
                <w:color w:val="212121"/>
                <w:sz w:val="16"/>
              </w:rPr>
              <w:t>Las tres</w:t>
            </w:r>
          </w:p>
        </w:tc>
        <w:tc>
          <w:tcPr>
            <w:tcW w:type="dxa" w:w="3515"/>
          </w:tcPr>
          <w:p>
            <w:pPr>
              <w:spacing w:before="20" w:after="20"/>
            </w:pPr>
            <w:r>
              <w:rPr>
                <w:b w:val="0"/>
                <w:i w:val="0"/>
                <w:color w:val="212121"/>
                <w:sz w:val="16"/>
              </w:rPr>
              <w:t>consultas</w:t>
            </w:r>
          </w:p>
        </w:tc>
      </w:tr>
      <w:tr>
        <w:tc>
          <w:tcPr>
            <w:tcW w:type="dxa" w:w="454"/>
          </w:tcPr>
          <w:p>
            <w:pPr>
              <w:spacing w:before="20" w:after="20"/>
            </w:pPr>
            <w:r>
              <w:rPr>
                <w:b w:val="0"/>
                <w:i w:val="0"/>
                <w:color w:val="212121"/>
                <w:sz w:val="16"/>
              </w:rPr>
              <w:t>13</w:t>
            </w:r>
          </w:p>
        </w:tc>
        <w:tc>
          <w:tcPr>
            <w:tcW w:type="dxa" w:w="3402"/>
          </w:tcPr>
          <w:p>
            <w:pPr>
              <w:spacing w:before="20" w:after="20"/>
            </w:pPr>
            <w:r>
              <w:rPr>
                <w:b w:val="0"/>
                <w:i w:val="0"/>
                <w:color w:val="212121"/>
                <w:sz w:val="16"/>
              </w:rPr>
              <w:t>Indicaciones médicas</w:t>
            </w:r>
          </w:p>
        </w:tc>
        <w:tc>
          <w:tcPr>
            <w:tcW w:type="dxa" w:w="1701"/>
          </w:tcPr>
          <w:p>
            <w:pPr>
              <w:spacing w:before="20" w:after="20"/>
            </w:pPr>
            <w:r>
              <w:rPr>
                <w:b w:val="0"/>
                <w:i w:val="0"/>
                <w:color w:val="212121"/>
                <w:sz w:val="16"/>
              </w:rPr>
              <w:t>Clinic · Surgery</w:t>
            </w:r>
          </w:p>
        </w:tc>
        <w:tc>
          <w:tcPr>
            <w:tcW w:type="dxa" w:w="3515"/>
          </w:tcPr>
          <w:p>
            <w:pPr>
              <w:spacing w:before="20" w:after="20"/>
            </w:pPr>
            <w:r>
              <w:rPr>
                <w:b w:val="0"/>
                <w:i w:val="0"/>
                <w:color w:val="212121"/>
                <w:sz w:val="16"/>
              </w:rPr>
              <w:t>indicaciones_medicas</w:t>
            </w:r>
          </w:p>
        </w:tc>
      </w:tr>
      <w:tr>
        <w:tc>
          <w:tcPr>
            <w:tcW w:type="dxa" w:w="454"/>
          </w:tcPr>
          <w:p>
            <w:pPr>
              <w:spacing w:before="20" w:after="20"/>
            </w:pPr>
            <w:r>
              <w:rPr>
                <w:b w:val="0"/>
                <w:i w:val="0"/>
                <w:color w:val="212121"/>
                <w:sz w:val="16"/>
              </w:rPr>
              <w:t>14</w:t>
            </w:r>
          </w:p>
        </w:tc>
        <w:tc>
          <w:tcPr>
            <w:tcW w:type="dxa" w:w="3402"/>
          </w:tcPr>
          <w:p>
            <w:pPr>
              <w:spacing w:before="20" w:after="20"/>
            </w:pPr>
            <w:r>
              <w:rPr>
                <w:b w:val="0"/>
                <w:i w:val="0"/>
                <w:color w:val="212121"/>
                <w:sz w:val="16"/>
              </w:rPr>
              <w:t>Notas de enfermería y administración de medicamentos</w:t>
            </w:r>
          </w:p>
        </w:tc>
        <w:tc>
          <w:tcPr>
            <w:tcW w:type="dxa" w:w="1701"/>
          </w:tcPr>
          <w:p>
            <w:pPr>
              <w:spacing w:before="20" w:after="20"/>
            </w:pPr>
            <w:r>
              <w:rPr>
                <w:b w:val="0"/>
                <w:i w:val="0"/>
                <w:color w:val="212121"/>
                <w:sz w:val="16"/>
              </w:rPr>
              <w:t>Clinic · Surgery</w:t>
            </w:r>
          </w:p>
        </w:tc>
        <w:tc>
          <w:tcPr>
            <w:tcW w:type="dxa" w:w="3515"/>
          </w:tcPr>
          <w:p>
            <w:pPr>
              <w:spacing w:before="20" w:after="20"/>
            </w:pPr>
            <w:r>
              <w:rPr>
                <w:b w:val="0"/>
                <w:i w:val="0"/>
                <w:color w:val="212121"/>
                <w:sz w:val="16"/>
              </w:rPr>
              <w:t>notas_enfermeria · medicamentos_usados</w:t>
            </w:r>
          </w:p>
        </w:tc>
      </w:tr>
      <w:tr>
        <w:tc>
          <w:tcPr>
            <w:tcW w:type="dxa" w:w="454"/>
          </w:tcPr>
          <w:p>
            <w:pPr>
              <w:spacing w:before="20" w:after="20"/>
            </w:pPr>
            <w:r>
              <w:rPr>
                <w:b w:val="0"/>
                <w:i w:val="0"/>
                <w:color w:val="212121"/>
                <w:sz w:val="16"/>
              </w:rPr>
              <w:t>15</w:t>
            </w:r>
          </w:p>
        </w:tc>
        <w:tc>
          <w:tcPr>
            <w:tcW w:type="dxa" w:w="3402"/>
          </w:tcPr>
          <w:p>
            <w:pPr>
              <w:spacing w:before="20" w:after="20"/>
            </w:pPr>
            <w:r>
              <w:rPr>
                <w:b w:val="0"/>
                <w:i w:val="0"/>
                <w:color w:val="212121"/>
                <w:sz w:val="16"/>
              </w:rPr>
              <w:t>Ultrasonido diagnóstico — 22 plantillas y editor BI-RADS</w:t>
            </w:r>
          </w:p>
        </w:tc>
        <w:tc>
          <w:tcPr>
            <w:tcW w:type="dxa" w:w="1701"/>
          </w:tcPr>
          <w:p>
            <w:pPr>
              <w:spacing w:before="20" w:after="20"/>
            </w:pPr>
            <w:r>
              <w:rPr>
                <w:b w:val="0"/>
                <w:i w:val="0"/>
                <w:color w:val="212121"/>
                <w:sz w:val="16"/>
              </w:rPr>
              <w:t>Clinic</w:t>
            </w:r>
          </w:p>
        </w:tc>
        <w:tc>
          <w:tcPr>
            <w:tcW w:type="dxa" w:w="3515"/>
          </w:tcPr>
          <w:p>
            <w:pPr>
              <w:spacing w:before="20" w:after="20"/>
            </w:pPr>
            <w:r>
              <w:rPr>
                <w:b w:val="0"/>
                <w:i w:val="0"/>
                <w:color w:val="212121"/>
                <w:sz w:val="16"/>
              </w:rPr>
              <w:t>anexos</w:t>
            </w:r>
          </w:p>
        </w:tc>
      </w:tr>
      <w:tr>
        <w:tc>
          <w:tcPr>
            <w:tcW w:type="dxa" w:w="454"/>
          </w:tcPr>
          <w:p>
            <w:pPr>
              <w:spacing w:before="20" w:after="20"/>
            </w:pPr>
            <w:r>
              <w:rPr>
                <w:b w:val="0"/>
                <w:i w:val="0"/>
                <w:color w:val="212121"/>
                <w:sz w:val="16"/>
              </w:rPr>
              <w:t>16</w:t>
            </w:r>
          </w:p>
        </w:tc>
        <w:tc>
          <w:tcPr>
            <w:tcW w:type="dxa" w:w="3402"/>
          </w:tcPr>
          <w:p>
            <w:pPr>
              <w:spacing w:before="20" w:after="20"/>
            </w:pPr>
            <w:r>
              <w:rPr>
                <w:b w:val="0"/>
                <w:i w:val="0"/>
                <w:color w:val="212121"/>
                <w:sz w:val="16"/>
              </w:rPr>
              <w:t>InBody y composición corporal</w:t>
            </w:r>
          </w:p>
        </w:tc>
        <w:tc>
          <w:tcPr>
            <w:tcW w:type="dxa" w:w="1701"/>
          </w:tcPr>
          <w:p>
            <w:pPr>
              <w:spacing w:before="20" w:after="20"/>
            </w:pPr>
            <w:r>
              <w:rPr>
                <w:b w:val="0"/>
                <w:i w:val="0"/>
                <w:color w:val="212121"/>
                <w:sz w:val="16"/>
              </w:rPr>
              <w:t>Las tres</w:t>
            </w:r>
          </w:p>
        </w:tc>
        <w:tc>
          <w:tcPr>
            <w:tcW w:type="dxa" w:w="3515"/>
          </w:tcPr>
          <w:p>
            <w:pPr>
              <w:spacing w:before="20" w:after="20"/>
            </w:pPr>
            <w:r>
              <w:rPr>
                <w:b w:val="0"/>
                <w:i w:val="0"/>
                <w:color w:val="212121"/>
                <w:sz w:val="16"/>
              </w:rPr>
              <w:t>inbody_resultados</w:t>
            </w:r>
          </w:p>
        </w:tc>
      </w:tr>
      <w:tr>
        <w:tc>
          <w:tcPr>
            <w:tcW w:type="dxa" w:w="454"/>
          </w:tcPr>
          <w:p>
            <w:pPr>
              <w:spacing w:before="20" w:after="20"/>
            </w:pPr>
            <w:r>
              <w:rPr>
                <w:b w:val="0"/>
                <w:i w:val="0"/>
                <w:color w:val="212121"/>
                <w:sz w:val="16"/>
              </w:rPr>
              <w:t>17</w:t>
            </w:r>
          </w:p>
        </w:tc>
        <w:tc>
          <w:tcPr>
            <w:tcW w:type="dxa" w:w="3402"/>
          </w:tcPr>
          <w:p>
            <w:pPr>
              <w:spacing w:before="20" w:after="20"/>
            </w:pPr>
            <w:r>
              <w:rPr>
                <w:b w:val="0"/>
                <w:i w:val="0"/>
                <w:color w:val="212121"/>
                <w:sz w:val="16"/>
              </w:rPr>
              <w:t>Cálculo nutricional y plantillas Famel por fases</w:t>
            </w:r>
          </w:p>
        </w:tc>
        <w:tc>
          <w:tcPr>
            <w:tcW w:type="dxa" w:w="1701"/>
          </w:tcPr>
          <w:p>
            <w:pPr>
              <w:spacing w:before="20" w:after="20"/>
            </w:pPr>
            <w:r>
              <w:rPr>
                <w:b w:val="0"/>
                <w:i w:val="0"/>
                <w:color w:val="212121"/>
                <w:sz w:val="16"/>
              </w:rPr>
              <w:t>Clinic · amfa</w:t>
            </w:r>
          </w:p>
        </w:tc>
        <w:tc>
          <w:tcPr>
            <w:tcW w:type="dxa" w:w="3515"/>
          </w:tcPr>
          <w:p>
            <w:pPr>
              <w:spacing w:before="20" w:after="20"/>
            </w:pPr>
            <w:r>
              <w:rPr>
                <w:b w:val="0"/>
                <w:i w:val="0"/>
                <w:color w:val="212121"/>
                <w:sz w:val="16"/>
              </w:rPr>
              <w:t>anexos</w:t>
            </w:r>
          </w:p>
        </w:tc>
      </w:tr>
      <w:tr>
        <w:tc>
          <w:tcPr>
            <w:tcW w:type="dxa" w:w="454"/>
          </w:tcPr>
          <w:p>
            <w:pPr>
              <w:spacing w:before="20" w:after="20"/>
            </w:pPr>
            <w:r>
              <w:rPr>
                <w:b w:val="0"/>
                <w:i w:val="0"/>
                <w:color w:val="212121"/>
                <w:sz w:val="16"/>
              </w:rPr>
              <w:t>18</w:t>
            </w:r>
          </w:p>
        </w:tc>
        <w:tc>
          <w:tcPr>
            <w:tcW w:type="dxa" w:w="3402"/>
          </w:tcPr>
          <w:p>
            <w:pPr>
              <w:spacing w:before="20" w:after="20"/>
            </w:pPr>
            <w:r>
              <w:rPr>
                <w:b w:val="0"/>
                <w:i w:val="0"/>
                <w:color w:val="212121"/>
                <w:sz w:val="16"/>
              </w:rPr>
              <w:t>Prescripción de ejercicio — modelo volumétrico VME/VMR</w:t>
            </w:r>
          </w:p>
        </w:tc>
        <w:tc>
          <w:tcPr>
            <w:tcW w:type="dxa" w:w="1701"/>
          </w:tcPr>
          <w:p>
            <w:pPr>
              <w:spacing w:before="20" w:after="20"/>
            </w:pPr>
            <w:r>
              <w:rPr>
                <w:b w:val="0"/>
                <w:i w:val="0"/>
                <w:color w:val="212121"/>
                <w:sz w:val="16"/>
              </w:rPr>
              <w:t>Clinic</w:t>
            </w:r>
          </w:p>
        </w:tc>
        <w:tc>
          <w:tcPr>
            <w:tcW w:type="dxa" w:w="3515"/>
          </w:tcPr>
          <w:p>
            <w:pPr>
              <w:spacing w:before="20" w:after="20"/>
            </w:pPr>
            <w:r>
              <w:rPr>
                <w:b w:val="0"/>
                <w:i w:val="0"/>
                <w:color w:val="212121"/>
                <w:sz w:val="16"/>
              </w:rPr>
              <w:t>anexos</w:t>
            </w:r>
          </w:p>
        </w:tc>
      </w:tr>
      <w:tr>
        <w:tc>
          <w:tcPr>
            <w:tcW w:type="dxa" w:w="454"/>
          </w:tcPr>
          <w:p>
            <w:pPr>
              <w:spacing w:before="20" w:after="20"/>
            </w:pPr>
            <w:r>
              <w:rPr>
                <w:b w:val="0"/>
                <w:i w:val="0"/>
                <w:color w:val="212121"/>
                <w:sz w:val="16"/>
              </w:rPr>
              <w:t>19</w:t>
            </w:r>
          </w:p>
        </w:tc>
        <w:tc>
          <w:tcPr>
            <w:tcW w:type="dxa" w:w="3402"/>
          </w:tcPr>
          <w:p>
            <w:pPr>
              <w:spacing w:before="20" w:after="20"/>
            </w:pPr>
            <w:r>
              <w:rPr>
                <w:b w:val="0"/>
                <w:i w:val="0"/>
                <w:color w:val="212121"/>
                <w:sz w:val="16"/>
              </w:rPr>
              <w:t>Fisioterapia</w:t>
            </w:r>
          </w:p>
        </w:tc>
        <w:tc>
          <w:tcPr>
            <w:tcW w:type="dxa" w:w="1701"/>
          </w:tcPr>
          <w:p>
            <w:pPr>
              <w:spacing w:before="20" w:after="20"/>
            </w:pPr>
            <w:r>
              <w:rPr>
                <w:b w:val="0"/>
                <w:i w:val="0"/>
                <w:color w:val="212121"/>
                <w:sz w:val="16"/>
              </w:rPr>
              <w:t>Clinic</w:t>
            </w:r>
          </w:p>
        </w:tc>
        <w:tc>
          <w:tcPr>
            <w:tcW w:type="dxa" w:w="3515"/>
          </w:tcPr>
          <w:p>
            <w:pPr>
              <w:spacing w:before="20" w:after="20"/>
            </w:pPr>
            <w:r>
              <w:rPr>
                <w:b w:val="0"/>
                <w:i w:val="0"/>
                <w:color w:val="212121"/>
                <w:sz w:val="16"/>
              </w:rPr>
              <w:t>fisioterapia_prescripciones</w:t>
            </w:r>
          </w:p>
        </w:tc>
      </w:tr>
      <w:tr>
        <w:tc>
          <w:tcPr>
            <w:tcW w:type="dxa" w:w="454"/>
          </w:tcPr>
          <w:p>
            <w:pPr>
              <w:spacing w:before="20" w:after="20"/>
            </w:pPr>
            <w:r>
              <w:rPr>
                <w:b w:val="0"/>
                <w:i w:val="0"/>
                <w:color w:val="212121"/>
                <w:sz w:val="16"/>
              </w:rPr>
              <w:t>20</w:t>
            </w:r>
          </w:p>
        </w:tc>
        <w:tc>
          <w:tcPr>
            <w:tcW w:type="dxa" w:w="3402"/>
          </w:tcPr>
          <w:p>
            <w:pPr>
              <w:spacing w:before="20" w:after="20"/>
            </w:pPr>
            <w:r>
              <w:rPr>
                <w:b w:val="0"/>
                <w:i w:val="0"/>
                <w:color w:val="212121"/>
                <w:sz w:val="16"/>
              </w:rPr>
              <w:t>Vacunas</w:t>
            </w:r>
          </w:p>
        </w:tc>
        <w:tc>
          <w:tcPr>
            <w:tcW w:type="dxa" w:w="1701"/>
          </w:tcPr>
          <w:p>
            <w:pPr>
              <w:spacing w:before="20" w:after="20"/>
            </w:pPr>
            <w:r>
              <w:rPr>
                <w:b w:val="0"/>
                <w:i w:val="0"/>
                <w:color w:val="212121"/>
                <w:sz w:val="16"/>
              </w:rPr>
              <w:t>Clinic · Surgery</w:t>
            </w:r>
          </w:p>
        </w:tc>
        <w:tc>
          <w:tcPr>
            <w:tcW w:type="dxa" w:w="3515"/>
          </w:tcPr>
          <w:p>
            <w:pPr>
              <w:spacing w:before="20" w:after="20"/>
            </w:pPr>
            <w:r>
              <w:rPr>
                <w:b w:val="0"/>
                <w:i w:val="0"/>
                <w:color w:val="212121"/>
                <w:sz w:val="16"/>
              </w:rPr>
              <w:t>vacunas</w:t>
            </w:r>
          </w:p>
        </w:tc>
      </w:tr>
      <w:tr>
        <w:tc>
          <w:tcPr>
            <w:tcW w:type="dxa" w:w="454"/>
          </w:tcPr>
          <w:p>
            <w:pPr>
              <w:spacing w:before="20" w:after="20"/>
            </w:pPr>
            <w:r>
              <w:rPr>
                <w:b w:val="0"/>
                <w:i w:val="0"/>
                <w:color w:val="212121"/>
                <w:sz w:val="16"/>
              </w:rPr>
              <w:t>21</w:t>
            </w:r>
          </w:p>
        </w:tc>
        <w:tc>
          <w:tcPr>
            <w:tcW w:type="dxa" w:w="3402"/>
          </w:tcPr>
          <w:p>
            <w:pPr>
              <w:spacing w:before="20" w:after="20"/>
            </w:pPr>
            <w:r>
              <w:rPr>
                <w:b w:val="0"/>
                <w:i w:val="0"/>
                <w:color w:val="212121"/>
                <w:sz w:val="16"/>
              </w:rPr>
              <w:t>Laboratorio, gabinete, imágenes y documentos anexos</w:t>
            </w:r>
          </w:p>
        </w:tc>
        <w:tc>
          <w:tcPr>
            <w:tcW w:type="dxa" w:w="1701"/>
          </w:tcPr>
          <w:p>
            <w:pPr>
              <w:spacing w:before="20" w:after="20"/>
            </w:pPr>
            <w:r>
              <w:rPr>
                <w:b w:val="0"/>
                <w:i w:val="0"/>
                <w:color w:val="212121"/>
                <w:sz w:val="16"/>
              </w:rPr>
              <w:t>Las tres</w:t>
            </w:r>
          </w:p>
        </w:tc>
        <w:tc>
          <w:tcPr>
            <w:tcW w:type="dxa" w:w="3515"/>
          </w:tcPr>
          <w:p>
            <w:pPr>
              <w:spacing w:before="20" w:after="20"/>
            </w:pPr>
            <w:r>
              <w:rPr>
                <w:b w:val="0"/>
                <w:i w:val="0"/>
                <w:color w:val="212121"/>
                <w:sz w:val="16"/>
              </w:rPr>
              <w:t>anexos · resultados_laboratorio · imagenes_expediente</w:t>
            </w:r>
          </w:p>
        </w:tc>
      </w:tr>
      <w:tr>
        <w:tc>
          <w:tcPr>
            <w:tcW w:type="dxa" w:w="454"/>
          </w:tcPr>
          <w:p>
            <w:pPr>
              <w:spacing w:before="20" w:after="20"/>
            </w:pPr>
            <w:r>
              <w:rPr>
                <w:b w:val="0"/>
                <w:i w:val="0"/>
                <w:color w:val="212121"/>
                <w:sz w:val="16"/>
              </w:rPr>
              <w:t>22</w:t>
            </w:r>
          </w:p>
        </w:tc>
        <w:tc>
          <w:tcPr>
            <w:tcW w:type="dxa" w:w="3402"/>
          </w:tcPr>
          <w:p>
            <w:pPr>
              <w:spacing w:before="20" w:after="20"/>
            </w:pPr>
            <w:r>
              <w:rPr>
                <w:b w:val="0"/>
                <w:i w:val="0"/>
                <w:color w:val="212121"/>
                <w:sz w:val="16"/>
              </w:rPr>
              <w:t>Quirófano, episodios quirúrgicos y registro anestésico</w:t>
            </w:r>
          </w:p>
        </w:tc>
        <w:tc>
          <w:tcPr>
            <w:tcW w:type="dxa" w:w="1701"/>
          </w:tcPr>
          <w:p>
            <w:pPr>
              <w:spacing w:before="20" w:after="20"/>
            </w:pPr>
            <w:r>
              <w:rPr>
                <w:b w:val="0"/>
                <w:i w:val="0"/>
                <w:color w:val="212121"/>
                <w:sz w:val="16"/>
              </w:rPr>
              <w:t>Surgery</w:t>
            </w:r>
          </w:p>
        </w:tc>
        <w:tc>
          <w:tcPr>
            <w:tcW w:type="dxa" w:w="3515"/>
          </w:tcPr>
          <w:p>
            <w:pPr>
              <w:spacing w:before="20" w:after="20"/>
            </w:pPr>
            <w:r>
              <w:rPr>
                <w:b w:val="0"/>
                <w:i w:val="0"/>
                <w:color w:val="212121"/>
                <w:sz w:val="16"/>
              </w:rPr>
              <w:t>episodios_quirurgicos · registro_anestesico_farmacos · registro_anestesico_signos · checklist_oms · salas</w:t>
            </w:r>
          </w:p>
        </w:tc>
      </w:tr>
      <w:tr>
        <w:tc>
          <w:tcPr>
            <w:tcW w:type="dxa" w:w="454"/>
          </w:tcPr>
          <w:p>
            <w:pPr>
              <w:spacing w:before="20" w:after="20"/>
            </w:pPr>
            <w:r>
              <w:rPr>
                <w:b w:val="0"/>
                <w:i w:val="0"/>
                <w:color w:val="212121"/>
                <w:sz w:val="16"/>
              </w:rPr>
              <w:t>23</w:t>
            </w:r>
          </w:p>
        </w:tc>
        <w:tc>
          <w:tcPr>
            <w:tcW w:type="dxa" w:w="3402"/>
          </w:tcPr>
          <w:p>
            <w:pPr>
              <w:spacing w:before="20" w:after="20"/>
            </w:pPr>
            <w:r>
              <w:rPr>
                <w:b w:val="0"/>
                <w:i w:val="0"/>
                <w:color w:val="212121"/>
                <w:sz w:val="16"/>
              </w:rPr>
              <w:t>Herramientas y escalas clínicas</w:t>
            </w:r>
          </w:p>
        </w:tc>
        <w:tc>
          <w:tcPr>
            <w:tcW w:type="dxa" w:w="1701"/>
          </w:tcPr>
          <w:p>
            <w:pPr>
              <w:spacing w:before="20" w:after="20"/>
            </w:pPr>
            <w:r>
              <w:rPr>
                <w:b w:val="0"/>
                <w:i w:val="0"/>
                <w:color w:val="212121"/>
                <w:sz w:val="16"/>
              </w:rPr>
              <w:t>Las tres</w:t>
            </w:r>
          </w:p>
        </w:tc>
        <w:tc>
          <w:tcPr>
            <w:tcW w:type="dxa" w:w="3515"/>
          </w:tcPr>
          <w:p>
            <w:pPr>
              <w:spacing w:before="20" w:after="20"/>
            </w:pPr>
            <w:r>
              <w:rPr>
                <w:b w:val="0"/>
                <w:i w:val="0"/>
                <w:color w:val="212121"/>
                <w:sz w:val="16"/>
              </w:rPr>
              <w:t>resultados_herramientas</w:t>
            </w:r>
          </w:p>
        </w:tc>
      </w:tr>
      <w:tr>
        <w:tc>
          <w:tcPr>
            <w:tcW w:type="dxa" w:w="454"/>
          </w:tcPr>
          <w:p>
            <w:pPr>
              <w:spacing w:before="20" w:after="20"/>
            </w:pPr>
            <w:r>
              <w:rPr>
                <w:b w:val="0"/>
                <w:i w:val="0"/>
                <w:color w:val="212121"/>
                <w:sz w:val="16"/>
              </w:rPr>
              <w:t>24</w:t>
            </w:r>
          </w:p>
        </w:tc>
        <w:tc>
          <w:tcPr>
            <w:tcW w:type="dxa" w:w="3402"/>
          </w:tcPr>
          <w:p>
            <w:pPr>
              <w:spacing w:before="20" w:after="20"/>
            </w:pPr>
            <w:r>
              <w:rPr>
                <w:b w:val="0"/>
                <w:i w:val="0"/>
                <w:color w:val="212121"/>
                <w:sz w:val="16"/>
              </w:rPr>
              <w:t>Resumen médico y expediente en formato imprimible</w:t>
            </w:r>
          </w:p>
        </w:tc>
        <w:tc>
          <w:tcPr>
            <w:tcW w:type="dxa" w:w="1701"/>
          </w:tcPr>
          <w:p>
            <w:pPr>
              <w:spacing w:before="20" w:after="20"/>
            </w:pPr>
            <w:r>
              <w:rPr>
                <w:b w:val="0"/>
                <w:i w:val="0"/>
                <w:color w:val="212121"/>
                <w:sz w:val="16"/>
              </w:rPr>
              <w:t>Las tres</w:t>
            </w:r>
          </w:p>
        </w:tc>
        <w:tc>
          <w:tcPr>
            <w:tcW w:type="dxa" w:w="3515"/>
          </w:tcPr>
          <w:p>
            <w:pPr>
              <w:spacing w:before="20" w:after="20"/>
            </w:pPr>
            <w:r>
              <w:rPr>
                <w:b w:val="0"/>
                <w:i w:val="0"/>
                <w:color w:val="212121"/>
                <w:sz w:val="16"/>
              </w:rPr>
              <w:t>Documento generado</w:t>
            </w:r>
          </w:p>
        </w:tc>
      </w:tr>
      <w:tr>
        <w:tc>
          <w:tcPr>
            <w:tcW w:type="dxa" w:w="454"/>
          </w:tcPr>
          <w:p>
            <w:pPr>
              <w:spacing w:before="20" w:after="20"/>
            </w:pPr>
            <w:r>
              <w:rPr>
                <w:b w:val="0"/>
                <w:i w:val="0"/>
                <w:color w:val="212121"/>
                <w:sz w:val="16"/>
              </w:rPr>
              <w:t>25</w:t>
            </w:r>
          </w:p>
        </w:tc>
        <w:tc>
          <w:tcPr>
            <w:tcW w:type="dxa" w:w="3402"/>
          </w:tcPr>
          <w:p>
            <w:pPr>
              <w:spacing w:before="20" w:after="20"/>
            </w:pPr>
            <w:r>
              <w:rPr>
                <w:b w:val="0"/>
                <w:i w:val="0"/>
                <w:color w:val="212121"/>
                <w:sz w:val="16"/>
              </w:rPr>
              <w:t>Agenda y citas — calendarios separados por unidad</w:t>
            </w:r>
          </w:p>
        </w:tc>
        <w:tc>
          <w:tcPr>
            <w:tcW w:type="dxa" w:w="1701"/>
          </w:tcPr>
          <w:p>
            <w:pPr>
              <w:spacing w:before="20" w:after="20"/>
            </w:pPr>
            <w:r>
              <w:rPr>
                <w:b w:val="0"/>
                <w:i w:val="0"/>
                <w:color w:val="212121"/>
                <w:sz w:val="16"/>
              </w:rPr>
              <w:t>Las tres</w:t>
            </w:r>
          </w:p>
        </w:tc>
        <w:tc>
          <w:tcPr>
            <w:tcW w:type="dxa" w:w="3515"/>
          </w:tcPr>
          <w:p>
            <w:pPr>
              <w:spacing w:before="20" w:after="20"/>
            </w:pPr>
            <w:r>
              <w:rPr>
                <w:b w:val="0"/>
                <w:i w:val="0"/>
                <w:color w:val="212121"/>
                <w:sz w:val="16"/>
              </w:rPr>
              <w:t>Google Calendar</w:t>
            </w:r>
          </w:p>
        </w:tc>
      </w:tr>
      <w:tr>
        <w:tc>
          <w:tcPr>
            <w:tcW w:type="dxa" w:w="454"/>
          </w:tcPr>
          <w:p>
            <w:pPr>
              <w:spacing w:before="20" w:after="20"/>
            </w:pPr>
            <w:r>
              <w:rPr>
                <w:b w:val="0"/>
                <w:i w:val="0"/>
                <w:color w:val="212121"/>
                <w:sz w:val="16"/>
              </w:rPr>
              <w:t>26</w:t>
            </w:r>
          </w:p>
        </w:tc>
        <w:tc>
          <w:tcPr>
            <w:tcW w:type="dxa" w:w="3402"/>
          </w:tcPr>
          <w:p>
            <w:pPr>
              <w:spacing w:before="20" w:after="20"/>
            </w:pPr>
            <w:r>
              <w:rPr>
                <w:b w:val="0"/>
                <w:i w:val="0"/>
                <w:color w:val="212121"/>
                <w:sz w:val="16"/>
              </w:rPr>
              <w:t>Inventario de insumos</w:t>
            </w:r>
          </w:p>
        </w:tc>
        <w:tc>
          <w:tcPr>
            <w:tcW w:type="dxa" w:w="1701"/>
          </w:tcPr>
          <w:p>
            <w:pPr>
              <w:spacing w:before="20" w:after="20"/>
            </w:pPr>
            <w:r>
              <w:rPr>
                <w:b w:val="0"/>
                <w:i w:val="0"/>
                <w:color w:val="212121"/>
                <w:sz w:val="16"/>
              </w:rPr>
              <w:t>Clinic · Surgery</w:t>
            </w:r>
          </w:p>
        </w:tc>
        <w:tc>
          <w:tcPr>
            <w:tcW w:type="dxa" w:w="3515"/>
          </w:tcPr>
          <w:p>
            <w:pPr>
              <w:spacing w:before="20" w:after="20"/>
            </w:pPr>
            <w:r>
              <w:rPr>
                <w:b w:val="0"/>
                <w:i w:val="0"/>
                <w:color w:val="212121"/>
                <w:sz w:val="16"/>
              </w:rPr>
              <w:t>inventario_insumos · inventario_movimientos</w:t>
            </w:r>
          </w:p>
        </w:tc>
      </w:tr>
      <w:tr>
        <w:tc>
          <w:tcPr>
            <w:tcW w:type="dxa" w:w="454"/>
          </w:tcPr>
          <w:p>
            <w:pPr>
              <w:spacing w:before="20" w:after="20"/>
            </w:pPr>
            <w:r>
              <w:rPr>
                <w:b w:val="0"/>
                <w:i w:val="0"/>
                <w:color w:val="212121"/>
                <w:sz w:val="16"/>
              </w:rPr>
              <w:t>27</w:t>
            </w:r>
          </w:p>
        </w:tc>
        <w:tc>
          <w:tcPr>
            <w:tcW w:type="dxa" w:w="3402"/>
          </w:tcPr>
          <w:p>
            <w:pPr>
              <w:spacing w:before="20" w:after="20"/>
            </w:pPr>
            <w:r>
              <w:rPr>
                <w:b w:val="0"/>
                <w:i w:val="0"/>
                <w:color w:val="212121"/>
                <w:sz w:val="16"/>
              </w:rPr>
              <w:t>Pagos, corte de caja y seguros médicos</w:t>
            </w:r>
          </w:p>
        </w:tc>
        <w:tc>
          <w:tcPr>
            <w:tcW w:type="dxa" w:w="1701"/>
          </w:tcPr>
          <w:p>
            <w:pPr>
              <w:spacing w:before="20" w:after="20"/>
            </w:pPr>
            <w:r>
              <w:rPr>
                <w:b w:val="0"/>
                <w:i w:val="0"/>
                <w:color w:val="212121"/>
                <w:sz w:val="16"/>
              </w:rPr>
              <w:t>Clinic · Surgery</w:t>
            </w:r>
          </w:p>
        </w:tc>
        <w:tc>
          <w:tcPr>
            <w:tcW w:type="dxa" w:w="3515"/>
          </w:tcPr>
          <w:p>
            <w:pPr>
              <w:spacing w:before="20" w:after="20"/>
            </w:pPr>
            <w:r>
              <w:rPr>
                <w:b w:val="0"/>
                <w:i w:val="0"/>
                <w:color w:val="212121"/>
                <w:sz w:val="16"/>
              </w:rPr>
              <w:t>pagos</w:t>
            </w:r>
          </w:p>
        </w:tc>
      </w:tr>
      <w:tr>
        <w:tc>
          <w:tcPr>
            <w:tcW w:type="dxa" w:w="454"/>
          </w:tcPr>
          <w:p>
            <w:pPr>
              <w:spacing w:before="20" w:after="20"/>
            </w:pPr>
            <w:r>
              <w:rPr>
                <w:b w:val="0"/>
                <w:i w:val="0"/>
                <w:color w:val="212121"/>
                <w:sz w:val="16"/>
              </w:rPr>
              <w:t>28</w:t>
            </w:r>
          </w:p>
        </w:tc>
        <w:tc>
          <w:tcPr>
            <w:tcW w:type="dxa" w:w="3402"/>
          </w:tcPr>
          <w:p>
            <w:pPr>
              <w:spacing w:before="20" w:after="20"/>
            </w:pPr>
            <w:r>
              <w:rPr>
                <w:b w:val="0"/>
                <w:i w:val="0"/>
                <w:color w:val="212121"/>
                <w:sz w:val="16"/>
              </w:rPr>
              <w:t>Administración: usuarios, bitácora, reportes y trámites</w:t>
            </w:r>
          </w:p>
        </w:tc>
        <w:tc>
          <w:tcPr>
            <w:tcW w:type="dxa" w:w="1701"/>
          </w:tcPr>
          <w:p>
            <w:pPr>
              <w:spacing w:before="20" w:after="20"/>
            </w:pPr>
            <w:r>
              <w:rPr>
                <w:b w:val="0"/>
                <w:i w:val="0"/>
                <w:color w:val="212121"/>
                <w:sz w:val="16"/>
              </w:rPr>
              <w:t>Las tres, cada una la suya</w:t>
            </w:r>
          </w:p>
        </w:tc>
        <w:tc>
          <w:tcPr>
            <w:tcW w:type="dxa" w:w="3515"/>
          </w:tcPr>
          <w:p>
            <w:pPr>
              <w:spacing w:before="20" w:after="20"/>
            </w:pPr>
            <w:r>
              <w:rPr>
                <w:b w:val="0"/>
                <w:i w:val="0"/>
                <w:color w:val="212121"/>
                <w:sz w:val="16"/>
              </w:rPr>
              <w:t>usuarios · bitacora_accesos</w:t>
            </w:r>
          </w:p>
        </w:tc>
      </w:tr>
    </w:tbl>
    <w:p>
      <w:pPr>
        <w:spacing w:after="100"/>
      </w:pPr>
    </w:p>
    <w:p>
      <w:pPr>
        <w:keepNext/>
        <w:spacing w:before="320" w:after="120"/>
        <w:pBdr>
          <w:bottom w:val="single" w:sz="8" w:space="2" w:color="1F3B57"/>
        </w:pBdr>
      </w:pPr>
      <w:r>
        <w:rPr>
          <w:b/>
          <w:i w:val="0"/>
          <w:color w:val="1F3B57"/>
          <w:sz w:val="26"/>
        </w:rPr>
        <w:t>4. Aislamiento de la información entre unidades</w:t>
      </w:r>
    </w:p>
    <w:p>
      <w:pPr>
        <w:spacing w:after="100" w:line="276" w:lineRule="auto"/>
        <w:jc w:val="both"/>
      </w:pPr>
      <w:r>
        <w:rPr>
          <w:b w:val="0"/>
          <w:i w:val="0"/>
          <w:color w:val="212121"/>
          <w:sz w:val="20"/>
        </w:rPr>
        <w:t>La separación de los padrones no depende de la disciplina ni de la jerarquía del personal, sino de una regla única evaluada por la base de datos en cada consulta:</w:t>
      </w:r>
    </w:p>
    <w:p>
      <w:pPr>
        <w:spacing w:after="40"/>
        <w:ind w:left="482" w:hanging="198"/>
        <w:jc w:val="both"/>
      </w:pPr>
      <w:r>
        <w:rPr>
          <w:b/>
          <w:i w:val="0"/>
          <w:color w:val="212121"/>
          <w:sz w:val="20"/>
        </w:rPr>
        <w:t xml:space="preserve">•  El personal adscrito a amfa </w:t>
      </w:r>
      <w:r>
        <w:rPr>
          <w:b w:val="0"/>
          <w:i w:val="0"/>
          <w:color w:val="212121"/>
          <w:sz w:val="20"/>
        </w:rPr>
        <w:t>ve únicamente a los pacientes registrados en amfa. No puede consultar, buscar ni listar pacientes de QP Clinic ni de QP Surgery, ni sus agendas, ni sus expedientes.</w:t>
      </w:r>
    </w:p>
    <w:p>
      <w:pPr>
        <w:spacing w:after="40"/>
        <w:ind w:left="482" w:hanging="198"/>
        <w:jc w:val="both"/>
      </w:pPr>
      <w:r>
        <w:rPr>
          <w:b/>
          <w:i w:val="0"/>
          <w:color w:val="212121"/>
          <w:sz w:val="20"/>
        </w:rPr>
        <w:t xml:space="preserve">•  QP Clinic y QP Surgery </w:t>
      </w:r>
      <w:r>
        <w:rPr>
          <w:b w:val="0"/>
          <w:i w:val="0"/>
          <w:color w:val="212121"/>
          <w:sz w:val="20"/>
        </w:rPr>
        <w:t>comparten un mismo padrón, porque comparten pacientes y equipo médico.</w:t>
      </w:r>
    </w:p>
    <w:p>
      <w:pPr>
        <w:spacing w:after="40"/>
        <w:ind w:left="482" w:hanging="198"/>
        <w:jc w:val="both"/>
      </w:pPr>
      <w:r>
        <w:rPr>
          <w:b/>
          <w:i w:val="0"/>
          <w:color w:val="212121"/>
          <w:sz w:val="20"/>
        </w:rPr>
        <w:t xml:space="preserve">•  El perfil de administrador </w:t>
      </w:r>
      <w:r>
        <w:rPr>
          <w:b w:val="0"/>
          <w:i w:val="0"/>
          <w:color w:val="212121"/>
          <w:sz w:val="20"/>
        </w:rPr>
        <w:t>no constituye excepción. Un administrador de QP no ve pacientes de amfa, y a la inversa. La separación es por unidad, nunca por rango.</w:t>
      </w:r>
    </w:p>
    <w:p>
      <w:pPr>
        <w:spacing w:after="40"/>
        <w:ind w:left="482" w:hanging="198"/>
        <w:jc w:val="both"/>
      </w:pPr>
      <w:r>
        <w:rPr>
          <w:b/>
          <w:i w:val="0"/>
          <w:color w:val="212121"/>
          <w:sz w:val="20"/>
        </w:rPr>
        <w:t xml:space="preserve">•  Los listados de usuarios </w:t>
      </w:r>
      <w:r>
        <w:rPr>
          <w:b w:val="0"/>
          <w:i w:val="0"/>
          <w:color w:val="212121"/>
          <w:sz w:val="20"/>
        </w:rPr>
        <w:t>del sistema tampoco cruzan unidades: cada usuario administra únicamente a las personas de la suya.</w:t>
      </w:r>
    </w:p>
    <w:p>
      <w:pPr>
        <w:spacing w:after="120" w:line="276" w:lineRule="auto"/>
        <w:jc w:val="both"/>
      </w:pPr>
      <w:r>
        <w:rPr>
          <w:b w:val="0"/>
          <w:i w:val="0"/>
          <w:color w:val="212121"/>
          <w:sz w:val="20"/>
        </w:rPr>
        <w:t>Existe una sola vía deliberada para compartir un paciente entre unidades: la interconsulta. Cuando un profesional solicita la opinión de otro adscrito a una unidad distinta, el sistema comparte ese expediente con ambas y deja constancia del motivo del enlace. Es el único puente previsto, y es auditable.</w:t>
      </w:r>
    </w:p>
    <w:p>
      <w:pPr>
        <w:spacing w:after="100" w:line="276" w:lineRule="auto"/>
        <w:jc w:val="both"/>
      </w:pPr>
      <w:r>
        <w:rPr>
          <w:b w:val="0"/>
          <w:i/>
          <w:color w:val="546E7A"/>
          <w:sz w:val="19"/>
        </w:rPr>
        <w:t>Este control se implementa mediante una tabla puente que asocia cada paciente con las unidades autorizadas a verlo, mantenida automáticamente por disparadores de la base de datos al registrar un paciente, al guardar una consulta y al crear una interconsulta.</w:t>
      </w:r>
    </w:p>
    <w:p>
      <w:pPr>
        <w:keepNext/>
        <w:spacing w:before="320" w:after="120"/>
        <w:pBdr>
          <w:bottom w:val="single" w:sz="8" w:space="2" w:color="1F3B57"/>
        </w:pBdr>
      </w:pPr>
      <w:r>
        <w:rPr>
          <w:b/>
          <w:i w:val="0"/>
          <w:color w:val="1F3B57"/>
          <w:sz w:val="26"/>
        </w:rPr>
        <w:t>5. Control de acceso y usuarios</w:t>
      </w:r>
    </w:p>
    <w:p>
      <w:pPr>
        <w:keepNext/>
        <w:spacing w:before="220" w:after="60"/>
      </w:pPr>
      <w:r>
        <w:rPr>
          <w:b/>
          <w:i w:val="0"/>
          <w:color w:val="1F3B57"/>
          <w:sz w:val="22"/>
        </w:rPr>
        <w:t>5.1  Roles y permisos</w:t>
      </w:r>
    </w:p>
    <w:tbl>
      <w:tblPr>
        <w:tblStyle w:val="TableGrid"/>
        <w:tblW w:type="auto" w:w="0"/>
        <w:jc w:val="center"/>
        <w:tblLayout w:type="fixed"/>
        <w:tblLook w:firstColumn="1" w:firstRow="1" w:lastColumn="0" w:lastRow="0" w:noHBand="0" w:noVBand="1" w:val="04A0"/>
        <w:tblLayout w:type="fixed"/>
      </w:tblPr>
      <w:tblGrid>
        <w:gridCol w:w="1474"/>
        <w:gridCol w:w="3969"/>
        <w:gridCol w:w="3628"/>
      </w:tblGrid>
      <w:tr>
        <w:trPr>
          <w:tblHeader w:val="true"/>
        </w:trPr>
        <w:tc>
          <w:tcPr>
            <w:tcW w:type="dxa" w:w="1474"/>
            <w:shd w:val="clear" w:color="auto" w:fill="1F3B57"/>
          </w:tcPr>
          <w:p>
            <w:pPr>
              <w:spacing w:before="20" w:after="20"/>
            </w:pPr>
            <w:r>
              <w:rPr>
                <w:b/>
                <w:i w:val="0"/>
                <w:color w:val="FFFFFF"/>
                <w:sz w:val="17"/>
              </w:rPr>
              <w:t>Rol</w:t>
            </w:r>
          </w:p>
        </w:tc>
        <w:tc>
          <w:tcPr>
            <w:tcW w:type="dxa" w:w="3969"/>
            <w:shd w:val="clear" w:color="auto" w:fill="1F3B57"/>
          </w:tcPr>
          <w:p>
            <w:pPr>
              <w:spacing w:before="20" w:after="20"/>
            </w:pPr>
            <w:r>
              <w:rPr>
                <w:b/>
                <w:i w:val="0"/>
                <w:color w:val="FFFFFF"/>
                <w:sz w:val="17"/>
              </w:rPr>
              <w:t>Acceso</w:t>
            </w:r>
          </w:p>
        </w:tc>
        <w:tc>
          <w:tcPr>
            <w:tcW w:type="dxa" w:w="3628"/>
            <w:shd w:val="clear" w:color="auto" w:fill="1F3B57"/>
          </w:tcPr>
          <w:p>
            <w:pPr>
              <w:spacing w:before="20" w:after="20"/>
            </w:pPr>
            <w:r>
              <w:rPr>
                <w:b/>
                <w:i w:val="0"/>
                <w:color w:val="FFFFFF"/>
                <w:sz w:val="17"/>
              </w:rPr>
              <w:t>Restricciones</w:t>
            </w:r>
          </w:p>
        </w:tc>
      </w:tr>
      <w:tr>
        <w:tc>
          <w:tcPr>
            <w:tcW w:type="dxa" w:w="1474"/>
          </w:tcPr>
          <w:p>
            <w:pPr>
              <w:spacing w:before="20" w:after="20"/>
            </w:pPr>
            <w:r>
              <w:rPr>
                <w:b w:val="0"/>
                <w:i w:val="0"/>
                <w:color w:val="212121"/>
                <w:sz w:val="17"/>
              </w:rPr>
              <w:t>Administrador</w:t>
            </w:r>
          </w:p>
        </w:tc>
        <w:tc>
          <w:tcPr>
            <w:tcW w:type="dxa" w:w="3969"/>
          </w:tcPr>
          <w:p>
            <w:pPr>
              <w:spacing w:before="20" w:after="20"/>
            </w:pPr>
            <w:r>
              <w:rPr>
                <w:b w:val="0"/>
                <w:i w:val="0"/>
                <w:color w:val="212121"/>
                <w:sz w:val="17"/>
              </w:rPr>
              <w:t>Todos los módulos de su unidad, gestión de usuarios, bitácora, reportes, corte de caja e inventario</w:t>
            </w:r>
          </w:p>
        </w:tc>
        <w:tc>
          <w:tcPr>
            <w:tcW w:type="dxa" w:w="3628"/>
          </w:tcPr>
          <w:p>
            <w:pPr>
              <w:spacing w:before="20" w:after="20"/>
            </w:pPr>
            <w:r>
              <w:rPr>
                <w:b w:val="0"/>
                <w:i w:val="0"/>
                <w:color w:val="212121"/>
                <w:sz w:val="17"/>
              </w:rPr>
              <w:t>Limitado a su unidad. No ve pacientes ni usuarios de otras unidades</w:t>
            </w:r>
          </w:p>
        </w:tc>
      </w:tr>
      <w:tr>
        <w:tc>
          <w:tcPr>
            <w:tcW w:type="dxa" w:w="1474"/>
          </w:tcPr>
          <w:p>
            <w:pPr>
              <w:spacing w:before="20" w:after="20"/>
            </w:pPr>
            <w:r>
              <w:rPr>
                <w:b w:val="0"/>
                <w:i w:val="0"/>
                <w:color w:val="212121"/>
                <w:sz w:val="17"/>
              </w:rPr>
              <w:t>Médico</w:t>
            </w:r>
          </w:p>
        </w:tc>
        <w:tc>
          <w:tcPr>
            <w:tcW w:type="dxa" w:w="3969"/>
          </w:tcPr>
          <w:p>
            <w:pPr>
              <w:spacing w:before="20" w:after="20"/>
            </w:pPr>
            <w:r>
              <w:rPr>
                <w:b w:val="0"/>
                <w:i w:val="0"/>
                <w:color w:val="212121"/>
                <w:sz w:val="17"/>
              </w:rPr>
              <w:t>Expediente completo, los 13 tipos de nota, recetas, interconsultas, ultrasonido, prescripción de ejercicio y agenda</w:t>
            </w:r>
          </w:p>
        </w:tc>
        <w:tc>
          <w:tcPr>
            <w:tcW w:type="dxa" w:w="3628"/>
          </w:tcPr>
          <w:p>
            <w:pPr>
              <w:spacing w:before="20" w:after="20"/>
            </w:pPr>
            <w:r>
              <w:rPr>
                <w:b w:val="0"/>
                <w:i w:val="0"/>
                <w:color w:val="212121"/>
                <w:sz w:val="17"/>
              </w:rPr>
              <w:t>Sin acceso a gestión de usuarios ni a bitácora</w:t>
            </w:r>
          </w:p>
        </w:tc>
      </w:tr>
      <w:tr>
        <w:tc>
          <w:tcPr>
            <w:tcW w:type="dxa" w:w="1474"/>
          </w:tcPr>
          <w:p>
            <w:pPr>
              <w:spacing w:before="20" w:after="20"/>
            </w:pPr>
            <w:r>
              <w:rPr>
                <w:b w:val="0"/>
                <w:i w:val="0"/>
                <w:color w:val="212121"/>
                <w:sz w:val="17"/>
              </w:rPr>
              <w:t>Lic. en Nutrición</w:t>
            </w:r>
          </w:p>
        </w:tc>
        <w:tc>
          <w:tcPr>
            <w:tcW w:type="dxa" w:w="3969"/>
          </w:tcPr>
          <w:p>
            <w:pPr>
              <w:spacing w:before="20" w:after="20"/>
            </w:pPr>
            <w:r>
              <w:rPr>
                <w:b w:val="0"/>
                <w:i w:val="0"/>
                <w:color w:val="212121"/>
                <w:sz w:val="17"/>
              </w:rPr>
              <w:t>Expediente, nota nutricional, cálculo dietético, plantillas, InBody y composición corporal</w:t>
            </w:r>
          </w:p>
        </w:tc>
        <w:tc>
          <w:tcPr>
            <w:tcW w:type="dxa" w:w="3628"/>
          </w:tcPr>
          <w:p>
            <w:pPr>
              <w:spacing w:before="20" w:after="20"/>
            </w:pPr>
            <w:r>
              <w:rPr>
                <w:b w:val="0"/>
                <w:i w:val="0"/>
                <w:color w:val="212121"/>
                <w:sz w:val="17"/>
              </w:rPr>
              <w:t>Redacta únicamente notas de su disciplina</w:t>
            </w:r>
          </w:p>
        </w:tc>
      </w:tr>
      <w:tr>
        <w:tc>
          <w:tcPr>
            <w:tcW w:type="dxa" w:w="1474"/>
          </w:tcPr>
          <w:p>
            <w:pPr>
              <w:spacing w:before="20" w:after="20"/>
            </w:pPr>
            <w:r>
              <w:rPr>
                <w:b w:val="0"/>
                <w:i w:val="0"/>
                <w:color w:val="212121"/>
                <w:sz w:val="17"/>
              </w:rPr>
              <w:t>Fisioterapeuta</w:t>
            </w:r>
          </w:p>
        </w:tc>
        <w:tc>
          <w:tcPr>
            <w:tcW w:type="dxa" w:w="3969"/>
          </w:tcPr>
          <w:p>
            <w:pPr>
              <w:spacing w:before="20" w:after="20"/>
            </w:pPr>
            <w:r>
              <w:rPr>
                <w:b w:val="0"/>
                <w:i w:val="0"/>
                <w:color w:val="212121"/>
                <w:sz w:val="17"/>
              </w:rPr>
              <w:t>Expediente, nota de fisioterapia y prescripción de ejercicio</w:t>
            </w:r>
          </w:p>
        </w:tc>
        <w:tc>
          <w:tcPr>
            <w:tcW w:type="dxa" w:w="3628"/>
          </w:tcPr>
          <w:p>
            <w:pPr>
              <w:spacing w:before="20" w:after="20"/>
            </w:pPr>
            <w:r>
              <w:rPr>
                <w:b w:val="0"/>
                <w:i w:val="0"/>
                <w:color w:val="212121"/>
                <w:sz w:val="17"/>
              </w:rPr>
              <w:t>Redacta únicamente notas de su disciplina</w:t>
            </w:r>
          </w:p>
        </w:tc>
      </w:tr>
      <w:tr>
        <w:tc>
          <w:tcPr>
            <w:tcW w:type="dxa" w:w="1474"/>
          </w:tcPr>
          <w:p>
            <w:pPr>
              <w:spacing w:before="20" w:after="20"/>
            </w:pPr>
            <w:r>
              <w:rPr>
                <w:b w:val="0"/>
                <w:i w:val="0"/>
                <w:color w:val="212121"/>
                <w:sz w:val="17"/>
              </w:rPr>
              <w:t>Psicólogo(a)</w:t>
            </w:r>
          </w:p>
        </w:tc>
        <w:tc>
          <w:tcPr>
            <w:tcW w:type="dxa" w:w="3969"/>
          </w:tcPr>
          <w:p>
            <w:pPr>
              <w:spacing w:before="20" w:after="20"/>
            </w:pPr>
            <w:r>
              <w:rPr>
                <w:b w:val="0"/>
                <w:i w:val="0"/>
                <w:color w:val="212121"/>
                <w:sz w:val="17"/>
              </w:rPr>
              <w:t>Expediente y notas de su disciplina</w:t>
            </w:r>
          </w:p>
        </w:tc>
        <w:tc>
          <w:tcPr>
            <w:tcW w:type="dxa" w:w="3628"/>
          </w:tcPr>
          <w:p>
            <w:pPr>
              <w:spacing w:before="20" w:after="20"/>
            </w:pPr>
            <w:r>
              <w:rPr>
                <w:b w:val="0"/>
                <w:i w:val="0"/>
                <w:color w:val="212121"/>
                <w:sz w:val="17"/>
              </w:rPr>
              <w:t>Redacta únicamente notas de su disciplina</w:t>
            </w:r>
          </w:p>
        </w:tc>
      </w:tr>
      <w:tr>
        <w:tc>
          <w:tcPr>
            <w:tcW w:type="dxa" w:w="1474"/>
          </w:tcPr>
          <w:p>
            <w:pPr>
              <w:spacing w:before="20" w:after="20"/>
            </w:pPr>
            <w:r>
              <w:rPr>
                <w:b w:val="0"/>
                <w:i w:val="0"/>
                <w:color w:val="212121"/>
                <w:sz w:val="17"/>
              </w:rPr>
              <w:t>Enfermería</w:t>
            </w:r>
          </w:p>
        </w:tc>
        <w:tc>
          <w:tcPr>
            <w:tcW w:type="dxa" w:w="3969"/>
          </w:tcPr>
          <w:p>
            <w:pPr>
              <w:spacing w:before="20" w:after="20"/>
            </w:pPr>
            <w:r>
              <w:rPr>
                <w:b w:val="0"/>
                <w:i w:val="0"/>
                <w:color w:val="212121"/>
                <w:sz w:val="17"/>
              </w:rPr>
              <w:t>Signos vitales, notas de enfermería, indicaciones médicas, administración de medicamentos e inventario</w:t>
            </w:r>
          </w:p>
        </w:tc>
        <w:tc>
          <w:tcPr>
            <w:tcW w:type="dxa" w:w="3628"/>
          </w:tcPr>
          <w:p>
            <w:pPr>
              <w:spacing w:before="20" w:after="20"/>
            </w:pPr>
            <w:r>
              <w:rPr>
                <w:b w:val="0"/>
                <w:i w:val="0"/>
                <w:color w:val="212121"/>
                <w:sz w:val="17"/>
              </w:rPr>
              <w:t>No crea ni firma notas médicas</w:t>
            </w:r>
          </w:p>
        </w:tc>
      </w:tr>
      <w:tr>
        <w:tc>
          <w:tcPr>
            <w:tcW w:type="dxa" w:w="1474"/>
          </w:tcPr>
          <w:p>
            <w:pPr>
              <w:spacing w:before="20" w:after="20"/>
            </w:pPr>
            <w:r>
              <w:rPr>
                <w:b w:val="0"/>
                <w:i w:val="0"/>
                <w:color w:val="212121"/>
                <w:sz w:val="17"/>
              </w:rPr>
              <w:t>Recepción</w:t>
            </w:r>
          </w:p>
        </w:tc>
        <w:tc>
          <w:tcPr>
            <w:tcW w:type="dxa" w:w="3969"/>
          </w:tcPr>
          <w:p>
            <w:pPr>
              <w:spacing w:before="20" w:after="20"/>
            </w:pPr>
            <w:r>
              <w:rPr>
                <w:b w:val="0"/>
                <w:i w:val="0"/>
                <w:color w:val="212121"/>
                <w:sz w:val="17"/>
              </w:rPr>
              <w:t>Agenda, alta de pacientes, ficha de identificación, pagos e inventario</w:t>
            </w:r>
          </w:p>
        </w:tc>
        <w:tc>
          <w:tcPr>
            <w:tcW w:type="dxa" w:w="3628"/>
          </w:tcPr>
          <w:p>
            <w:pPr>
              <w:spacing w:before="20" w:after="20"/>
            </w:pPr>
            <w:r>
              <w:rPr>
                <w:b w:val="0"/>
                <w:i w:val="0"/>
                <w:color w:val="212121"/>
                <w:sz w:val="17"/>
              </w:rPr>
              <w:t>Sin acceso a notas clínicas ni a estudios</w:t>
            </w:r>
          </w:p>
        </w:tc>
      </w:tr>
      <w:tr>
        <w:tc>
          <w:tcPr>
            <w:tcW w:type="dxa" w:w="1474"/>
          </w:tcPr>
          <w:p>
            <w:pPr>
              <w:spacing w:before="20" w:after="20"/>
            </w:pPr>
            <w:r>
              <w:rPr>
                <w:b w:val="0"/>
                <w:i w:val="0"/>
                <w:color w:val="212121"/>
                <w:sz w:val="17"/>
              </w:rPr>
              <w:t>Pasante</w:t>
            </w:r>
          </w:p>
        </w:tc>
        <w:tc>
          <w:tcPr>
            <w:tcW w:type="dxa" w:w="3969"/>
          </w:tcPr>
          <w:p>
            <w:pPr>
              <w:spacing w:before="20" w:after="20"/>
            </w:pPr>
            <w:r>
              <w:rPr>
                <w:b w:val="0"/>
                <w:i w:val="0"/>
                <w:color w:val="212121"/>
                <w:sz w:val="17"/>
              </w:rPr>
              <w:t>Expediente y notas, bajo supervisión</w:t>
            </w:r>
          </w:p>
        </w:tc>
        <w:tc>
          <w:tcPr>
            <w:tcW w:type="dxa" w:w="3628"/>
          </w:tcPr>
          <w:p>
            <w:pPr>
              <w:spacing w:before="20" w:after="20"/>
            </w:pPr>
            <w:r>
              <w:rPr>
                <w:b w:val="0"/>
                <w:i w:val="0"/>
                <w:color w:val="212121"/>
                <w:sz w:val="17"/>
              </w:rPr>
              <w:t>Sus notas requieren la firma del médico responsable</w:t>
            </w:r>
          </w:p>
        </w:tc>
      </w:tr>
      <w:tr>
        <w:tc>
          <w:tcPr>
            <w:tcW w:type="dxa" w:w="1474"/>
          </w:tcPr>
          <w:p>
            <w:pPr>
              <w:spacing w:before="20" w:after="20"/>
            </w:pPr>
            <w:r>
              <w:rPr>
                <w:b w:val="0"/>
                <w:i w:val="0"/>
                <w:color w:val="212121"/>
                <w:sz w:val="17"/>
              </w:rPr>
              <w:t>Analista</w:t>
            </w:r>
          </w:p>
        </w:tc>
        <w:tc>
          <w:tcPr>
            <w:tcW w:type="dxa" w:w="3969"/>
          </w:tcPr>
          <w:p>
            <w:pPr>
              <w:spacing w:before="20" w:after="20"/>
            </w:pPr>
            <w:r>
              <w:rPr>
                <w:b w:val="0"/>
                <w:i w:val="0"/>
                <w:color w:val="212121"/>
                <w:sz w:val="17"/>
              </w:rPr>
              <w:t>Consulta de expedientes y reportes agregados</w:t>
            </w:r>
          </w:p>
        </w:tc>
        <w:tc>
          <w:tcPr>
            <w:tcW w:type="dxa" w:w="3628"/>
          </w:tcPr>
          <w:p>
            <w:pPr>
              <w:spacing w:before="20" w:after="20"/>
            </w:pPr>
            <w:r>
              <w:rPr>
                <w:b w:val="0"/>
                <w:i w:val="0"/>
                <w:color w:val="212121"/>
                <w:sz w:val="17"/>
              </w:rPr>
              <w:t>Perfil de solo lectura: el sistema bloquea toda escritura</w:t>
            </w:r>
          </w:p>
        </w:tc>
      </w:tr>
    </w:tbl>
    <w:p>
      <w:pPr>
        <w:spacing w:after="100"/>
      </w:pPr>
    </w:p>
    <w:p>
      <w:pPr>
        <w:keepNext/>
        <w:spacing w:before="220" w:after="60"/>
      </w:pPr>
      <w:r>
        <w:rPr>
          <w:b/>
          <w:i w:val="0"/>
          <w:color w:val="1F3B57"/>
          <w:sz w:val="22"/>
        </w:rPr>
        <w:t>5.2  Alta de usuario</w:t>
      </w:r>
    </w:p>
    <w:p>
      <w:pPr>
        <w:spacing w:after="40"/>
        <w:ind w:left="482" w:hanging="283"/>
        <w:jc w:val="both"/>
      </w:pPr>
      <w:r>
        <w:rPr>
          <w:b/>
          <w:i w:val="0"/>
          <w:color w:val="212121"/>
          <w:sz w:val="20"/>
        </w:rPr>
        <w:t xml:space="preserve">1.  </w:t>
      </w:r>
      <w:r>
        <w:rPr>
          <w:b w:val="0"/>
          <w:i w:val="0"/>
          <w:color w:val="212121"/>
          <w:sz w:val="20"/>
        </w:rPr>
        <w:t>El Director General autoriza el alta y determina el rol y la unidad que corresponden al puesto.</w:t>
      </w:r>
    </w:p>
    <w:p>
      <w:pPr>
        <w:spacing w:after="40"/>
        <w:ind w:left="482" w:hanging="283"/>
        <w:jc w:val="both"/>
      </w:pPr>
      <w:r>
        <w:rPr>
          <w:b/>
          <w:i w:val="0"/>
          <w:color w:val="212121"/>
          <w:sz w:val="20"/>
        </w:rPr>
        <w:t xml:space="preserve">2.  </w:t>
      </w:r>
      <w:r>
        <w:rPr>
          <w:b w:val="0"/>
          <w:i w:val="0"/>
          <w:color w:val="212121"/>
          <w:sz w:val="20"/>
        </w:rPr>
        <w:t>El administrador accede a Configuración → Gestión de médicos y usuarios.</w:t>
      </w:r>
    </w:p>
    <w:p>
      <w:pPr>
        <w:spacing w:after="40"/>
        <w:ind w:left="482" w:hanging="283"/>
        <w:jc w:val="both"/>
      </w:pPr>
      <w:r>
        <w:rPr>
          <w:b/>
          <w:i w:val="0"/>
          <w:color w:val="212121"/>
          <w:sz w:val="20"/>
        </w:rPr>
        <w:t xml:space="preserve">3.  </w:t>
      </w:r>
      <w:r>
        <w:rPr>
          <w:b w:val="0"/>
          <w:i w:val="0"/>
          <w:color w:val="212121"/>
          <w:sz w:val="20"/>
        </w:rPr>
        <w:t>Captura nombre, apellidos, nombre de usuario, correo electrónico real, rol, unidad, especialidad y cédula profesional.</w:t>
      </w:r>
    </w:p>
    <w:p>
      <w:pPr>
        <w:spacing w:after="40"/>
        <w:ind w:left="482" w:hanging="283"/>
        <w:jc w:val="both"/>
      </w:pPr>
      <w:r>
        <w:rPr>
          <w:b/>
          <w:i w:val="0"/>
          <w:color w:val="212121"/>
          <w:sz w:val="20"/>
        </w:rPr>
        <w:t xml:space="preserve">4.  </w:t>
      </w:r>
      <w:r>
        <w:rPr>
          <w:b w:val="0"/>
          <w:i w:val="0"/>
          <w:color w:val="212121"/>
          <w:sz w:val="20"/>
        </w:rPr>
        <w:t>Asigna una contraseña temporal que cumple la política del apartado 6.1.</w:t>
      </w:r>
    </w:p>
    <w:p>
      <w:pPr>
        <w:spacing w:after="40"/>
        <w:ind w:left="482" w:hanging="283"/>
        <w:jc w:val="both"/>
      </w:pPr>
      <w:r>
        <w:rPr>
          <w:b/>
          <w:i w:val="0"/>
          <w:color w:val="212121"/>
          <w:sz w:val="20"/>
        </w:rPr>
        <w:t xml:space="preserve">5.  </w:t>
      </w:r>
      <w:r>
        <w:rPr>
          <w:b w:val="0"/>
          <w:i w:val="0"/>
          <w:color w:val="212121"/>
          <w:sz w:val="20"/>
        </w:rPr>
        <w:t>El nuevo usuario debe cambiar su contraseña en el primer inicio de sesión.</w:t>
      </w:r>
    </w:p>
    <w:p>
      <w:pPr>
        <w:spacing w:after="40"/>
        <w:ind w:left="482" w:hanging="283"/>
        <w:jc w:val="both"/>
      </w:pPr>
      <w:r>
        <w:rPr>
          <w:b/>
          <w:i w:val="0"/>
          <w:color w:val="212121"/>
          <w:sz w:val="20"/>
        </w:rPr>
        <w:t xml:space="preserve">6.  </w:t>
      </w:r>
      <w:r>
        <w:rPr>
          <w:b w:val="0"/>
          <w:i w:val="0"/>
          <w:color w:val="212121"/>
          <w:sz w:val="20"/>
        </w:rPr>
        <w:t>El sistema registra la creación en la bitácora de acceso, con fecha, hora y administrador que la ejecutó.</w:t>
      </w:r>
    </w:p>
    <w:p>
      <w:pPr>
        <w:keepNext/>
        <w:spacing w:before="220" w:after="60"/>
      </w:pPr>
      <w:r>
        <w:rPr>
          <w:b/>
          <w:i w:val="0"/>
          <w:color w:val="1F3B57"/>
          <w:sz w:val="22"/>
        </w:rPr>
        <w:t>5.3  Baja de usuario</w:t>
      </w:r>
    </w:p>
    <w:p>
      <w:pPr>
        <w:spacing w:after="40"/>
        <w:ind w:left="482" w:hanging="283"/>
        <w:jc w:val="both"/>
      </w:pPr>
      <w:r>
        <w:rPr>
          <w:b/>
          <w:i w:val="0"/>
          <w:color w:val="212121"/>
          <w:sz w:val="20"/>
        </w:rPr>
        <w:t xml:space="preserve">1.  </w:t>
      </w:r>
      <w:r>
        <w:rPr>
          <w:b w:val="0"/>
          <w:i w:val="0"/>
          <w:color w:val="212121"/>
          <w:sz w:val="20"/>
        </w:rPr>
        <w:t>El administrador abre el perfil del usuario en Gestión de médicos y usuarios.</w:t>
      </w:r>
    </w:p>
    <w:p>
      <w:pPr>
        <w:spacing w:after="40"/>
        <w:ind w:left="482" w:hanging="283"/>
        <w:jc w:val="both"/>
      </w:pPr>
      <w:r>
        <w:rPr>
          <w:b/>
          <w:i w:val="0"/>
          <w:color w:val="212121"/>
          <w:sz w:val="20"/>
        </w:rPr>
        <w:t xml:space="preserve">2.  </w:t>
      </w:r>
      <w:r>
        <w:rPr>
          <w:b w:val="0"/>
          <w:i w:val="0"/>
          <w:color w:val="212121"/>
          <w:sz w:val="20"/>
        </w:rPr>
        <w:t>Cambia su estado a inactivo el mismo día de la separación laboral.</w:t>
      </w:r>
    </w:p>
    <w:p>
      <w:pPr>
        <w:spacing w:after="40"/>
        <w:ind w:left="482" w:hanging="283"/>
        <w:jc w:val="both"/>
      </w:pPr>
      <w:r>
        <w:rPr>
          <w:b/>
          <w:i w:val="0"/>
          <w:color w:val="212121"/>
          <w:sz w:val="20"/>
        </w:rPr>
        <w:t xml:space="preserve">3.  </w:t>
      </w:r>
      <w:r>
        <w:rPr>
          <w:b w:val="0"/>
          <w:i w:val="0"/>
          <w:color w:val="212121"/>
          <w:sz w:val="20"/>
        </w:rPr>
        <w:t>El sistema le impide el inicio de sesión de forma inmediata.</w:t>
      </w:r>
    </w:p>
    <w:p>
      <w:pPr>
        <w:spacing w:after="40"/>
        <w:ind w:left="482" w:hanging="283"/>
        <w:jc w:val="both"/>
      </w:pPr>
      <w:r>
        <w:rPr>
          <w:b/>
          <w:i w:val="0"/>
          <w:color w:val="212121"/>
          <w:sz w:val="20"/>
        </w:rPr>
        <w:t xml:space="preserve">4.  </w:t>
      </w:r>
      <w:r>
        <w:rPr>
          <w:b w:val="0"/>
          <w:i w:val="0"/>
          <w:color w:val="212121"/>
          <w:sz w:val="20"/>
        </w:rPr>
        <w:t>El usuario y todas sus notas se conservan de forma permanente. No se eliminan usuarios: hacerlo rompería la trazabilidad del expediente y contravendría el numeral 5.4 de la NOM-004-SSA3-2012.</w:t>
      </w:r>
    </w:p>
    <w:p>
      <w:pPr>
        <w:keepNext/>
        <w:spacing w:before="220" w:after="60"/>
      </w:pPr>
      <w:r>
        <w:rPr>
          <w:b/>
          <w:i w:val="0"/>
          <w:color w:val="1F3B57"/>
          <w:sz w:val="22"/>
        </w:rPr>
        <w:t>5.4  Cuentas de dirección</w:t>
      </w:r>
    </w:p>
    <w:p>
      <w:pPr>
        <w:spacing w:after="100" w:line="276" w:lineRule="auto"/>
        <w:jc w:val="both"/>
      </w:pPr>
      <w:r>
        <w:rPr>
          <w:b w:val="0"/>
          <w:i w:val="0"/>
          <w:color w:val="212121"/>
          <w:sz w:val="20"/>
        </w:rPr>
        <w:t>La Dirección General puede disponer de una cuenta destinada exclusivamente a la verificación del sistema y a la atención de fallas. Estas cuentas se marcan como tales y no aparecen en los listados operativos —gestión de usuarios, filtros de agenda ni buscador de interconsultas—, para no confundirse con el personal en funciones.</w:t>
      </w:r>
    </w:p>
    <w:p>
      <w:pPr>
        <w:spacing w:after="120" w:line="276" w:lineRule="auto"/>
        <w:jc w:val="both"/>
      </w:pPr>
      <w:r>
        <w:rPr>
          <w:b w:val="0"/>
          <w:i w:val="0"/>
          <w:color w:val="212121"/>
          <w:sz w:val="20"/>
        </w:rPr>
        <w:t>Su uso queda registrado en la bitácora de acceso en los mismos términos que cualquier otro usuario. No son cuentas anónimas ni exentas de trazabilidad: son cuentas identificadas cuyo titular es el Director General.</w:t>
      </w:r>
    </w:p>
    <w:p>
      <w:pPr>
        <w:keepNext/>
        <w:spacing w:before="320" w:after="120"/>
        <w:pBdr>
          <w:bottom w:val="single" w:sz="8" w:space="2" w:color="1F3B57"/>
        </w:pBdr>
      </w:pPr>
      <w:r>
        <w:rPr>
          <w:b/>
          <w:i w:val="0"/>
          <w:color w:val="1F3B57"/>
          <w:sz w:val="26"/>
        </w:rPr>
        <w:t>6. Política de seguridad</w:t>
      </w:r>
    </w:p>
    <w:p>
      <w:pPr>
        <w:keepNext/>
        <w:spacing w:before="220" w:after="60"/>
      </w:pPr>
      <w:r>
        <w:rPr>
          <w:b/>
          <w:i w:val="0"/>
          <w:color w:val="1F3B57"/>
          <w:sz w:val="22"/>
        </w:rPr>
        <w:t>6.1  Contraseñas</w:t>
      </w:r>
    </w:p>
    <w:p>
      <w:pPr>
        <w:spacing w:after="40"/>
        <w:ind w:left="482" w:hanging="198"/>
        <w:jc w:val="both"/>
      </w:pPr>
      <w:r>
        <w:rPr>
          <w:b w:val="0"/>
          <w:i w:val="0"/>
          <w:color w:val="212121"/>
          <w:sz w:val="20"/>
        </w:rPr>
        <w:t>•  Longitud mínima de 8 caracteres.</w:t>
      </w:r>
    </w:p>
    <w:p>
      <w:pPr>
        <w:spacing w:after="40"/>
        <w:ind w:left="482" w:hanging="198"/>
        <w:jc w:val="both"/>
      </w:pPr>
      <w:r>
        <w:rPr>
          <w:b w:val="0"/>
          <w:i w:val="0"/>
          <w:color w:val="212121"/>
          <w:sz w:val="20"/>
        </w:rPr>
        <w:t>•  Al menos una mayúscula, una minúscula, un número y un símbolo especial.</w:t>
      </w:r>
    </w:p>
    <w:p>
      <w:pPr>
        <w:spacing w:after="40"/>
        <w:ind w:left="482" w:hanging="198"/>
        <w:jc w:val="both"/>
      </w:pPr>
      <w:r>
        <w:rPr>
          <w:b w:val="0"/>
          <w:i w:val="0"/>
          <w:color w:val="212121"/>
          <w:sz w:val="20"/>
        </w:rPr>
        <w:t>•  Vigencia recomendada de 90 días. Ver la brecha B-06 del apartado 14: el sistema aún no obliga al cambio periódico.</w:t>
      </w:r>
    </w:p>
    <w:p>
      <w:pPr>
        <w:spacing w:after="40"/>
        <w:ind w:left="482" w:hanging="198"/>
        <w:jc w:val="both"/>
      </w:pPr>
      <w:r>
        <w:rPr>
          <w:b w:val="0"/>
          <w:i w:val="0"/>
          <w:color w:val="212121"/>
          <w:sz w:val="20"/>
        </w:rPr>
        <w:t>•  No reutilizar las últimas cinco contraseñas.</w:t>
      </w:r>
    </w:p>
    <w:p>
      <w:pPr>
        <w:spacing w:after="120"/>
        <w:ind w:left="482" w:hanging="198"/>
        <w:jc w:val="both"/>
      </w:pPr>
      <w:r>
        <w:rPr>
          <w:b w:val="0"/>
          <w:i w:val="0"/>
          <w:color w:val="212121"/>
          <w:sz w:val="20"/>
        </w:rPr>
        <w:t>•  Prohibido compartir credenciales. Cada acto registrado en el expediente se atribuye a la persona titular de la cuenta.</w:t>
      </w:r>
    </w:p>
    <w:p>
      <w:pPr>
        <w:keepNext/>
        <w:spacing w:before="220" w:after="60"/>
      </w:pPr>
      <w:r>
        <w:rPr>
          <w:b/>
          <w:i w:val="0"/>
          <w:color w:val="1F3B57"/>
          <w:sz w:val="22"/>
        </w:rPr>
        <w:t>6.2  Sesiones</w:t>
      </w:r>
    </w:p>
    <w:p>
      <w:pPr>
        <w:spacing w:after="40"/>
        <w:ind w:left="482" w:hanging="198"/>
        <w:jc w:val="both"/>
      </w:pPr>
      <w:r>
        <w:rPr>
          <w:b w:val="0"/>
          <w:i w:val="0"/>
          <w:color w:val="212121"/>
          <w:sz w:val="20"/>
        </w:rPr>
        <w:t>•  Cierre automático de la sesión a los 15 minutos de inactividad, con aviso visible al usuario 60 segundos antes del cierre.</w:t>
      </w:r>
    </w:p>
    <w:p>
      <w:pPr>
        <w:spacing w:after="40"/>
        <w:ind w:left="482" w:hanging="198"/>
        <w:jc w:val="both"/>
      </w:pPr>
      <w:r>
        <w:rPr>
          <w:b w:val="0"/>
          <w:i w:val="0"/>
          <w:color w:val="212121"/>
          <w:sz w:val="20"/>
        </w:rPr>
        <w:t>•  Esta medida se encuentra desactivada en la unidad QP Surgery para no interrumpir la operación durante procedimientos. Es una excepción conocida y documentada como brecha B-01 en el apartado 14.</w:t>
      </w:r>
    </w:p>
    <w:p>
      <w:pPr>
        <w:spacing w:after="40"/>
        <w:ind w:left="482" w:hanging="198"/>
        <w:jc w:val="both"/>
      </w:pPr>
      <w:r>
        <w:rPr>
          <w:b w:val="0"/>
          <w:i w:val="0"/>
          <w:color w:val="212121"/>
          <w:sz w:val="20"/>
        </w:rPr>
        <w:t>•  Registro de cada inicio de sesión en la bitácora de acceso.</w:t>
      </w:r>
    </w:p>
    <w:p>
      <w:pPr>
        <w:spacing w:after="120"/>
        <w:ind w:left="482" w:hanging="198"/>
        <w:jc w:val="both"/>
      </w:pPr>
      <w:r>
        <w:rPr>
          <w:b w:val="0"/>
          <w:i w:val="0"/>
          <w:color w:val="212121"/>
          <w:sz w:val="20"/>
        </w:rPr>
        <w:t>•  El usuario debe cerrar sesión manualmente al retirarse del equipo, sin esperar al cierre automático.</w:t>
      </w:r>
    </w:p>
    <w:p>
      <w:pPr>
        <w:keepNext/>
        <w:spacing w:before="220" w:after="60"/>
      </w:pPr>
      <w:r>
        <w:rPr>
          <w:b/>
          <w:i w:val="0"/>
          <w:color w:val="1F3B57"/>
          <w:sz w:val="22"/>
        </w:rPr>
        <w:t>6.3  Protección de los datos personales</w:t>
      </w:r>
    </w:p>
    <w:p>
      <w:pPr>
        <w:spacing w:after="100" w:line="276" w:lineRule="auto"/>
        <w:jc w:val="both"/>
      </w:pPr>
      <w:r>
        <w:rPr>
          <w:b w:val="0"/>
          <w:i w:val="0"/>
          <w:color w:val="212121"/>
          <w:sz w:val="20"/>
        </w:rPr>
        <w:t>La información clínica constituye dato personal sensible conforme al artículo 3, fracción VI de la Ley Federal de Protección de Datos Personales en Posesión de los Particulares. Su tratamiento se rige por el Aviso de Privacidad Integral vigente. Todo el personal con acceso al sistema está obligado a guardar el secreto profesional, incluso después de concluida su relación laboral con la institución.</w:t>
      </w:r>
    </w:p>
    <w:p>
      <w:pPr>
        <w:keepNext/>
        <w:spacing w:before="320" w:after="120"/>
        <w:pBdr>
          <w:bottom w:val="single" w:sz="8" w:space="2" w:color="1F3B57"/>
        </w:pBdr>
      </w:pPr>
      <w:r>
        <w:rPr>
          <w:b/>
          <w:i w:val="0"/>
          <w:color w:val="1F3B57"/>
          <w:sz w:val="26"/>
        </w:rPr>
        <w:t>7. Bitácora de acceso</w:t>
      </w:r>
    </w:p>
    <w:p>
      <w:pPr>
        <w:spacing w:after="100" w:line="276" w:lineRule="auto"/>
        <w:jc w:val="both"/>
      </w:pPr>
      <w:r>
        <w:rPr>
          <w:b w:val="0"/>
          <w:i w:val="0"/>
          <w:color w:val="212121"/>
          <w:sz w:val="20"/>
        </w:rPr>
        <w:t>El sistema registra automáticamente en la tabla «bitacora_accesos» los eventos siguientes, con fecha, hora, usuario, rol y —cuando aplica— paciente:</w:t>
      </w:r>
    </w:p>
    <w:tbl>
      <w:tblPr>
        <w:tblStyle w:val="TableGrid"/>
        <w:tblW w:type="auto" w:w="0"/>
        <w:jc w:val="center"/>
        <w:tblLayout w:type="fixed"/>
        <w:tblLook w:firstColumn="1" w:firstRow="1" w:lastColumn="0" w:lastRow="0" w:noHBand="0" w:noVBand="1" w:val="04A0"/>
        <w:tblLayout w:type="fixed"/>
      </w:tblPr>
      <w:tblGrid>
        <w:gridCol w:w="4536"/>
        <w:gridCol w:w="4536"/>
      </w:tblGrid>
      <w:tr>
        <w:trPr>
          <w:tblHeader w:val="true"/>
        </w:trPr>
        <w:tc>
          <w:tcPr>
            <w:tcW w:type="dxa" w:w="4535"/>
            <w:shd w:val="clear" w:color="auto" w:fill="1F3B57"/>
          </w:tcPr>
          <w:p>
            <w:pPr>
              <w:spacing w:before="20" w:after="20"/>
            </w:pPr>
            <w:r>
              <w:rPr>
                <w:b/>
                <w:i w:val="0"/>
                <w:color w:val="FFFFFF"/>
                <w:sz w:val="17"/>
              </w:rPr>
              <w:t>Evento registrado</w:t>
            </w:r>
          </w:p>
        </w:tc>
        <w:tc>
          <w:tcPr>
            <w:tcW w:type="dxa" w:w="4535"/>
            <w:shd w:val="clear" w:color="auto" w:fill="1F3B57"/>
          </w:tcPr>
          <w:p>
            <w:pPr>
              <w:spacing w:before="20" w:after="20"/>
            </w:pPr>
            <w:r>
              <w:rPr>
                <w:b/>
                <w:i w:val="0"/>
                <w:color w:val="FFFFFF"/>
                <w:sz w:val="17"/>
              </w:rPr>
              <w:t>Origen</w:t>
            </w:r>
          </w:p>
        </w:tc>
      </w:tr>
      <w:tr>
        <w:tc>
          <w:tcPr>
            <w:tcW w:type="dxa" w:w="4535"/>
          </w:tcPr>
          <w:p>
            <w:pPr>
              <w:spacing w:before="20" w:after="20"/>
            </w:pPr>
            <w:r>
              <w:rPr>
                <w:b w:val="0"/>
                <w:i w:val="0"/>
                <w:color w:val="212121"/>
                <w:sz w:val="17"/>
              </w:rPr>
              <w:t>Inicio de sesión</w:t>
            </w:r>
          </w:p>
        </w:tc>
        <w:tc>
          <w:tcPr>
            <w:tcW w:type="dxa" w:w="4535"/>
          </w:tcPr>
          <w:p>
            <w:pPr>
              <w:spacing w:before="20" w:after="20"/>
            </w:pPr>
            <w:r>
              <w:rPr>
                <w:b w:val="0"/>
                <w:i w:val="0"/>
                <w:color w:val="212121"/>
                <w:sz w:val="17"/>
              </w:rPr>
              <w:t>Autenticación</w:t>
            </w:r>
          </w:p>
        </w:tc>
      </w:tr>
      <w:tr>
        <w:tc>
          <w:tcPr>
            <w:tcW w:type="dxa" w:w="4535"/>
          </w:tcPr>
          <w:p>
            <w:pPr>
              <w:spacing w:before="20" w:after="20"/>
            </w:pPr>
            <w:r>
              <w:rPr>
                <w:b w:val="0"/>
                <w:i w:val="0"/>
                <w:color w:val="212121"/>
                <w:sz w:val="17"/>
              </w:rPr>
              <w:t>Apertura de expediente</w:t>
            </w:r>
          </w:p>
        </w:tc>
        <w:tc>
          <w:tcPr>
            <w:tcW w:type="dxa" w:w="4535"/>
          </w:tcPr>
          <w:p>
            <w:pPr>
              <w:spacing w:before="20" w:after="20"/>
            </w:pPr>
            <w:r>
              <w:rPr>
                <w:b w:val="0"/>
                <w:i w:val="0"/>
                <w:color w:val="212121"/>
                <w:sz w:val="17"/>
              </w:rPr>
              <w:t>Expediente clínico</w:t>
            </w:r>
          </w:p>
        </w:tc>
      </w:tr>
      <w:tr>
        <w:tc>
          <w:tcPr>
            <w:tcW w:type="dxa" w:w="4535"/>
          </w:tcPr>
          <w:p>
            <w:pPr>
              <w:spacing w:before="20" w:after="20"/>
            </w:pPr>
            <w:r>
              <w:rPr>
                <w:b w:val="0"/>
                <w:i w:val="0"/>
                <w:color w:val="212121"/>
                <w:sz w:val="17"/>
              </w:rPr>
              <w:t>Guardado de nota</w:t>
            </w:r>
          </w:p>
        </w:tc>
        <w:tc>
          <w:tcPr>
            <w:tcW w:type="dxa" w:w="4535"/>
          </w:tcPr>
          <w:p>
            <w:pPr>
              <w:spacing w:before="20" w:after="20"/>
            </w:pPr>
            <w:r>
              <w:rPr>
                <w:b w:val="0"/>
                <w:i w:val="0"/>
                <w:color w:val="212121"/>
                <w:sz w:val="17"/>
              </w:rPr>
              <w:t>Consulta médica</w:t>
            </w:r>
          </w:p>
        </w:tc>
      </w:tr>
      <w:tr>
        <w:tc>
          <w:tcPr>
            <w:tcW w:type="dxa" w:w="4535"/>
          </w:tcPr>
          <w:p>
            <w:pPr>
              <w:spacing w:before="20" w:after="20"/>
            </w:pPr>
            <w:r>
              <w:rPr>
                <w:b w:val="0"/>
                <w:i w:val="0"/>
                <w:color w:val="212121"/>
                <w:sz w:val="17"/>
              </w:rPr>
              <w:t>Firma de nota</w:t>
            </w:r>
          </w:p>
        </w:tc>
        <w:tc>
          <w:tcPr>
            <w:tcW w:type="dxa" w:w="4535"/>
          </w:tcPr>
          <w:p>
            <w:pPr>
              <w:spacing w:before="20" w:after="20"/>
            </w:pPr>
            <w:r>
              <w:rPr>
                <w:b w:val="0"/>
                <w:i w:val="0"/>
                <w:color w:val="212121"/>
                <w:sz w:val="17"/>
              </w:rPr>
              <w:t>Consulta médica</w:t>
            </w:r>
          </w:p>
        </w:tc>
      </w:tr>
      <w:tr>
        <w:tc>
          <w:tcPr>
            <w:tcW w:type="dxa" w:w="4535"/>
          </w:tcPr>
          <w:p>
            <w:pPr>
              <w:spacing w:before="20" w:after="20"/>
            </w:pPr>
            <w:r>
              <w:rPr>
                <w:b w:val="0"/>
                <w:i w:val="0"/>
                <w:color w:val="212121"/>
                <w:sz w:val="17"/>
              </w:rPr>
              <w:t>Consentimiento firmado</w:t>
            </w:r>
          </w:p>
        </w:tc>
        <w:tc>
          <w:tcPr>
            <w:tcW w:type="dxa" w:w="4535"/>
          </w:tcPr>
          <w:p>
            <w:pPr>
              <w:spacing w:before="20" w:after="20"/>
            </w:pPr>
            <w:r>
              <w:rPr>
                <w:b w:val="0"/>
                <w:i w:val="0"/>
                <w:color w:val="212121"/>
                <w:sz w:val="17"/>
              </w:rPr>
              <w:t>Consentimientos informados</w:t>
            </w:r>
          </w:p>
        </w:tc>
      </w:tr>
      <w:tr>
        <w:tc>
          <w:tcPr>
            <w:tcW w:type="dxa" w:w="4535"/>
          </w:tcPr>
          <w:p>
            <w:pPr>
              <w:spacing w:before="20" w:after="20"/>
            </w:pPr>
            <w:r>
              <w:rPr>
                <w:b w:val="0"/>
                <w:i w:val="0"/>
                <w:color w:val="212121"/>
                <w:sz w:val="17"/>
              </w:rPr>
              <w:t>Indicación médica</w:t>
            </w:r>
          </w:p>
        </w:tc>
        <w:tc>
          <w:tcPr>
            <w:tcW w:type="dxa" w:w="4535"/>
          </w:tcPr>
          <w:p>
            <w:pPr>
              <w:spacing w:before="20" w:after="20"/>
            </w:pPr>
            <w:r>
              <w:rPr>
                <w:b w:val="0"/>
                <w:i w:val="0"/>
                <w:color w:val="212121"/>
                <w:sz w:val="17"/>
              </w:rPr>
              <w:t>Indicaciones</w:t>
            </w:r>
          </w:p>
        </w:tc>
      </w:tr>
      <w:tr>
        <w:tc>
          <w:tcPr>
            <w:tcW w:type="dxa" w:w="4535"/>
          </w:tcPr>
          <w:p>
            <w:pPr>
              <w:spacing w:before="20" w:after="20"/>
            </w:pPr>
            <w:r>
              <w:rPr>
                <w:b w:val="0"/>
                <w:i w:val="0"/>
                <w:color w:val="212121"/>
                <w:sz w:val="17"/>
              </w:rPr>
              <w:t>Nota de enfermería</w:t>
            </w:r>
          </w:p>
        </w:tc>
        <w:tc>
          <w:tcPr>
            <w:tcW w:type="dxa" w:w="4535"/>
          </w:tcPr>
          <w:p>
            <w:pPr>
              <w:spacing w:before="20" w:after="20"/>
            </w:pPr>
            <w:r>
              <w:rPr>
                <w:b w:val="0"/>
                <w:i w:val="0"/>
                <w:color w:val="212121"/>
                <w:sz w:val="17"/>
              </w:rPr>
              <w:t>Enfermería</w:t>
            </w:r>
          </w:p>
        </w:tc>
      </w:tr>
      <w:tr>
        <w:tc>
          <w:tcPr>
            <w:tcW w:type="dxa" w:w="4535"/>
          </w:tcPr>
          <w:p>
            <w:pPr>
              <w:spacing w:before="20" w:after="20"/>
            </w:pPr>
            <w:r>
              <w:rPr>
                <w:b w:val="0"/>
                <w:i w:val="0"/>
                <w:color w:val="212121"/>
                <w:sz w:val="17"/>
              </w:rPr>
              <w:t>Medicamento administrado</w:t>
            </w:r>
          </w:p>
        </w:tc>
        <w:tc>
          <w:tcPr>
            <w:tcW w:type="dxa" w:w="4535"/>
          </w:tcPr>
          <w:p>
            <w:pPr>
              <w:spacing w:before="20" w:after="20"/>
            </w:pPr>
            <w:r>
              <w:rPr>
                <w:b w:val="0"/>
                <w:i w:val="0"/>
                <w:color w:val="212121"/>
                <w:sz w:val="17"/>
              </w:rPr>
              <w:t>Enfermería</w:t>
            </w:r>
          </w:p>
        </w:tc>
      </w:tr>
      <w:tr>
        <w:tc>
          <w:tcPr>
            <w:tcW w:type="dxa" w:w="4535"/>
          </w:tcPr>
          <w:p>
            <w:pPr>
              <w:spacing w:before="20" w:after="20"/>
            </w:pPr>
            <w:r>
              <w:rPr>
                <w:b w:val="0"/>
                <w:i w:val="0"/>
                <w:color w:val="212121"/>
                <w:sz w:val="17"/>
              </w:rPr>
              <w:t>Registro anestésico</w:t>
            </w:r>
          </w:p>
        </w:tc>
        <w:tc>
          <w:tcPr>
            <w:tcW w:type="dxa" w:w="4535"/>
          </w:tcPr>
          <w:p>
            <w:pPr>
              <w:spacing w:before="20" w:after="20"/>
            </w:pPr>
            <w:r>
              <w:rPr>
                <w:b w:val="0"/>
                <w:i w:val="0"/>
                <w:color w:val="212121"/>
                <w:sz w:val="17"/>
              </w:rPr>
              <w:t>Quirófano</w:t>
            </w:r>
          </w:p>
        </w:tc>
      </w:tr>
      <w:tr>
        <w:tc>
          <w:tcPr>
            <w:tcW w:type="dxa" w:w="4535"/>
          </w:tcPr>
          <w:p>
            <w:pPr>
              <w:spacing w:before="20" w:after="20"/>
            </w:pPr>
            <w:r>
              <w:rPr>
                <w:b w:val="0"/>
                <w:i w:val="0"/>
                <w:color w:val="212121"/>
                <w:sz w:val="17"/>
              </w:rPr>
              <w:t>Lista de verificación quirúrgica (OMS)</w:t>
            </w:r>
          </w:p>
        </w:tc>
        <w:tc>
          <w:tcPr>
            <w:tcW w:type="dxa" w:w="4535"/>
          </w:tcPr>
          <w:p>
            <w:pPr>
              <w:spacing w:before="20" w:after="20"/>
            </w:pPr>
            <w:r>
              <w:rPr>
                <w:b w:val="0"/>
                <w:i w:val="0"/>
                <w:color w:val="212121"/>
                <w:sz w:val="17"/>
              </w:rPr>
              <w:t>Quirófano</w:t>
            </w:r>
          </w:p>
        </w:tc>
      </w:tr>
      <w:tr>
        <w:tc>
          <w:tcPr>
            <w:tcW w:type="dxa" w:w="4535"/>
          </w:tcPr>
          <w:p>
            <w:pPr>
              <w:spacing w:before="20" w:after="20"/>
            </w:pPr>
            <w:r>
              <w:rPr>
                <w:b w:val="0"/>
                <w:i w:val="0"/>
                <w:color w:val="212121"/>
                <w:sz w:val="17"/>
              </w:rPr>
              <w:t>Episodio quirúrgico</w:t>
            </w:r>
          </w:p>
        </w:tc>
        <w:tc>
          <w:tcPr>
            <w:tcW w:type="dxa" w:w="4535"/>
          </w:tcPr>
          <w:p>
            <w:pPr>
              <w:spacing w:before="20" w:after="20"/>
            </w:pPr>
            <w:r>
              <w:rPr>
                <w:b w:val="0"/>
                <w:i w:val="0"/>
                <w:color w:val="212121"/>
                <w:sz w:val="17"/>
              </w:rPr>
              <w:t>Quirófano</w:t>
            </w:r>
          </w:p>
        </w:tc>
      </w:tr>
      <w:tr>
        <w:tc>
          <w:tcPr>
            <w:tcW w:type="dxa" w:w="4535"/>
          </w:tcPr>
          <w:p>
            <w:pPr>
              <w:spacing w:before="20" w:after="20"/>
            </w:pPr>
            <w:r>
              <w:rPr>
                <w:b w:val="0"/>
                <w:i w:val="0"/>
                <w:color w:val="212121"/>
                <w:sz w:val="17"/>
              </w:rPr>
              <w:t>Prescripción de ejercicio</w:t>
            </w:r>
          </w:p>
        </w:tc>
        <w:tc>
          <w:tcPr>
            <w:tcW w:type="dxa" w:w="4535"/>
          </w:tcPr>
          <w:p>
            <w:pPr>
              <w:spacing w:before="20" w:after="20"/>
            </w:pPr>
            <w:r>
              <w:rPr>
                <w:b w:val="0"/>
                <w:i w:val="0"/>
                <w:color w:val="212121"/>
                <w:sz w:val="17"/>
              </w:rPr>
              <w:t>Prescripción de ejercicio</w:t>
            </w:r>
          </w:p>
        </w:tc>
      </w:tr>
      <w:tr>
        <w:tc>
          <w:tcPr>
            <w:tcW w:type="dxa" w:w="4535"/>
          </w:tcPr>
          <w:p>
            <w:pPr>
              <w:spacing w:before="20" w:after="20"/>
            </w:pPr>
            <w:r>
              <w:rPr>
                <w:b w:val="0"/>
                <w:i w:val="0"/>
                <w:color w:val="212121"/>
                <w:sz w:val="17"/>
              </w:rPr>
              <w:t>Movimiento de inventario</w:t>
            </w:r>
          </w:p>
        </w:tc>
        <w:tc>
          <w:tcPr>
            <w:tcW w:type="dxa" w:w="4535"/>
          </w:tcPr>
          <w:p>
            <w:pPr>
              <w:spacing w:before="20" w:after="20"/>
            </w:pPr>
            <w:r>
              <w:rPr>
                <w:b w:val="0"/>
                <w:i w:val="0"/>
                <w:color w:val="212121"/>
                <w:sz w:val="17"/>
              </w:rPr>
              <w:t>Inventario</w:t>
            </w:r>
          </w:p>
        </w:tc>
      </w:tr>
      <w:tr>
        <w:tc>
          <w:tcPr>
            <w:tcW w:type="dxa" w:w="4535"/>
          </w:tcPr>
          <w:p>
            <w:pPr>
              <w:spacing w:before="20" w:after="20"/>
            </w:pPr>
            <w:r>
              <w:rPr>
                <w:b w:val="0"/>
                <w:i w:val="0"/>
                <w:color w:val="212121"/>
                <w:sz w:val="17"/>
              </w:rPr>
              <w:t>Registro de pago</w:t>
            </w:r>
          </w:p>
        </w:tc>
        <w:tc>
          <w:tcPr>
            <w:tcW w:type="dxa" w:w="4535"/>
          </w:tcPr>
          <w:p>
            <w:pPr>
              <w:spacing w:before="20" w:after="20"/>
            </w:pPr>
            <w:r>
              <w:rPr>
                <w:b w:val="0"/>
                <w:i w:val="0"/>
                <w:color w:val="212121"/>
                <w:sz w:val="17"/>
              </w:rPr>
              <w:t>Caja</w:t>
            </w:r>
          </w:p>
        </w:tc>
      </w:tr>
      <w:tr>
        <w:tc>
          <w:tcPr>
            <w:tcW w:type="dxa" w:w="4535"/>
          </w:tcPr>
          <w:p>
            <w:pPr>
              <w:spacing w:before="20" w:after="20"/>
            </w:pPr>
            <w:r>
              <w:rPr>
                <w:b w:val="0"/>
                <w:i w:val="0"/>
                <w:color w:val="212121"/>
                <w:sz w:val="17"/>
              </w:rPr>
              <w:t>Emisión del resumen médico</w:t>
            </w:r>
          </w:p>
        </w:tc>
        <w:tc>
          <w:tcPr>
            <w:tcW w:type="dxa" w:w="4535"/>
          </w:tcPr>
          <w:p>
            <w:pPr>
              <w:spacing w:before="20" w:after="20"/>
            </w:pPr>
            <w:r>
              <w:rPr>
                <w:b w:val="0"/>
                <w:i w:val="0"/>
                <w:color w:val="212121"/>
                <w:sz w:val="17"/>
              </w:rPr>
              <w:t>Resumen médico</w:t>
            </w:r>
          </w:p>
        </w:tc>
      </w:tr>
      <w:tr>
        <w:tc>
          <w:tcPr>
            <w:tcW w:type="dxa" w:w="4535"/>
          </w:tcPr>
          <w:p>
            <w:pPr>
              <w:spacing w:before="20" w:after="20"/>
            </w:pPr>
            <w:r>
              <w:rPr>
                <w:b w:val="0"/>
                <w:i w:val="0"/>
                <w:color w:val="212121"/>
                <w:sz w:val="17"/>
              </w:rPr>
              <w:t>Unificación de expedientes</w:t>
            </w:r>
          </w:p>
        </w:tc>
        <w:tc>
          <w:tcPr>
            <w:tcW w:type="dxa" w:w="4535"/>
          </w:tcPr>
          <w:p>
            <w:pPr>
              <w:spacing w:before="20" w:after="20"/>
            </w:pPr>
            <w:r>
              <w:rPr>
                <w:b w:val="0"/>
                <w:i w:val="0"/>
                <w:color w:val="212121"/>
                <w:sz w:val="17"/>
              </w:rPr>
              <w:t>Administración</w:t>
            </w:r>
          </w:p>
        </w:tc>
      </w:tr>
    </w:tbl>
    <w:p>
      <w:pPr>
        <w:spacing w:after="100"/>
      </w:pPr>
    </w:p>
    <w:p>
      <w:pPr>
        <w:spacing w:after="100" w:line="276" w:lineRule="auto"/>
        <w:jc w:val="both"/>
      </w:pPr>
      <w:r>
        <w:rPr>
          <w:b w:val="0"/>
          <w:i w:val="0"/>
          <w:color w:val="212121"/>
          <w:sz w:val="20"/>
        </w:rPr>
        <w:t>La bitácora se alimenta únicamente por inserción: el sistema no ofrece a ningún usuario, de ningún rol, función alguna para editar o borrar sus registros. La restricción equivalente en la base de datos, que impediría técnicamente la modificación aun por medios ajenos a la aplicación, está pendiente de verificación y se declara como brecha B-09 en el apartado 14.</w:t>
      </w:r>
    </w:p>
    <w:p>
      <w:pPr>
        <w:spacing w:after="100" w:line="276" w:lineRule="auto"/>
        <w:jc w:val="both"/>
      </w:pPr>
      <w:r>
        <w:rPr>
          <w:b w:val="0"/>
          <w:i/>
          <w:color w:val="546E7A"/>
          <w:sz w:val="19"/>
        </w:rPr>
        <w:t>La revisión periódica de la bitácora y la actuación ante hallazgos se describen en el procedimiento P-12 del documento QP-OP-PNO-013.</w:t>
      </w:r>
    </w:p>
    <w:p>
      <w:pPr>
        <w:keepNext/>
        <w:spacing w:before="320" w:after="120"/>
        <w:pBdr>
          <w:bottom w:val="single" w:sz="8" w:space="2" w:color="1F3B57"/>
        </w:pBdr>
      </w:pPr>
      <w:r>
        <w:rPr>
          <w:b/>
          <w:i w:val="0"/>
          <w:color w:val="1F3B57"/>
          <w:sz w:val="26"/>
        </w:rPr>
        <w:t>8. Integridad y versionamiento de las notas</w:t>
      </w:r>
    </w:p>
    <w:p>
      <w:pPr>
        <w:spacing w:after="100" w:line="276" w:lineRule="auto"/>
        <w:jc w:val="both"/>
      </w:pPr>
      <w:r>
        <w:rPr>
          <w:b w:val="0"/>
          <w:i w:val="0"/>
          <w:color w:val="212121"/>
          <w:sz w:val="20"/>
        </w:rPr>
        <w:t>Conforme al artículo 15 de la NOM-004-SSA3-2012, el sistema conserva la trazabilidad de toda nota médica:</w:t>
      </w:r>
    </w:p>
    <w:p>
      <w:pPr>
        <w:spacing w:after="40"/>
        <w:ind w:left="482" w:hanging="198"/>
        <w:jc w:val="both"/>
      </w:pPr>
      <w:r>
        <w:rPr>
          <w:b w:val="0"/>
          <w:i w:val="0"/>
          <w:color w:val="212121"/>
          <w:sz w:val="20"/>
        </w:rPr>
        <w:t>•  Mientras la nota permanece abierta, el sistema guarda su contenido automáticamente cada 30 segundos y conserva además un respaldo local en el equipo, que sobrevive a un corte de red o a la pérdida de la sesión.</w:t>
      </w:r>
    </w:p>
    <w:p>
      <w:pPr>
        <w:spacing w:after="40"/>
        <w:ind w:left="482" w:hanging="198"/>
        <w:jc w:val="both"/>
      </w:pPr>
      <w:r>
        <w:rPr>
          <w:b w:val="0"/>
          <w:i w:val="0"/>
          <w:color w:val="212121"/>
          <w:sz w:val="20"/>
        </w:rPr>
        <w:t>•  Cada vez que se guarda una nota ya existente, la versión anterior se archiva en la tabla «consultas_historial» con número de versión, fecha, hora, autor del cambio y contenido previo.</w:t>
      </w:r>
    </w:p>
    <w:p>
      <w:pPr>
        <w:spacing w:after="40"/>
        <w:ind w:left="482" w:hanging="198"/>
        <w:jc w:val="both"/>
      </w:pPr>
      <w:r>
        <w:rPr>
          <w:b w:val="0"/>
          <w:i w:val="0"/>
          <w:color w:val="212121"/>
          <w:sz w:val="20"/>
        </w:rPr>
        <w:t>•  Al firmar, la nota queda bloqueada y el sistema impide toda edición posterior.</w:t>
      </w:r>
    </w:p>
    <w:p>
      <w:pPr>
        <w:spacing w:after="40"/>
        <w:ind w:left="482" w:hanging="198"/>
        <w:jc w:val="both"/>
      </w:pPr>
      <w:r>
        <w:rPr>
          <w:b w:val="0"/>
          <w:i w:val="0"/>
          <w:color w:val="212121"/>
          <w:sz w:val="20"/>
        </w:rPr>
        <w:t>•  Las notas que permanezcan sin firmar 24 horas después de su creación se cierran automáticamente, dejando constancia de que el cierre fue automático y no por firma del profesional.</w:t>
      </w:r>
    </w:p>
    <w:p>
      <w:pPr>
        <w:spacing w:after="40"/>
        <w:ind w:left="482" w:hanging="198"/>
        <w:jc w:val="both"/>
      </w:pPr>
      <w:r>
        <w:rPr>
          <w:b w:val="0"/>
          <w:i w:val="0"/>
          <w:color w:val="212121"/>
          <w:sz w:val="20"/>
        </w:rPr>
        <w:t>•  Toda corrección de una nota ya firmada se realiza mediante una nota nueva que aclare o rectifique. La nota original no se altera nunca.</w:t>
      </w:r>
    </w:p>
    <w:p>
      <w:pPr>
        <w:spacing w:after="120"/>
        <w:ind w:left="482" w:hanging="198"/>
        <w:jc w:val="both"/>
      </w:pPr>
      <w:r>
        <w:rPr>
          <w:b w:val="0"/>
          <w:i w:val="0"/>
          <w:color w:val="212121"/>
          <w:sz w:val="20"/>
        </w:rPr>
        <w:t>•  El profesional puede consultar el historial de versiones desde la propia nota.</w:t>
      </w:r>
    </w:p>
    <w:p>
      <w:pPr>
        <w:keepNext/>
        <w:spacing w:before="320" w:after="120"/>
        <w:pBdr>
          <w:bottom w:val="single" w:sz="8" w:space="2" w:color="1F3B57"/>
        </w:pBdr>
      </w:pPr>
      <w:r>
        <w:rPr>
          <w:b/>
          <w:i w:val="0"/>
          <w:color w:val="1F3B57"/>
          <w:sz w:val="26"/>
        </w:rPr>
        <w:t>9. Respaldo y recuperación</w:t>
      </w:r>
    </w:p>
    <w:tbl>
      <w:tblPr>
        <w:tblStyle w:val="TableGrid"/>
        <w:tblW w:type="auto" w:w="0"/>
        <w:jc w:val="center"/>
        <w:tblLayout w:type="fixed"/>
        <w:tblLook w:firstColumn="1" w:firstRow="1" w:lastColumn="0" w:lastRow="0" w:noHBand="0" w:noVBand="1" w:val="04A0"/>
        <w:tblLayout w:type="fixed"/>
      </w:tblPr>
      <w:tblGrid>
        <w:gridCol w:w="3061"/>
        <w:gridCol w:w="2154"/>
        <w:gridCol w:w="1474"/>
        <w:gridCol w:w="2381"/>
      </w:tblGrid>
      <w:tr>
        <w:trPr>
          <w:tblHeader w:val="true"/>
        </w:trPr>
        <w:tc>
          <w:tcPr>
            <w:tcW w:type="dxa" w:w="3061"/>
            <w:shd w:val="clear" w:color="auto" w:fill="1F3B57"/>
          </w:tcPr>
          <w:p>
            <w:pPr>
              <w:spacing w:before="20" w:after="20"/>
            </w:pPr>
            <w:r>
              <w:rPr>
                <w:b/>
                <w:i w:val="0"/>
                <w:color w:val="FFFFFF"/>
                <w:sz w:val="17"/>
              </w:rPr>
              <w:t>Tipo de respaldo</w:t>
            </w:r>
          </w:p>
        </w:tc>
        <w:tc>
          <w:tcPr>
            <w:tcW w:type="dxa" w:w="2154"/>
            <w:shd w:val="clear" w:color="auto" w:fill="1F3B57"/>
          </w:tcPr>
          <w:p>
            <w:pPr>
              <w:spacing w:before="20" w:after="20"/>
            </w:pPr>
            <w:r>
              <w:rPr>
                <w:b/>
                <w:i w:val="0"/>
                <w:color w:val="FFFFFF"/>
                <w:sz w:val="17"/>
              </w:rPr>
              <w:t>Frecuencia</w:t>
            </w:r>
          </w:p>
        </w:tc>
        <w:tc>
          <w:tcPr>
            <w:tcW w:type="dxa" w:w="1474"/>
            <w:shd w:val="clear" w:color="auto" w:fill="1F3B57"/>
          </w:tcPr>
          <w:p>
            <w:pPr>
              <w:spacing w:before="20" w:after="20"/>
            </w:pPr>
            <w:r>
              <w:rPr>
                <w:b/>
                <w:i w:val="0"/>
                <w:color w:val="FFFFFF"/>
                <w:sz w:val="17"/>
              </w:rPr>
              <w:t>Retención</w:t>
            </w:r>
          </w:p>
        </w:tc>
        <w:tc>
          <w:tcPr>
            <w:tcW w:type="dxa" w:w="2381"/>
            <w:shd w:val="clear" w:color="auto" w:fill="1F3B57"/>
          </w:tcPr>
          <w:p>
            <w:pPr>
              <w:spacing w:before="20" w:after="20"/>
            </w:pPr>
            <w:r>
              <w:rPr>
                <w:b/>
                <w:i w:val="0"/>
                <w:color w:val="FFFFFF"/>
                <w:sz w:val="17"/>
              </w:rPr>
              <w:t>Responsable</w:t>
            </w:r>
          </w:p>
        </w:tc>
      </w:tr>
      <w:tr>
        <w:tc>
          <w:tcPr>
            <w:tcW w:type="dxa" w:w="3061"/>
          </w:tcPr>
          <w:p>
            <w:pPr>
              <w:spacing w:before="20" w:after="20"/>
            </w:pPr>
            <w:r>
              <w:rPr>
                <w:b w:val="0"/>
                <w:i w:val="0"/>
                <w:color w:val="212121"/>
                <w:sz w:val="17"/>
              </w:rPr>
              <w:t>Registro continuo de escritura (WAL)</w:t>
            </w:r>
          </w:p>
        </w:tc>
        <w:tc>
          <w:tcPr>
            <w:tcW w:type="dxa" w:w="2154"/>
          </w:tcPr>
          <w:p>
            <w:pPr>
              <w:spacing w:before="20" w:after="20"/>
            </w:pPr>
            <w:r>
              <w:rPr>
                <w:b w:val="0"/>
                <w:i w:val="0"/>
                <w:color w:val="212121"/>
                <w:sz w:val="17"/>
              </w:rPr>
              <w:t>Continuo, en tiempo real</w:t>
            </w:r>
          </w:p>
        </w:tc>
        <w:tc>
          <w:tcPr>
            <w:tcW w:type="dxa" w:w="1474"/>
          </w:tcPr>
          <w:p>
            <w:pPr>
              <w:spacing w:before="20" w:after="20"/>
            </w:pPr>
            <w:r>
              <w:rPr>
                <w:b w:val="0"/>
                <w:i w:val="0"/>
                <w:color w:val="212121"/>
                <w:sz w:val="17"/>
              </w:rPr>
              <w:t>7 días</w:t>
            </w:r>
          </w:p>
        </w:tc>
        <w:tc>
          <w:tcPr>
            <w:tcW w:type="dxa" w:w="2381"/>
          </w:tcPr>
          <w:p>
            <w:pPr>
              <w:spacing w:before="20" w:after="20"/>
            </w:pPr>
            <w:r>
              <w:rPr>
                <w:b w:val="0"/>
                <w:i w:val="0"/>
                <w:color w:val="212121"/>
                <w:sz w:val="17"/>
              </w:rPr>
              <w:t>Proveedor de la plataforma</w:t>
            </w:r>
          </w:p>
        </w:tc>
      </w:tr>
      <w:tr>
        <w:tc>
          <w:tcPr>
            <w:tcW w:type="dxa" w:w="3061"/>
          </w:tcPr>
          <w:p>
            <w:pPr>
              <w:spacing w:before="20" w:after="20"/>
            </w:pPr>
            <w:r>
              <w:rPr>
                <w:b w:val="0"/>
                <w:i w:val="0"/>
                <w:color w:val="212121"/>
                <w:sz w:val="17"/>
              </w:rPr>
              <w:t>Recuperación a un punto en el tiempo</w:t>
            </w:r>
          </w:p>
        </w:tc>
        <w:tc>
          <w:tcPr>
            <w:tcW w:type="dxa" w:w="2154"/>
          </w:tcPr>
          <w:p>
            <w:pPr>
              <w:spacing w:before="20" w:after="20"/>
            </w:pPr>
            <w:r>
              <w:rPr>
                <w:b w:val="0"/>
                <w:i w:val="0"/>
                <w:color w:val="212121"/>
                <w:sz w:val="17"/>
              </w:rPr>
              <w:t>Continuo</w:t>
            </w:r>
          </w:p>
        </w:tc>
        <w:tc>
          <w:tcPr>
            <w:tcW w:type="dxa" w:w="1474"/>
          </w:tcPr>
          <w:p>
            <w:pPr>
              <w:spacing w:before="20" w:after="20"/>
            </w:pPr>
            <w:r>
              <w:rPr>
                <w:b w:val="0"/>
                <w:i w:val="0"/>
                <w:color w:val="212121"/>
                <w:sz w:val="17"/>
              </w:rPr>
              <w:t>7 días</w:t>
            </w:r>
          </w:p>
        </w:tc>
        <w:tc>
          <w:tcPr>
            <w:tcW w:type="dxa" w:w="2381"/>
          </w:tcPr>
          <w:p>
            <w:pPr>
              <w:spacing w:before="20" w:after="20"/>
            </w:pPr>
            <w:r>
              <w:rPr>
                <w:b w:val="0"/>
                <w:i w:val="0"/>
                <w:color w:val="212121"/>
                <w:sz w:val="17"/>
              </w:rPr>
              <w:t>Proveedor de la plataforma</w:t>
            </w:r>
          </w:p>
        </w:tc>
      </w:tr>
      <w:tr>
        <w:tc>
          <w:tcPr>
            <w:tcW w:type="dxa" w:w="3061"/>
          </w:tcPr>
          <w:p>
            <w:pPr>
              <w:spacing w:before="20" w:after="20"/>
            </w:pPr>
            <w:r>
              <w:rPr>
                <w:b w:val="0"/>
                <w:i w:val="0"/>
                <w:color w:val="212121"/>
                <w:sz w:val="17"/>
              </w:rPr>
              <w:t>Instantánea completa</w:t>
            </w:r>
          </w:p>
        </w:tc>
        <w:tc>
          <w:tcPr>
            <w:tcW w:type="dxa" w:w="2154"/>
          </w:tcPr>
          <w:p>
            <w:pPr>
              <w:spacing w:before="20" w:after="20"/>
            </w:pPr>
            <w:r>
              <w:rPr>
                <w:b w:val="0"/>
                <w:i w:val="0"/>
                <w:color w:val="212121"/>
                <w:sz w:val="17"/>
              </w:rPr>
              <w:t>Diaria, automática</w:t>
            </w:r>
          </w:p>
        </w:tc>
        <w:tc>
          <w:tcPr>
            <w:tcW w:type="dxa" w:w="1474"/>
          </w:tcPr>
          <w:p>
            <w:pPr>
              <w:spacing w:before="20" w:after="20"/>
            </w:pPr>
            <w:r>
              <w:rPr>
                <w:b w:val="0"/>
                <w:i w:val="0"/>
                <w:color w:val="212121"/>
                <w:sz w:val="17"/>
              </w:rPr>
              <w:t>30 días</w:t>
            </w:r>
          </w:p>
        </w:tc>
        <w:tc>
          <w:tcPr>
            <w:tcW w:type="dxa" w:w="2381"/>
          </w:tcPr>
          <w:p>
            <w:pPr>
              <w:spacing w:before="20" w:after="20"/>
            </w:pPr>
            <w:r>
              <w:rPr>
                <w:b w:val="0"/>
                <w:i w:val="0"/>
                <w:color w:val="212121"/>
                <w:sz w:val="17"/>
              </w:rPr>
              <w:t>Proveedor de la plataforma</w:t>
            </w:r>
          </w:p>
        </w:tc>
      </w:tr>
      <w:tr>
        <w:tc>
          <w:tcPr>
            <w:tcW w:type="dxa" w:w="3061"/>
          </w:tcPr>
          <w:p>
            <w:pPr>
              <w:spacing w:before="20" w:after="20"/>
            </w:pPr>
            <w:r>
              <w:rPr>
                <w:b w:val="0"/>
                <w:i w:val="0"/>
                <w:color w:val="212121"/>
                <w:sz w:val="17"/>
              </w:rPr>
              <w:t>Verificación documentada</w:t>
            </w:r>
          </w:p>
        </w:tc>
        <w:tc>
          <w:tcPr>
            <w:tcW w:type="dxa" w:w="2154"/>
          </w:tcPr>
          <w:p>
            <w:pPr>
              <w:spacing w:before="20" w:after="20"/>
            </w:pPr>
            <w:r>
              <w:rPr>
                <w:b w:val="0"/>
                <w:i w:val="0"/>
                <w:color w:val="212121"/>
                <w:sz w:val="17"/>
              </w:rPr>
              <w:t>Mensual</w:t>
            </w:r>
          </w:p>
        </w:tc>
        <w:tc>
          <w:tcPr>
            <w:tcW w:type="dxa" w:w="1474"/>
          </w:tcPr>
          <w:p>
            <w:pPr>
              <w:spacing w:before="20" w:after="20"/>
            </w:pPr>
            <w:r>
              <w:rPr>
                <w:b w:val="0"/>
                <w:i w:val="0"/>
                <w:color w:val="212121"/>
                <w:sz w:val="17"/>
              </w:rPr>
              <w:t>Permanente</w:t>
            </w:r>
          </w:p>
        </w:tc>
        <w:tc>
          <w:tcPr>
            <w:tcW w:type="dxa" w:w="2381"/>
          </w:tcPr>
          <w:p>
            <w:pPr>
              <w:spacing w:before="20" w:after="20"/>
            </w:pPr>
            <w:r>
              <w:rPr>
                <w:b w:val="0"/>
                <w:i w:val="0"/>
                <w:color w:val="212121"/>
                <w:sz w:val="17"/>
              </w:rPr>
              <w:t>Administrador del sistema</w:t>
            </w:r>
          </w:p>
        </w:tc>
      </w:tr>
    </w:tbl>
    <w:p>
      <w:pPr>
        <w:spacing w:after="100"/>
      </w:pPr>
    </w:p>
    <w:p>
      <w:pPr>
        <w:spacing w:after="100" w:line="276" w:lineRule="auto"/>
        <w:jc w:val="both"/>
      </w:pPr>
      <w:r>
        <w:rPr>
          <w:b w:val="0"/>
          <w:i w:val="0"/>
          <w:color w:val="212121"/>
          <w:sz w:val="20"/>
        </w:rPr>
        <w:t>La verificación mensual y su registro se describen en el procedimiento P-13 del documento QP-OP-PNO-013. Debe quedar constancia escrita de cada verificación: sin registro, ante la autoridad la verificación no ocurrió.</w:t>
      </w:r>
    </w:p>
    <w:p>
      <w:pPr>
        <w:keepNext/>
        <w:spacing w:before="320" w:after="120"/>
        <w:pBdr>
          <w:bottom w:val="single" w:sz="8" w:space="2" w:color="1F3B57"/>
        </w:pBdr>
      </w:pPr>
      <w:r>
        <w:rPr>
          <w:b/>
          <w:i w:val="0"/>
          <w:color w:val="1F3B57"/>
          <w:sz w:val="26"/>
        </w:rPr>
        <w:t>10. Procedimientos ante fallas</w:t>
      </w:r>
    </w:p>
    <w:p>
      <w:pPr>
        <w:spacing w:after="100" w:line="276" w:lineRule="auto"/>
        <w:jc w:val="both"/>
      </w:pPr>
      <w:r>
        <w:rPr>
          <w:b w:val="0"/>
          <w:i w:val="0"/>
          <w:color w:val="212121"/>
          <w:sz w:val="20"/>
        </w:rPr>
        <w:t>El detalle operativo se encuentra en el Plan de Contingencia del SIEC y en los procedimientos P-14 y P-15 del documento QP-OP-PNO-013. En resumen:</w:t>
      </w:r>
    </w:p>
    <w:p>
      <w:pPr>
        <w:keepNext/>
        <w:spacing w:before="220" w:after="60"/>
      </w:pPr>
      <w:r>
        <w:rPr>
          <w:b/>
          <w:i w:val="0"/>
          <w:color w:val="1F3B57"/>
          <w:sz w:val="22"/>
        </w:rPr>
        <w:t>10.1  El sistema no está disponible</w:t>
      </w:r>
    </w:p>
    <w:p>
      <w:pPr>
        <w:spacing w:after="40"/>
        <w:ind w:left="482" w:hanging="283"/>
        <w:jc w:val="both"/>
      </w:pPr>
      <w:r>
        <w:rPr>
          <w:b/>
          <w:i w:val="0"/>
          <w:color w:val="212121"/>
          <w:sz w:val="20"/>
        </w:rPr>
        <w:t xml:space="preserve">1.  </w:t>
      </w:r>
      <w:r>
        <w:rPr>
          <w:b w:val="0"/>
          <w:i w:val="0"/>
          <w:color w:val="212121"/>
          <w:sz w:val="20"/>
        </w:rPr>
        <w:t>Verificar si la falla es local —conectividad del consultorio— o de la plataforma, consultando el estado de los proveedores.</w:t>
      </w:r>
    </w:p>
    <w:p>
      <w:pPr>
        <w:spacing w:after="40"/>
        <w:ind w:left="482" w:hanging="283"/>
        <w:jc w:val="both"/>
      </w:pPr>
      <w:r>
        <w:rPr>
          <w:b/>
          <w:i w:val="0"/>
          <w:color w:val="212121"/>
          <w:sz w:val="20"/>
        </w:rPr>
        <w:t xml:space="preserve">2.  </w:t>
      </w:r>
      <w:r>
        <w:rPr>
          <w:b w:val="0"/>
          <w:i w:val="0"/>
          <w:color w:val="212121"/>
          <w:sz w:val="20"/>
        </w:rPr>
        <w:t>Documentar la hora de inicio de la interrupción y notificar al Director General.</w:t>
      </w:r>
    </w:p>
    <w:p>
      <w:pPr>
        <w:spacing w:after="40"/>
        <w:ind w:left="482" w:hanging="283"/>
        <w:jc w:val="both"/>
      </w:pPr>
      <w:r>
        <w:rPr>
          <w:b/>
          <w:i w:val="0"/>
          <w:color w:val="212121"/>
          <w:sz w:val="20"/>
        </w:rPr>
        <w:t xml:space="preserve">3.  </w:t>
      </w:r>
      <w:r>
        <w:rPr>
          <w:b w:val="0"/>
          <w:i w:val="0"/>
          <w:color w:val="212121"/>
          <w:sz w:val="20"/>
        </w:rPr>
        <w:t>Activar los formatos físicos de respaldo y continuar la atención sin interrupción.</w:t>
      </w:r>
    </w:p>
    <w:p>
      <w:pPr>
        <w:spacing w:after="40"/>
        <w:ind w:left="482" w:hanging="283"/>
        <w:jc w:val="both"/>
      </w:pPr>
      <w:r>
        <w:rPr>
          <w:b/>
          <w:i w:val="0"/>
          <w:color w:val="212121"/>
          <w:sz w:val="20"/>
        </w:rPr>
        <w:t xml:space="preserve">4.  </w:t>
      </w:r>
      <w:r>
        <w:rPr>
          <w:b w:val="0"/>
          <w:i w:val="0"/>
          <w:color w:val="212121"/>
          <w:sz w:val="20"/>
        </w:rPr>
        <w:t>Al restablecerse el servicio, capturar en el sistema todo lo documentado en papel, dentro de las 24 horas siguientes.</w:t>
      </w:r>
    </w:p>
    <w:p>
      <w:pPr>
        <w:spacing w:after="40"/>
        <w:ind w:left="482" w:hanging="283"/>
        <w:jc w:val="both"/>
      </w:pPr>
      <w:r>
        <w:rPr>
          <w:b/>
          <w:i w:val="0"/>
          <w:color w:val="212121"/>
          <w:sz w:val="20"/>
        </w:rPr>
        <w:t xml:space="preserve">5.  </w:t>
      </w:r>
      <w:r>
        <w:rPr>
          <w:b w:val="0"/>
          <w:i w:val="0"/>
          <w:color w:val="212121"/>
          <w:sz w:val="20"/>
        </w:rPr>
        <w:t>Documentar el cierre del incidente, su duración y su causa.</w:t>
      </w:r>
    </w:p>
    <w:p>
      <w:pPr>
        <w:keepNext/>
        <w:spacing w:before="220" w:after="60"/>
      </w:pPr>
      <w:r>
        <w:rPr>
          <w:b/>
          <w:i w:val="0"/>
          <w:color w:val="1F3B57"/>
          <w:sz w:val="22"/>
        </w:rPr>
        <w:t>10.2  Sospecha de acceso no autorizado</w:t>
      </w:r>
    </w:p>
    <w:p>
      <w:pPr>
        <w:spacing w:after="40"/>
        <w:ind w:left="482" w:hanging="283"/>
        <w:jc w:val="both"/>
      </w:pPr>
      <w:r>
        <w:rPr>
          <w:b/>
          <w:i w:val="0"/>
          <w:color w:val="212121"/>
          <w:sz w:val="20"/>
        </w:rPr>
        <w:t xml:space="preserve">1.  </w:t>
      </w:r>
      <w:r>
        <w:rPr>
          <w:b w:val="0"/>
          <w:i w:val="0"/>
          <w:color w:val="212121"/>
          <w:sz w:val="20"/>
        </w:rPr>
        <w:t>Notificar de inmediato al administrador y al Responsable Sanitario.</w:t>
      </w:r>
    </w:p>
    <w:p>
      <w:pPr>
        <w:spacing w:after="40"/>
        <w:ind w:left="482" w:hanging="283"/>
        <w:jc w:val="both"/>
      </w:pPr>
      <w:r>
        <w:rPr>
          <w:b/>
          <w:i w:val="0"/>
          <w:color w:val="212121"/>
          <w:sz w:val="20"/>
        </w:rPr>
        <w:t xml:space="preserve">2.  </w:t>
      </w:r>
      <w:r>
        <w:rPr>
          <w:b w:val="0"/>
          <w:i w:val="0"/>
          <w:color w:val="212121"/>
          <w:sz w:val="20"/>
        </w:rPr>
        <w:t>Cerrar todas las sesiones activas y revocar los tokens vigentes.</w:t>
      </w:r>
    </w:p>
    <w:p>
      <w:pPr>
        <w:spacing w:after="40"/>
        <w:ind w:left="482" w:hanging="283"/>
        <w:jc w:val="both"/>
      </w:pPr>
      <w:r>
        <w:rPr>
          <w:b/>
          <w:i w:val="0"/>
          <w:color w:val="212121"/>
          <w:sz w:val="20"/>
        </w:rPr>
        <w:t xml:space="preserve">3.  </w:t>
      </w:r>
      <w:r>
        <w:rPr>
          <w:b w:val="0"/>
          <w:i w:val="0"/>
          <w:color w:val="212121"/>
          <w:sz w:val="20"/>
        </w:rPr>
        <w:t>Restablecer las contraseñas comprometidas.</w:t>
      </w:r>
    </w:p>
    <w:p>
      <w:pPr>
        <w:spacing w:after="40"/>
        <w:ind w:left="482" w:hanging="283"/>
        <w:jc w:val="both"/>
      </w:pPr>
      <w:r>
        <w:rPr>
          <w:b/>
          <w:i w:val="0"/>
          <w:color w:val="212121"/>
          <w:sz w:val="20"/>
        </w:rPr>
        <w:t xml:space="preserve">4.  </w:t>
      </w:r>
      <w:r>
        <w:rPr>
          <w:b w:val="0"/>
          <w:i w:val="0"/>
          <w:color w:val="212121"/>
          <w:sz w:val="20"/>
        </w:rPr>
        <w:t>Determinar el alcance del incidente a partir de la bitácora de acceso.</w:t>
      </w:r>
    </w:p>
    <w:p>
      <w:pPr>
        <w:spacing w:after="40"/>
        <w:ind w:left="482" w:hanging="283"/>
        <w:jc w:val="both"/>
      </w:pPr>
      <w:r>
        <w:rPr>
          <w:b/>
          <w:i w:val="0"/>
          <w:color w:val="212121"/>
          <w:sz w:val="20"/>
        </w:rPr>
        <w:t xml:space="preserve">5.  </w:t>
      </w:r>
      <w:r>
        <w:rPr>
          <w:b w:val="0"/>
          <w:i w:val="0"/>
          <w:color w:val="212121"/>
          <w:sz w:val="20"/>
        </w:rPr>
        <w:t>Si se confirma la vulneración de datos de pacientes, notificar a los titulares afectados sin dilación, conforme al artículo 20 de la Ley Federal de Protección de Datos Personales en Posesión de los Particulares, e informar al Responsable Sanitario para la valoración de las demás obligaciones aplicables.</w:t>
      </w:r>
    </w:p>
    <w:p>
      <w:pPr>
        <w:spacing w:after="40"/>
        <w:ind w:left="482" w:hanging="283"/>
        <w:jc w:val="both"/>
      </w:pPr>
      <w:r>
        <w:rPr>
          <w:b/>
          <w:i w:val="0"/>
          <w:color w:val="212121"/>
          <w:sz w:val="20"/>
        </w:rPr>
        <w:t xml:space="preserve">6.  </w:t>
      </w:r>
      <w:r>
        <w:rPr>
          <w:b w:val="0"/>
          <w:i w:val="0"/>
          <w:color w:val="212121"/>
          <w:sz w:val="20"/>
        </w:rPr>
        <w:t>Documentar el incidente, sus causas y las medidas correctivas adoptadas.</w:t>
      </w:r>
    </w:p>
    <w:p>
      <w:pPr>
        <w:keepNext/>
        <w:spacing w:before="220" w:after="60"/>
      </w:pPr>
      <w:r>
        <w:rPr>
          <w:b/>
          <w:i w:val="0"/>
          <w:color w:val="1F3B57"/>
          <w:sz w:val="22"/>
        </w:rPr>
        <w:t>10.3  Pérdida de contraseña</w:t>
      </w:r>
    </w:p>
    <w:p>
      <w:pPr>
        <w:spacing w:after="100" w:line="276" w:lineRule="auto"/>
        <w:jc w:val="both"/>
      </w:pPr>
      <w:r>
        <w:rPr>
          <w:b w:val="0"/>
          <w:i w:val="0"/>
          <w:color w:val="212121"/>
          <w:sz w:val="20"/>
        </w:rPr>
        <w:t>El usuario la solicita al administrador, quien genera una contraseña temporal desde Gestión de médicos y usuarios. El usuario debe cambiarla en su siguiente inicio de sesión. En ningún caso se comparte una contraseña por medios no cifrados ni se reutiliza la de otro usuario.</w:t>
      </w:r>
    </w:p>
    <w:p>
      <w:pPr>
        <w:keepNext/>
        <w:spacing w:before="320" w:after="120"/>
        <w:pBdr>
          <w:bottom w:val="single" w:sz="8" w:space="2" w:color="1F3B57"/>
        </w:pBdr>
      </w:pPr>
      <w:r>
        <w:rPr>
          <w:b/>
          <w:i w:val="0"/>
          <w:color w:val="1F3B57"/>
          <w:sz w:val="26"/>
        </w:rPr>
        <w:t>11. Conservación de la información</w:t>
      </w:r>
    </w:p>
    <w:p>
      <w:pPr>
        <w:spacing w:after="100" w:line="276" w:lineRule="auto"/>
        <w:jc w:val="both"/>
      </w:pPr>
      <w:r>
        <w:rPr>
          <w:b w:val="0"/>
          <w:i w:val="0"/>
          <w:color w:val="212121"/>
          <w:sz w:val="20"/>
        </w:rPr>
        <w:t>Los registros clínicos se conservan por un mínimo de cinco años contados a partir de la fecha del último acto médico, conforme al numeral 5.4 de la NOM-004-SSA3-2012. En QP Clinic el expediente clínico, la bitácora de acceso y el historial de versiones de las notas se conservan de forma permanente.</w:t>
      </w:r>
    </w:p>
    <w:p>
      <w:pPr>
        <w:spacing w:after="100" w:line="276" w:lineRule="auto"/>
        <w:jc w:val="both"/>
      </w:pPr>
      <w:r>
        <w:rPr>
          <w:b w:val="0"/>
          <w:i w:val="0"/>
          <w:color w:val="212121"/>
          <w:sz w:val="20"/>
        </w:rPr>
        <w:t>El procedimiento de conservación, bloqueo y supresión de datos al concluir el plazo legal está pendiente de elaboración y se declara como brecha B-08 en el apartado 14.</w:t>
      </w:r>
    </w:p>
    <w:p>
      <w:pPr>
        <w:keepNext/>
        <w:spacing w:before="320" w:after="120"/>
        <w:pBdr>
          <w:bottom w:val="single" w:sz="8" w:space="2" w:color="1F3B57"/>
        </w:pBdr>
      </w:pPr>
      <w:r>
        <w:rPr>
          <w:b/>
          <w:i w:val="0"/>
          <w:color w:val="1F3B57"/>
          <w:sz w:val="26"/>
        </w:rPr>
        <w:t>12. Capacitación</w:t>
      </w:r>
    </w:p>
    <w:p>
      <w:pPr>
        <w:spacing w:after="100" w:line="276" w:lineRule="auto"/>
        <w:jc w:val="both"/>
      </w:pPr>
      <w:r>
        <w:rPr>
          <w:b w:val="0"/>
          <w:i w:val="0"/>
          <w:color w:val="212121"/>
          <w:sz w:val="20"/>
        </w:rPr>
        <w:t>Todo el personal con acceso al sistema debe recibir:</w:t>
      </w:r>
    </w:p>
    <w:p>
      <w:pPr>
        <w:spacing w:after="40"/>
        <w:ind w:left="482" w:hanging="198"/>
        <w:jc w:val="both"/>
      </w:pPr>
      <w:r>
        <w:rPr>
          <w:b w:val="0"/>
          <w:i w:val="0"/>
          <w:color w:val="212121"/>
          <w:sz w:val="20"/>
        </w:rPr>
        <w:t>•  Capacitación inicial antes del primer acceso: manejo del expediente, política de contraseñas, cierre de sesión y manejo de datos personales sensibles.</w:t>
      </w:r>
    </w:p>
    <w:p>
      <w:pPr>
        <w:spacing w:after="40"/>
        <w:ind w:left="482" w:hanging="198"/>
        <w:jc w:val="both"/>
      </w:pPr>
      <w:r>
        <w:rPr>
          <w:b w:val="0"/>
          <w:i w:val="0"/>
          <w:color w:val="212121"/>
          <w:sz w:val="20"/>
        </w:rPr>
        <w:t>•  Capacitación de refuerzo anual, o tras una actualización mayor del sistema.</w:t>
      </w:r>
    </w:p>
    <w:p>
      <w:pPr>
        <w:spacing w:after="120"/>
        <w:ind w:left="482" w:hanging="198"/>
        <w:jc w:val="both"/>
      </w:pPr>
      <w:r>
        <w:rPr>
          <w:b w:val="0"/>
          <w:i w:val="0"/>
          <w:color w:val="212121"/>
          <w:sz w:val="20"/>
        </w:rPr>
        <w:t>•  Constancia documentada de cada capacitación, bajo resguardo del Responsable Sanitario.</w:t>
      </w:r>
    </w:p>
    <w:p>
      <w:pPr>
        <w:spacing w:after="100" w:line="276" w:lineRule="auto"/>
        <w:jc w:val="both"/>
      </w:pPr>
      <w:r>
        <w:rPr>
          <w:b w:val="0"/>
          <w:i/>
          <w:color w:val="546E7A"/>
          <w:sz w:val="19"/>
        </w:rPr>
        <w:t>La NOM-024 exige acreditar la capacitación de los usuarios. Sin constancia escrita, la capacitación no puede demostrarse ante la autoridad. Ver la brecha B-04.</w:t>
      </w:r>
    </w:p>
    <w:p>
      <w:pPr>
        <w:keepNext/>
        <w:spacing w:before="320" w:after="120"/>
        <w:pBdr>
          <w:bottom w:val="single" w:sz="8" w:space="2" w:color="1F3B57"/>
        </w:pBdr>
      </w:pPr>
      <w:r>
        <w:rPr>
          <w:b/>
          <w:i w:val="0"/>
          <w:color w:val="1F3B57"/>
          <w:sz w:val="26"/>
        </w:rPr>
        <w:t>13. Documentos relacionados</w:t>
      </w:r>
    </w:p>
    <w:p>
      <w:pPr>
        <w:spacing w:after="40"/>
        <w:ind w:left="482" w:hanging="198"/>
        <w:jc w:val="both"/>
      </w:pPr>
      <w:r>
        <w:rPr>
          <w:b/>
          <w:i w:val="0"/>
          <w:color w:val="212121"/>
          <w:sz w:val="20"/>
        </w:rPr>
        <w:t xml:space="preserve">•  QP-OP-PNO-013. </w:t>
      </w:r>
      <w:r>
        <w:rPr>
          <w:b w:val="0"/>
          <w:i w:val="0"/>
          <w:color w:val="212121"/>
          <w:sz w:val="20"/>
        </w:rPr>
        <w:t>Manual de Procedimientos del SIEC — procedimientos operativos por módulo.</w:t>
      </w:r>
    </w:p>
    <w:p>
      <w:pPr>
        <w:spacing w:after="40"/>
        <w:ind w:left="482" w:hanging="198"/>
        <w:jc w:val="both"/>
      </w:pPr>
      <w:r>
        <w:rPr>
          <w:b/>
          <w:i w:val="0"/>
          <w:color w:val="212121"/>
          <w:sz w:val="20"/>
        </w:rPr>
        <w:t xml:space="preserve">•  Plan de Contingencia </w:t>
      </w:r>
      <w:r>
        <w:rPr>
          <w:b w:val="0"/>
          <w:i w:val="0"/>
          <w:color w:val="212121"/>
          <w:sz w:val="20"/>
        </w:rPr>
        <w:t>del Sistema de Expediente Clínico Electrónico.</w:t>
      </w:r>
    </w:p>
    <w:p>
      <w:pPr>
        <w:spacing w:after="40"/>
        <w:ind w:left="482" w:hanging="198"/>
        <w:jc w:val="both"/>
      </w:pPr>
      <w:r>
        <w:rPr>
          <w:b/>
          <w:i w:val="0"/>
          <w:color w:val="212121"/>
          <w:sz w:val="20"/>
        </w:rPr>
        <w:t xml:space="preserve">•  Aviso de Privacidad Integral, </w:t>
      </w:r>
      <w:r>
        <w:rPr>
          <w:b w:val="0"/>
          <w:i w:val="0"/>
          <w:color w:val="212121"/>
          <w:sz w:val="20"/>
        </w:rPr>
        <w:t>conforme a la Ley Federal de Protección de Datos Personales en Posesión de los Particulares.</w:t>
      </w:r>
    </w:p>
    <w:p>
      <w:pPr>
        <w:spacing w:after="120"/>
        <w:ind w:left="482" w:hanging="198"/>
        <w:jc w:val="both"/>
      </w:pPr>
      <w:r>
        <w:rPr>
          <w:b/>
          <w:i w:val="0"/>
          <w:color w:val="212121"/>
          <w:sz w:val="20"/>
        </w:rPr>
        <w:t xml:space="preserve">•  Plan de Interoperabilidad </w:t>
      </w:r>
      <w:r>
        <w:rPr>
          <w:b w:val="0"/>
          <w:i w:val="0"/>
          <w:color w:val="212121"/>
          <w:sz w:val="20"/>
        </w:rPr>
        <w:t>del Expediente Clínico Electrónico — ruta hacia el reconocimiento como sistema certificado.</w:t>
      </w:r>
    </w:p>
    <w:p>
      <w:pPr>
        <w:keepNext/>
        <w:spacing w:before="320" w:after="120"/>
        <w:pBdr>
          <w:bottom w:val="single" w:sz="8" w:space="2" w:color="1F3B57"/>
        </w:pBdr>
      </w:pPr>
      <w:r>
        <w:rPr>
          <w:b/>
          <w:i w:val="0"/>
          <w:color w:val="1F3B57"/>
          <w:sz w:val="26"/>
        </w:rPr>
        <w:t>14. Brechas conocidas y correcciones respecto de la versión 1.0</w:t>
      </w:r>
    </w:p>
    <w:p>
      <w:pPr>
        <w:keepNext/>
        <w:spacing w:before="220" w:after="60"/>
      </w:pPr>
      <w:r>
        <w:rPr>
          <w:b/>
          <w:i w:val="0"/>
          <w:color w:val="1F3B57"/>
          <w:sz w:val="22"/>
        </w:rPr>
        <w:t>14.1  Correcciones a la versión anterior</w:t>
      </w:r>
    </w:p>
    <w:p>
      <w:pPr>
        <w:spacing w:after="100" w:line="276" w:lineRule="auto"/>
        <w:jc w:val="both"/>
      </w:pPr>
      <w:r>
        <w:rPr>
          <w:b w:val="0"/>
          <w:i w:val="0"/>
          <w:color w:val="212121"/>
          <w:sz w:val="20"/>
        </w:rPr>
        <w:t>Los siguientes puntos de la versión 1.0 no correspondían al comportamiento real del sistema y se corrigen en esta edición:</w:t>
      </w:r>
    </w:p>
    <w:tbl>
      <w:tblPr>
        <w:tblStyle w:val="TableGrid"/>
        <w:tblW w:type="auto" w:w="0"/>
        <w:jc w:val="center"/>
        <w:tblLayout w:type="fixed"/>
        <w:tblLook w:firstColumn="1" w:firstRow="1" w:lastColumn="0" w:lastRow="0" w:noHBand="0" w:noVBand="1" w:val="04A0"/>
        <w:tblLayout w:type="fixed"/>
      </w:tblPr>
      <w:tblGrid>
        <w:gridCol w:w="4536"/>
        <w:gridCol w:w="4536"/>
      </w:tblGrid>
      <w:tr>
        <w:trPr>
          <w:tblHeader w:val="true"/>
        </w:trPr>
        <w:tc>
          <w:tcPr>
            <w:tcW w:type="dxa" w:w="4535"/>
            <w:shd w:val="clear" w:color="auto" w:fill="1F3B57"/>
          </w:tcPr>
          <w:p>
            <w:pPr>
              <w:spacing w:before="20" w:after="20"/>
            </w:pPr>
            <w:r>
              <w:rPr>
                <w:b/>
                <w:i w:val="0"/>
                <w:color w:val="FFFFFF"/>
                <w:sz w:val="17"/>
              </w:rPr>
              <w:t>Decía la versión 1.0</w:t>
            </w:r>
          </w:p>
        </w:tc>
        <w:tc>
          <w:tcPr>
            <w:tcW w:type="dxa" w:w="4535"/>
            <w:shd w:val="clear" w:color="auto" w:fill="1F3B57"/>
          </w:tcPr>
          <w:p>
            <w:pPr>
              <w:spacing w:before="20" w:after="20"/>
            </w:pPr>
            <w:r>
              <w:rPr>
                <w:b/>
                <w:i w:val="0"/>
                <w:color w:val="FFFFFF"/>
                <w:sz w:val="17"/>
              </w:rPr>
              <w:t>Dice el sistema</w:t>
            </w:r>
          </w:p>
        </w:tc>
      </w:tr>
      <w:tr>
        <w:tc>
          <w:tcPr>
            <w:tcW w:type="dxa" w:w="4535"/>
          </w:tcPr>
          <w:p>
            <w:pPr>
              <w:spacing w:before="20" w:after="20"/>
            </w:pPr>
            <w:r>
              <w:rPr>
                <w:b w:val="0"/>
                <w:i w:val="0"/>
                <w:color w:val="212121"/>
                <w:sz w:val="17"/>
              </w:rPr>
              <w:t>El autoguardado de la nota ocurre cada 90 segundos.</w:t>
            </w:r>
          </w:p>
        </w:tc>
        <w:tc>
          <w:tcPr>
            <w:tcW w:type="dxa" w:w="4535"/>
          </w:tcPr>
          <w:p>
            <w:pPr>
              <w:spacing w:before="20" w:after="20"/>
            </w:pPr>
            <w:r>
              <w:rPr>
                <w:b w:val="0"/>
                <w:i w:val="0"/>
                <w:color w:val="212121"/>
                <w:sz w:val="17"/>
              </w:rPr>
              <w:t>Ocurre cada 30 segundos, con respaldo local adicional en el equipo.</w:t>
            </w:r>
          </w:p>
        </w:tc>
      </w:tr>
      <w:tr>
        <w:tc>
          <w:tcPr>
            <w:tcW w:type="dxa" w:w="4535"/>
          </w:tcPr>
          <w:p>
            <w:pPr>
              <w:spacing w:before="20" w:after="20"/>
            </w:pPr>
            <w:r>
              <w:rPr>
                <w:b w:val="0"/>
                <w:i w:val="0"/>
                <w:color w:val="212121"/>
                <w:sz w:val="17"/>
              </w:rPr>
              <w:t>El médico no puede ver expedientes de otros médicos.</w:t>
            </w:r>
          </w:p>
        </w:tc>
        <w:tc>
          <w:tcPr>
            <w:tcW w:type="dxa" w:w="4535"/>
          </w:tcPr>
          <w:p>
            <w:pPr>
              <w:spacing w:before="20" w:after="20"/>
            </w:pPr>
            <w:r>
              <w:rPr>
                <w:b w:val="0"/>
                <w:i w:val="0"/>
                <w:color w:val="212121"/>
                <w:sz w:val="17"/>
              </w:rPr>
              <w:t>El médico accede al padrón completo de su unidad. La separación de la información es por unidad, no por profesional.</w:t>
            </w:r>
          </w:p>
        </w:tc>
      </w:tr>
      <w:tr>
        <w:tc>
          <w:tcPr>
            <w:tcW w:type="dxa" w:w="4535"/>
          </w:tcPr>
          <w:p>
            <w:pPr>
              <w:spacing w:before="20" w:after="20"/>
            </w:pPr>
            <w:r>
              <w:rPr>
                <w:b w:val="0"/>
                <w:i w:val="0"/>
                <w:color w:val="212121"/>
                <w:sz w:val="17"/>
              </w:rPr>
              <w:t>El sistema cuenta con 14 módulos.</w:t>
            </w:r>
          </w:p>
        </w:tc>
        <w:tc>
          <w:tcPr>
            <w:tcW w:type="dxa" w:w="4535"/>
          </w:tcPr>
          <w:p>
            <w:pPr>
              <w:spacing w:before="20" w:after="20"/>
            </w:pPr>
            <w:r>
              <w:rPr>
                <w:b w:val="0"/>
                <w:i w:val="0"/>
                <w:color w:val="212121"/>
                <w:sz w:val="17"/>
              </w:rPr>
              <w:t>Cuenta con 28 módulos en operación.</w:t>
            </w:r>
          </w:p>
        </w:tc>
      </w:tr>
      <w:tr>
        <w:tc>
          <w:tcPr>
            <w:tcW w:type="dxa" w:w="4535"/>
          </w:tcPr>
          <w:p>
            <w:pPr>
              <w:spacing w:before="20" w:after="20"/>
            </w:pPr>
            <w:r>
              <w:rPr>
                <w:b w:val="0"/>
                <w:i w:val="0"/>
                <w:color w:val="212121"/>
                <w:sz w:val="17"/>
              </w:rPr>
              <w:t>La bitácora es inmutable por política de la base de datos.</w:t>
            </w:r>
          </w:p>
        </w:tc>
        <w:tc>
          <w:tcPr>
            <w:tcW w:type="dxa" w:w="4535"/>
          </w:tcPr>
          <w:p>
            <w:pPr>
              <w:spacing w:before="20" w:after="20"/>
            </w:pPr>
            <w:r>
              <w:rPr>
                <w:b w:val="0"/>
                <w:i w:val="0"/>
                <w:color w:val="212121"/>
                <w:sz w:val="17"/>
              </w:rPr>
              <w:t>El sistema no ofrece función alguna para editar o borrar la bitácora. La restricción a nivel de base de datos está pendiente de verificación — brecha B-09.</w:t>
            </w:r>
          </w:p>
        </w:tc>
      </w:tr>
      <w:tr>
        <w:tc>
          <w:tcPr>
            <w:tcW w:type="dxa" w:w="4535"/>
          </w:tcPr>
          <w:p>
            <w:pPr>
              <w:spacing w:before="20" w:after="20"/>
            </w:pPr>
            <w:r>
              <w:rPr>
                <w:b w:val="0"/>
                <w:i w:val="0"/>
                <w:color w:val="212121"/>
                <w:sz w:val="17"/>
              </w:rPr>
              <w:t>El sistema opera en una sola razón social.</w:t>
            </w:r>
          </w:p>
        </w:tc>
        <w:tc>
          <w:tcPr>
            <w:tcW w:type="dxa" w:w="4535"/>
          </w:tcPr>
          <w:p>
            <w:pPr>
              <w:spacing w:before="20" w:after="20"/>
            </w:pPr>
            <w:r>
              <w:rPr>
                <w:b w:val="0"/>
                <w:i w:val="0"/>
                <w:color w:val="212121"/>
                <w:sz w:val="17"/>
              </w:rPr>
              <w:t>Opera en tres unidades de atención, con padrones separados.</w:t>
            </w:r>
          </w:p>
        </w:tc>
      </w:tr>
    </w:tbl>
    <w:p>
      <w:pPr>
        <w:spacing w:after="100"/>
      </w:pPr>
    </w:p>
    <w:p>
      <w:pPr>
        <w:keepNext/>
        <w:spacing w:before="220" w:after="60"/>
      </w:pPr>
      <w:r>
        <w:rPr>
          <w:b/>
          <w:i w:val="0"/>
          <w:color w:val="1F3B57"/>
          <w:sz w:val="22"/>
        </w:rPr>
        <w:t>14.2  Brechas identificadas</w:t>
      </w:r>
    </w:p>
    <w:p>
      <w:pPr>
        <w:spacing w:after="100" w:line="276" w:lineRule="auto"/>
        <w:jc w:val="both"/>
      </w:pPr>
      <w:r>
        <w:rPr>
          <w:b w:val="0"/>
          <w:i w:val="0"/>
          <w:color w:val="212121"/>
          <w:sz w:val="20"/>
        </w:rPr>
        <w:t>Se declaran con transparencia los puntos en los que el sistema aún no satisface íntegramente la normatividad. Un manual que describiera controles inexistentes se convertiría en prueba en contra ante una verificación sanitaria. Estas brechas coinciden con las del Anexo A del documento QP-OP-PNO-013.</w:t>
      </w:r>
    </w:p>
    <w:tbl>
      <w:tblPr>
        <w:tblStyle w:val="TableGrid"/>
        <w:tblW w:type="auto" w:w="0"/>
        <w:jc w:val="center"/>
        <w:tblLayout w:type="fixed"/>
        <w:tblLook w:firstColumn="1" w:firstRow="1" w:lastColumn="0" w:lastRow="0" w:noHBand="0" w:noVBand="1" w:val="04A0"/>
        <w:tblLayout w:type="fixed"/>
      </w:tblPr>
      <w:tblGrid>
        <w:gridCol w:w="680"/>
        <w:gridCol w:w="4876"/>
        <w:gridCol w:w="1927"/>
        <w:gridCol w:w="1587"/>
      </w:tblGrid>
      <w:tr>
        <w:trPr>
          <w:tblHeader w:val="true"/>
        </w:trPr>
        <w:tc>
          <w:tcPr>
            <w:tcW w:type="dxa" w:w="680"/>
            <w:shd w:val="clear" w:color="auto" w:fill="1F3B57"/>
          </w:tcPr>
          <w:p>
            <w:pPr>
              <w:spacing w:before="20" w:after="20"/>
            </w:pPr>
            <w:r>
              <w:rPr>
                <w:b/>
                <w:i w:val="0"/>
                <w:color w:val="FFFFFF"/>
                <w:sz w:val="17"/>
              </w:rPr>
              <w:t>Clave</w:t>
            </w:r>
          </w:p>
        </w:tc>
        <w:tc>
          <w:tcPr>
            <w:tcW w:type="dxa" w:w="4876"/>
            <w:shd w:val="clear" w:color="auto" w:fill="1F3B57"/>
          </w:tcPr>
          <w:p>
            <w:pPr>
              <w:spacing w:before="20" w:after="20"/>
            </w:pPr>
            <w:r>
              <w:rPr>
                <w:b/>
                <w:i w:val="0"/>
                <w:color w:val="FFFFFF"/>
                <w:sz w:val="17"/>
              </w:rPr>
              <w:t>Brecha</w:t>
            </w:r>
          </w:p>
        </w:tc>
        <w:tc>
          <w:tcPr>
            <w:tcW w:type="dxa" w:w="1928"/>
            <w:shd w:val="clear" w:color="auto" w:fill="1F3B57"/>
          </w:tcPr>
          <w:p>
            <w:pPr>
              <w:spacing w:before="20" w:after="20"/>
            </w:pPr>
            <w:r>
              <w:rPr>
                <w:b/>
                <w:i w:val="0"/>
                <w:color w:val="FFFFFF"/>
                <w:sz w:val="17"/>
              </w:rPr>
              <w:t>Responsable</w:t>
            </w:r>
          </w:p>
        </w:tc>
        <w:tc>
          <w:tcPr>
            <w:tcW w:type="dxa" w:w="1587"/>
            <w:shd w:val="clear" w:color="auto" w:fill="1F3B57"/>
          </w:tcPr>
          <w:p>
            <w:pPr>
              <w:spacing w:before="20" w:after="20"/>
            </w:pPr>
            <w:r>
              <w:rPr>
                <w:b/>
                <w:i w:val="0"/>
                <w:color w:val="FFFFFF"/>
                <w:sz w:val="17"/>
              </w:rPr>
              <w:t>Fecha objetivo</w:t>
            </w:r>
          </w:p>
        </w:tc>
      </w:tr>
      <w:tr>
        <w:tc>
          <w:tcPr>
            <w:tcW w:type="dxa" w:w="680"/>
          </w:tcPr>
          <w:p>
            <w:pPr>
              <w:spacing w:before="20" w:after="20"/>
            </w:pPr>
            <w:r>
              <w:rPr>
                <w:b w:val="0"/>
                <w:i w:val="0"/>
                <w:color w:val="212121"/>
                <w:sz w:val="17"/>
              </w:rPr>
              <w:t>B-01</w:t>
            </w:r>
          </w:p>
        </w:tc>
        <w:tc>
          <w:tcPr>
            <w:tcW w:type="dxa" w:w="4876"/>
          </w:tcPr>
          <w:p>
            <w:pPr>
              <w:spacing w:before="20" w:after="20"/>
            </w:pPr>
            <w:r>
              <w:rPr>
                <w:b w:val="0"/>
                <w:i w:val="0"/>
                <w:color w:val="212121"/>
                <w:sz w:val="17"/>
              </w:rPr>
              <w:t>El cierre de sesión por inactividad está desactivado en QP Surgery.</w:t>
            </w:r>
          </w:p>
        </w:tc>
        <w:tc>
          <w:tcPr>
            <w:tcW w:type="dxa" w:w="1928"/>
          </w:tcPr>
          <w:p>
            <w:pPr>
              <w:spacing w:before="20" w:after="20"/>
            </w:pPr>
            <w:r>
              <w:rPr>
                <w:b w:val="0"/>
                <w:i w:val="0"/>
                <w:color w:val="212121"/>
                <w:sz w:val="17"/>
              </w:rPr>
              <w:t>Desarrollo</w:t>
            </w:r>
          </w:p>
        </w:tc>
        <w:tc>
          <w:tcPr>
            <w:tcW w:type="dxa" w:w="1587"/>
          </w:tcPr>
          <w:p>
            <w:pPr>
              <w:spacing w:before="20" w:after="20"/>
            </w:pPr>
            <w:r>
              <w:rPr>
                <w:b w:val="0"/>
                <w:i w:val="0"/>
                <w:color w:val="212121"/>
                <w:sz w:val="17"/>
              </w:rPr>
              <w:t>Septiembre 2026</w:t>
            </w:r>
          </w:p>
        </w:tc>
      </w:tr>
      <w:tr>
        <w:tc>
          <w:tcPr>
            <w:tcW w:type="dxa" w:w="680"/>
          </w:tcPr>
          <w:p>
            <w:pPr>
              <w:spacing w:before="20" w:after="20"/>
            </w:pPr>
            <w:r>
              <w:rPr>
                <w:b w:val="0"/>
                <w:i w:val="0"/>
                <w:color w:val="212121"/>
                <w:sz w:val="17"/>
              </w:rPr>
              <w:t>B-02</w:t>
            </w:r>
          </w:p>
        </w:tc>
        <w:tc>
          <w:tcPr>
            <w:tcW w:type="dxa" w:w="4876"/>
          </w:tcPr>
          <w:p>
            <w:pPr>
              <w:spacing w:before="20" w:after="20"/>
            </w:pPr>
            <w:r>
              <w:rPr>
                <w:b w:val="0"/>
                <w:i w:val="0"/>
                <w:color w:val="212121"/>
                <w:sz w:val="17"/>
              </w:rPr>
              <w:t>La bitácora no registra toda consulta de información clínica, solo las escrituras y la apertura de expediente.</w:t>
            </w:r>
          </w:p>
        </w:tc>
        <w:tc>
          <w:tcPr>
            <w:tcW w:type="dxa" w:w="1928"/>
          </w:tcPr>
          <w:p>
            <w:pPr>
              <w:spacing w:before="20" w:after="20"/>
            </w:pPr>
            <w:r>
              <w:rPr>
                <w:b w:val="0"/>
                <w:i w:val="0"/>
                <w:color w:val="212121"/>
                <w:sz w:val="17"/>
              </w:rPr>
              <w:t>Desarrollo</w:t>
            </w:r>
          </w:p>
        </w:tc>
        <w:tc>
          <w:tcPr>
            <w:tcW w:type="dxa" w:w="1587"/>
          </w:tcPr>
          <w:p>
            <w:pPr>
              <w:spacing w:before="20" w:after="20"/>
            </w:pPr>
            <w:r>
              <w:rPr>
                <w:b w:val="0"/>
                <w:i w:val="0"/>
                <w:color w:val="212121"/>
                <w:sz w:val="17"/>
              </w:rPr>
              <w:t>Octubre 2026</w:t>
            </w:r>
          </w:p>
        </w:tc>
      </w:tr>
      <w:tr>
        <w:tc>
          <w:tcPr>
            <w:tcW w:type="dxa" w:w="680"/>
          </w:tcPr>
          <w:p>
            <w:pPr>
              <w:spacing w:before="20" w:after="20"/>
            </w:pPr>
            <w:r>
              <w:rPr>
                <w:b w:val="0"/>
                <w:i w:val="0"/>
                <w:color w:val="212121"/>
                <w:sz w:val="17"/>
              </w:rPr>
              <w:t>B-03</w:t>
            </w:r>
          </w:p>
        </w:tc>
        <w:tc>
          <w:tcPr>
            <w:tcW w:type="dxa" w:w="4876"/>
          </w:tcPr>
          <w:p>
            <w:pPr>
              <w:spacing w:before="20" w:after="20"/>
            </w:pPr>
            <w:r>
              <w:rPr>
                <w:b w:val="0"/>
                <w:i w:val="0"/>
                <w:color w:val="212121"/>
                <w:sz w:val="17"/>
              </w:rPr>
              <w:t>El sistema no genera documentos clínicos en el estándar de interoperabilidad exigido (HL7 CDA R2).</w:t>
            </w:r>
          </w:p>
        </w:tc>
        <w:tc>
          <w:tcPr>
            <w:tcW w:type="dxa" w:w="1928"/>
          </w:tcPr>
          <w:p>
            <w:pPr>
              <w:spacing w:before="20" w:after="20"/>
            </w:pPr>
            <w:r>
              <w:rPr>
                <w:b w:val="0"/>
                <w:i w:val="0"/>
                <w:color w:val="212121"/>
                <w:sz w:val="17"/>
              </w:rPr>
              <w:t>Dirección General y Desarrollo</w:t>
            </w:r>
          </w:p>
        </w:tc>
        <w:tc>
          <w:tcPr>
            <w:tcW w:type="dxa" w:w="1587"/>
          </w:tcPr>
          <w:p>
            <w:pPr>
              <w:spacing w:before="20" w:after="20"/>
            </w:pPr>
            <w:r>
              <w:rPr>
                <w:b w:val="0"/>
                <w:i w:val="0"/>
                <w:color w:val="212121"/>
                <w:sz w:val="17"/>
              </w:rPr>
              <w:t>Según calendario de la DGIS</w:t>
            </w:r>
          </w:p>
        </w:tc>
      </w:tr>
      <w:tr>
        <w:tc>
          <w:tcPr>
            <w:tcW w:type="dxa" w:w="680"/>
          </w:tcPr>
          <w:p>
            <w:pPr>
              <w:spacing w:before="20" w:after="20"/>
            </w:pPr>
            <w:r>
              <w:rPr>
                <w:b w:val="0"/>
                <w:i w:val="0"/>
                <w:color w:val="212121"/>
                <w:sz w:val="17"/>
              </w:rPr>
              <w:t>B-04</w:t>
            </w:r>
          </w:p>
        </w:tc>
        <w:tc>
          <w:tcPr>
            <w:tcW w:type="dxa" w:w="4876"/>
          </w:tcPr>
          <w:p>
            <w:pPr>
              <w:spacing w:before="20" w:after="20"/>
            </w:pPr>
            <w:r>
              <w:rPr>
                <w:b w:val="0"/>
                <w:i w:val="0"/>
                <w:color w:val="212121"/>
                <w:sz w:val="17"/>
              </w:rPr>
              <w:t>No existe constancia documental de la capacitación del personal.</w:t>
            </w:r>
          </w:p>
        </w:tc>
        <w:tc>
          <w:tcPr>
            <w:tcW w:type="dxa" w:w="1928"/>
          </w:tcPr>
          <w:p>
            <w:pPr>
              <w:spacing w:before="20" w:after="20"/>
            </w:pPr>
            <w:r>
              <w:rPr>
                <w:b w:val="0"/>
                <w:i w:val="0"/>
                <w:color w:val="212121"/>
                <w:sz w:val="17"/>
              </w:rPr>
              <w:t>Responsable Sanitario</w:t>
            </w:r>
          </w:p>
        </w:tc>
        <w:tc>
          <w:tcPr>
            <w:tcW w:type="dxa" w:w="1587"/>
          </w:tcPr>
          <w:p>
            <w:pPr>
              <w:spacing w:before="20" w:after="20"/>
            </w:pPr>
            <w:r>
              <w:rPr>
                <w:b w:val="0"/>
                <w:i w:val="0"/>
                <w:color w:val="212121"/>
                <w:sz w:val="17"/>
              </w:rPr>
              <w:t>Septiembre 2026</w:t>
            </w:r>
          </w:p>
        </w:tc>
      </w:tr>
      <w:tr>
        <w:tc>
          <w:tcPr>
            <w:tcW w:type="dxa" w:w="680"/>
          </w:tcPr>
          <w:p>
            <w:pPr>
              <w:spacing w:before="20" w:after="20"/>
            </w:pPr>
            <w:r>
              <w:rPr>
                <w:b w:val="0"/>
                <w:i w:val="0"/>
                <w:color w:val="212121"/>
                <w:sz w:val="17"/>
              </w:rPr>
              <w:t>B-05</w:t>
            </w:r>
          </w:p>
        </w:tc>
        <w:tc>
          <w:tcPr>
            <w:tcW w:type="dxa" w:w="4876"/>
          </w:tcPr>
          <w:p>
            <w:pPr>
              <w:spacing w:before="20" w:after="20"/>
            </w:pPr>
            <w:r>
              <w:rPr>
                <w:b w:val="0"/>
                <w:i w:val="0"/>
                <w:color w:val="212121"/>
                <w:sz w:val="17"/>
              </w:rPr>
              <w:t>La verificación mensual de respaldos carece de registro formal.</w:t>
            </w:r>
          </w:p>
        </w:tc>
        <w:tc>
          <w:tcPr>
            <w:tcW w:type="dxa" w:w="1928"/>
          </w:tcPr>
          <w:p>
            <w:pPr>
              <w:spacing w:before="20" w:after="20"/>
            </w:pPr>
            <w:r>
              <w:rPr>
                <w:b w:val="0"/>
                <w:i w:val="0"/>
                <w:color w:val="212121"/>
                <w:sz w:val="17"/>
              </w:rPr>
              <w:t>Administrador</w:t>
            </w:r>
          </w:p>
        </w:tc>
        <w:tc>
          <w:tcPr>
            <w:tcW w:type="dxa" w:w="1587"/>
          </w:tcPr>
          <w:p>
            <w:pPr>
              <w:spacing w:before="20" w:after="20"/>
            </w:pPr>
            <w:r>
              <w:rPr>
                <w:b w:val="0"/>
                <w:i w:val="0"/>
                <w:color w:val="212121"/>
                <w:sz w:val="17"/>
              </w:rPr>
              <w:t>Inmediato</w:t>
            </w:r>
          </w:p>
        </w:tc>
      </w:tr>
      <w:tr>
        <w:tc>
          <w:tcPr>
            <w:tcW w:type="dxa" w:w="680"/>
          </w:tcPr>
          <w:p>
            <w:pPr>
              <w:spacing w:before="20" w:after="20"/>
            </w:pPr>
            <w:r>
              <w:rPr>
                <w:b w:val="0"/>
                <w:i w:val="0"/>
                <w:color w:val="212121"/>
                <w:sz w:val="17"/>
              </w:rPr>
              <w:t>B-06</w:t>
            </w:r>
          </w:p>
        </w:tc>
        <w:tc>
          <w:tcPr>
            <w:tcW w:type="dxa" w:w="4876"/>
          </w:tcPr>
          <w:p>
            <w:pPr>
              <w:spacing w:before="20" w:after="20"/>
            </w:pPr>
            <w:r>
              <w:rPr>
                <w:b w:val="0"/>
                <w:i w:val="0"/>
                <w:color w:val="212121"/>
                <w:sz w:val="17"/>
              </w:rPr>
              <w:t>El sistema no obliga al cambio periódico de contraseña ni impide su reutilización.</w:t>
            </w:r>
          </w:p>
        </w:tc>
        <w:tc>
          <w:tcPr>
            <w:tcW w:type="dxa" w:w="1928"/>
          </w:tcPr>
          <w:p>
            <w:pPr>
              <w:spacing w:before="20" w:after="20"/>
            </w:pPr>
            <w:r>
              <w:rPr>
                <w:b w:val="0"/>
                <w:i w:val="0"/>
                <w:color w:val="212121"/>
                <w:sz w:val="17"/>
              </w:rPr>
              <w:t>Desarrollo</w:t>
            </w:r>
          </w:p>
        </w:tc>
        <w:tc>
          <w:tcPr>
            <w:tcW w:type="dxa" w:w="1587"/>
          </w:tcPr>
          <w:p>
            <w:pPr>
              <w:spacing w:before="20" w:after="20"/>
            </w:pPr>
            <w:r>
              <w:rPr>
                <w:b w:val="0"/>
                <w:i w:val="0"/>
                <w:color w:val="212121"/>
                <w:sz w:val="17"/>
              </w:rPr>
              <w:t>Noviembre 2026</w:t>
            </w:r>
          </w:p>
        </w:tc>
      </w:tr>
      <w:tr>
        <w:tc>
          <w:tcPr>
            <w:tcW w:type="dxa" w:w="680"/>
          </w:tcPr>
          <w:p>
            <w:pPr>
              <w:spacing w:before="20" w:after="20"/>
            </w:pPr>
            <w:r>
              <w:rPr>
                <w:b w:val="0"/>
                <w:i w:val="0"/>
                <w:color w:val="212121"/>
                <w:sz w:val="17"/>
              </w:rPr>
              <w:t>B-07</w:t>
            </w:r>
          </w:p>
        </w:tc>
        <w:tc>
          <w:tcPr>
            <w:tcW w:type="dxa" w:w="4876"/>
          </w:tcPr>
          <w:p>
            <w:pPr>
              <w:spacing w:before="20" w:after="20"/>
            </w:pPr>
            <w:r>
              <w:rPr>
                <w:b w:val="0"/>
                <w:i w:val="0"/>
                <w:color w:val="212121"/>
                <w:sz w:val="17"/>
              </w:rPr>
              <w:t>La unidad amfa opera sin razón social propia; su aviso de privacidad y sus consentimientos siguen nombrando a QP Clinic, S.C.</w:t>
            </w:r>
          </w:p>
        </w:tc>
        <w:tc>
          <w:tcPr>
            <w:tcW w:type="dxa" w:w="1928"/>
          </w:tcPr>
          <w:p>
            <w:pPr>
              <w:spacing w:before="20" w:after="20"/>
            </w:pPr>
            <w:r>
              <w:rPr>
                <w:b w:val="0"/>
                <w:i w:val="0"/>
                <w:color w:val="212121"/>
                <w:sz w:val="17"/>
              </w:rPr>
              <w:t>Dirección General y área jurídica</w:t>
            </w:r>
          </w:p>
        </w:tc>
        <w:tc>
          <w:tcPr>
            <w:tcW w:type="dxa" w:w="1587"/>
          </w:tcPr>
          <w:p>
            <w:pPr>
              <w:spacing w:before="20" w:after="20"/>
            </w:pPr>
            <w:r>
              <w:rPr>
                <w:b w:val="0"/>
                <w:i w:val="0"/>
                <w:color w:val="212121"/>
                <w:sz w:val="17"/>
              </w:rPr>
              <w:t>Septiembre 2026</w:t>
            </w:r>
          </w:p>
        </w:tc>
      </w:tr>
      <w:tr>
        <w:tc>
          <w:tcPr>
            <w:tcW w:type="dxa" w:w="680"/>
          </w:tcPr>
          <w:p>
            <w:pPr>
              <w:spacing w:before="20" w:after="20"/>
            </w:pPr>
            <w:r>
              <w:rPr>
                <w:b w:val="0"/>
                <w:i w:val="0"/>
                <w:color w:val="212121"/>
                <w:sz w:val="17"/>
              </w:rPr>
              <w:t>B-08</w:t>
            </w:r>
          </w:p>
        </w:tc>
        <w:tc>
          <w:tcPr>
            <w:tcW w:type="dxa" w:w="4876"/>
          </w:tcPr>
          <w:p>
            <w:pPr>
              <w:spacing w:before="20" w:after="20"/>
            </w:pPr>
            <w:r>
              <w:rPr>
                <w:b w:val="0"/>
                <w:i w:val="0"/>
                <w:color w:val="212121"/>
                <w:sz w:val="17"/>
              </w:rPr>
              <w:t>No existe procedimiento documentado de conservación, bloqueo y supresión de datos.</w:t>
            </w:r>
          </w:p>
        </w:tc>
        <w:tc>
          <w:tcPr>
            <w:tcW w:type="dxa" w:w="1928"/>
          </w:tcPr>
          <w:p>
            <w:pPr>
              <w:spacing w:before="20" w:after="20"/>
            </w:pPr>
            <w:r>
              <w:rPr>
                <w:b w:val="0"/>
                <w:i w:val="0"/>
                <w:color w:val="212121"/>
                <w:sz w:val="17"/>
              </w:rPr>
              <w:t>Responsable Sanitario</w:t>
            </w:r>
          </w:p>
        </w:tc>
        <w:tc>
          <w:tcPr>
            <w:tcW w:type="dxa" w:w="1587"/>
          </w:tcPr>
          <w:p>
            <w:pPr>
              <w:spacing w:before="20" w:after="20"/>
            </w:pPr>
            <w:r>
              <w:rPr>
                <w:b w:val="0"/>
                <w:i w:val="0"/>
                <w:color w:val="212121"/>
                <w:sz w:val="17"/>
              </w:rPr>
              <w:t>Diciembre 2026</w:t>
            </w:r>
          </w:p>
        </w:tc>
      </w:tr>
      <w:tr>
        <w:tc>
          <w:tcPr>
            <w:tcW w:type="dxa" w:w="680"/>
          </w:tcPr>
          <w:p>
            <w:pPr>
              <w:spacing w:before="20" w:after="20"/>
            </w:pPr>
            <w:r>
              <w:rPr>
                <w:b w:val="0"/>
                <w:i w:val="0"/>
                <w:color w:val="212121"/>
                <w:sz w:val="17"/>
              </w:rPr>
              <w:t>B-09</w:t>
            </w:r>
          </w:p>
        </w:tc>
        <w:tc>
          <w:tcPr>
            <w:tcW w:type="dxa" w:w="4876"/>
          </w:tcPr>
          <w:p>
            <w:pPr>
              <w:spacing w:before="20" w:after="20"/>
            </w:pPr>
            <w:r>
              <w:rPr>
                <w:b w:val="0"/>
                <w:i w:val="0"/>
                <w:color w:val="212121"/>
                <w:sz w:val="17"/>
              </w:rPr>
              <w:t>Falta verificar que la base de datos impida técnicamente la modificación de la bitácora de acceso, restringiéndola a inserción.</w:t>
            </w:r>
          </w:p>
        </w:tc>
        <w:tc>
          <w:tcPr>
            <w:tcW w:type="dxa" w:w="1928"/>
          </w:tcPr>
          <w:p>
            <w:pPr>
              <w:spacing w:before="20" w:after="20"/>
            </w:pPr>
            <w:r>
              <w:rPr>
                <w:b w:val="0"/>
                <w:i w:val="0"/>
                <w:color w:val="212121"/>
                <w:sz w:val="17"/>
              </w:rPr>
              <w:t>Desarrollo</w:t>
            </w:r>
          </w:p>
        </w:tc>
        <w:tc>
          <w:tcPr>
            <w:tcW w:type="dxa" w:w="1587"/>
          </w:tcPr>
          <w:p>
            <w:pPr>
              <w:spacing w:before="20" w:after="20"/>
            </w:pPr>
            <w:r>
              <w:rPr>
                <w:b w:val="0"/>
                <w:i w:val="0"/>
                <w:color w:val="212121"/>
                <w:sz w:val="17"/>
              </w:rPr>
              <w:t>Septiembre 2026</w:t>
            </w:r>
          </w:p>
        </w:tc>
      </w:tr>
    </w:tbl>
    <w:p>
      <w:pPr>
        <w:spacing w:after="100"/>
      </w:pPr>
    </w:p>
    <w:p>
      <w:pPr>
        <w:keepNext/>
        <w:spacing w:before="320" w:after="120"/>
        <w:pBdr>
          <w:bottom w:val="single" w:sz="8" w:space="2" w:color="1F3B57"/>
        </w:pBdr>
      </w:pPr>
      <w:r>
        <w:rPr>
          <w:b/>
          <w:i w:val="0"/>
          <w:color w:val="1F3B57"/>
          <w:sz w:val="26"/>
        </w:rPr>
        <w:t>15. Revisión y actualización</w:t>
      </w:r>
    </w:p>
    <w:p>
      <w:pPr>
        <w:spacing w:after="100" w:line="276" w:lineRule="auto"/>
        <w:jc w:val="both"/>
      </w:pPr>
      <w:r>
        <w:rPr>
          <w:b w:val="0"/>
          <w:i w:val="0"/>
          <w:color w:val="212121"/>
          <w:sz w:val="20"/>
        </w:rPr>
        <w:t>Este manual debe revisarse y actualizarse al menos una vez al año, o antes si ocurre un cambio significativo en el sistema, en la normatividad aplicable o en los procedimientos internos. Toda actualización incrementa el número de versión y se hace constar en la tabla siguiente.</w:t>
      </w:r>
    </w:p>
    <w:tbl>
      <w:tblPr>
        <w:tblStyle w:val="TableGrid"/>
        <w:tblW w:type="auto" w:w="0"/>
        <w:jc w:val="center"/>
        <w:tblLayout w:type="fixed"/>
        <w:tblLook w:firstColumn="1" w:firstRow="1" w:lastColumn="0" w:lastRow="0" w:noHBand="0" w:noVBand="1" w:val="04A0"/>
        <w:tblLayout w:type="fixed"/>
      </w:tblPr>
      <w:tblGrid>
        <w:gridCol w:w="907"/>
        <w:gridCol w:w="1247"/>
        <w:gridCol w:w="5329"/>
        <w:gridCol w:w="1587"/>
      </w:tblGrid>
      <w:tr>
        <w:trPr>
          <w:tblHeader w:val="true"/>
        </w:trPr>
        <w:tc>
          <w:tcPr>
            <w:tcW w:type="dxa" w:w="907"/>
            <w:shd w:val="clear" w:color="auto" w:fill="1F3B57"/>
          </w:tcPr>
          <w:p>
            <w:pPr>
              <w:spacing w:before="20" w:after="20"/>
            </w:pPr>
            <w:r>
              <w:rPr>
                <w:b/>
                <w:i w:val="0"/>
                <w:color w:val="FFFFFF"/>
                <w:sz w:val="17"/>
              </w:rPr>
              <w:t>Versión</w:t>
            </w:r>
          </w:p>
        </w:tc>
        <w:tc>
          <w:tcPr>
            <w:tcW w:type="dxa" w:w="1247"/>
            <w:shd w:val="clear" w:color="auto" w:fill="1F3B57"/>
          </w:tcPr>
          <w:p>
            <w:pPr>
              <w:spacing w:before="20" w:after="20"/>
            </w:pPr>
            <w:r>
              <w:rPr>
                <w:b/>
                <w:i w:val="0"/>
                <w:color w:val="FFFFFF"/>
                <w:sz w:val="17"/>
              </w:rPr>
              <w:t>Fecha</w:t>
            </w:r>
          </w:p>
        </w:tc>
        <w:tc>
          <w:tcPr>
            <w:tcW w:type="dxa" w:w="5329"/>
            <w:shd w:val="clear" w:color="auto" w:fill="1F3B57"/>
          </w:tcPr>
          <w:p>
            <w:pPr>
              <w:spacing w:before="20" w:after="20"/>
            </w:pPr>
            <w:r>
              <w:rPr>
                <w:b/>
                <w:i w:val="0"/>
                <w:color w:val="FFFFFF"/>
                <w:sz w:val="17"/>
              </w:rPr>
              <w:t>Descripción del cambio</w:t>
            </w:r>
          </w:p>
        </w:tc>
        <w:tc>
          <w:tcPr>
            <w:tcW w:type="dxa" w:w="1587"/>
            <w:shd w:val="clear" w:color="auto" w:fill="1F3B57"/>
          </w:tcPr>
          <w:p>
            <w:pPr>
              <w:spacing w:before="20" w:after="20"/>
            </w:pPr>
            <w:r>
              <w:rPr>
                <w:b/>
                <w:i w:val="0"/>
                <w:color w:val="FFFFFF"/>
                <w:sz w:val="17"/>
              </w:rPr>
              <w:t>Autorizó</w:t>
            </w:r>
          </w:p>
        </w:tc>
      </w:tr>
      <w:tr>
        <w:tc>
          <w:tcPr>
            <w:tcW w:type="dxa" w:w="907"/>
          </w:tcPr>
          <w:p>
            <w:pPr>
              <w:spacing w:before="20" w:after="20"/>
            </w:pPr>
            <w:r>
              <w:rPr>
                <w:b w:val="0"/>
                <w:i w:val="0"/>
                <w:color w:val="212121"/>
                <w:sz w:val="17"/>
              </w:rPr>
              <w:t>1.0</w:t>
            </w:r>
          </w:p>
        </w:tc>
        <w:tc>
          <w:tcPr>
            <w:tcW w:type="dxa" w:w="1247"/>
          </w:tcPr>
          <w:p>
            <w:pPr>
              <w:spacing w:before="20" w:after="20"/>
            </w:pPr>
            <w:r>
              <w:rPr>
                <w:b w:val="0"/>
                <w:i w:val="0"/>
                <w:color w:val="212121"/>
                <w:sz w:val="17"/>
              </w:rPr>
              <w:t>Mayo 2026</w:t>
            </w:r>
          </w:p>
        </w:tc>
        <w:tc>
          <w:tcPr>
            <w:tcW w:type="dxa" w:w="5329"/>
          </w:tcPr>
          <w:p>
            <w:pPr>
              <w:spacing w:before="20" w:after="20"/>
            </w:pPr>
            <w:r>
              <w:rPr>
                <w:b w:val="0"/>
                <w:i w:val="0"/>
                <w:color w:val="212121"/>
                <w:sz w:val="17"/>
              </w:rPr>
              <w:t>Emisión inicial.</w:t>
            </w:r>
          </w:p>
        </w:tc>
        <w:tc>
          <w:tcPr>
            <w:tcW w:type="dxa" w:w="1587"/>
          </w:tcPr>
          <w:p>
            <w:pPr>
              <w:spacing w:before="20" w:after="20"/>
            </w:pPr>
            <w:r>
              <w:rPr>
                <w:b w:val="0"/>
                <w:i w:val="0"/>
                <w:color w:val="212121"/>
                <w:sz w:val="17"/>
              </w:rPr>
              <w:t>Dr. José Alan Polanco Fierro</w:t>
            </w:r>
          </w:p>
        </w:tc>
      </w:tr>
      <w:tr>
        <w:tc>
          <w:tcPr>
            <w:tcW w:type="dxa" w:w="907"/>
          </w:tcPr>
          <w:p>
            <w:pPr>
              <w:spacing w:before="20" w:after="20"/>
            </w:pPr>
            <w:r>
              <w:rPr>
                <w:b w:val="0"/>
                <w:i w:val="0"/>
                <w:color w:val="212121"/>
                <w:sz w:val="17"/>
              </w:rPr>
              <w:t>2.0</w:t>
            </w:r>
          </w:p>
        </w:tc>
        <w:tc>
          <w:tcPr>
            <w:tcW w:type="dxa" w:w="1247"/>
          </w:tcPr>
          <w:p>
            <w:pPr>
              <w:spacing w:before="20" w:after="20"/>
            </w:pPr>
            <w:r>
              <w:rPr>
                <w:b w:val="0"/>
                <w:i w:val="0"/>
                <w:color w:val="212121"/>
                <w:sz w:val="17"/>
              </w:rPr>
              <w:t>Agosto 2026</w:t>
            </w:r>
          </w:p>
        </w:tc>
        <w:tc>
          <w:tcPr>
            <w:tcW w:type="dxa" w:w="5329"/>
          </w:tcPr>
          <w:p>
            <w:pPr>
              <w:spacing w:before="20" w:after="20"/>
            </w:pPr>
            <w:r>
              <w:rPr>
                <w:b w:val="0"/>
                <w:i w:val="0"/>
                <w:color w:val="212121"/>
                <w:sz w:val="17"/>
              </w:rPr>
              <w:t>Catálogo ampliado de 14 a 28 módulos. Incorporación de la unidad amfa Nutrición Especializada y de la regla de aislamiento entre unidades. Corrección de cinco descripciones que no correspondían al sistema real. Adición del apartado de brechas conocidas y de la referencia cruzada con QP-OP-PNO-013.</w:t>
            </w:r>
          </w:p>
        </w:tc>
        <w:tc>
          <w:tcPr>
            <w:tcW w:type="dxa" w:w="1587"/>
          </w:tcPr>
          <w:p>
            <w:pPr>
              <w:spacing w:before="20" w:after="20"/>
            </w:pPr>
            <w:r>
              <w:rPr>
                <w:b w:val="0"/>
                <w:i w:val="0"/>
                <w:color w:val="212121"/>
                <w:sz w:val="17"/>
              </w:rPr>
              <w:t>Dr. José Alan Polanco Fierro</w:t>
            </w:r>
          </w:p>
        </w:tc>
      </w:tr>
      <w:tr>
        <w:tc>
          <w:tcPr>
            <w:tcW w:type="dxa" w:w="907"/>
          </w:tcPr>
          <w:p>
            <w:pPr>
              <w:spacing w:before="20" w:after="20"/>
            </w:pPr>
            <w:r>
              <w:rPr>
                <w:b w:val="0"/>
                <w:i w:val="0"/>
                <w:color w:val="212121"/>
                <w:sz w:val="17"/>
              </w:rPr>
            </w:r>
          </w:p>
        </w:tc>
        <w:tc>
          <w:tcPr>
            <w:tcW w:type="dxa" w:w="1247"/>
          </w:tcPr>
          <w:p>
            <w:pPr>
              <w:spacing w:before="20" w:after="20"/>
            </w:pPr>
            <w:r>
              <w:rPr>
                <w:b w:val="0"/>
                <w:i w:val="0"/>
                <w:color w:val="212121"/>
                <w:sz w:val="17"/>
              </w:rPr>
            </w:r>
          </w:p>
        </w:tc>
        <w:tc>
          <w:tcPr>
            <w:tcW w:type="dxa" w:w="5329"/>
          </w:tcPr>
          <w:p>
            <w:pPr>
              <w:spacing w:before="20" w:after="20"/>
            </w:pPr>
            <w:r>
              <w:rPr>
                <w:b w:val="0"/>
                <w:i w:val="0"/>
                <w:color w:val="212121"/>
                <w:sz w:val="17"/>
              </w:rPr>
            </w:r>
          </w:p>
        </w:tc>
        <w:tc>
          <w:tcPr>
            <w:tcW w:type="dxa" w:w="1587"/>
          </w:tcPr>
          <w:p>
            <w:pPr>
              <w:spacing w:before="20" w:after="20"/>
            </w:pPr>
            <w:r>
              <w:rPr>
                <w:b w:val="0"/>
                <w:i w:val="0"/>
                <w:color w:val="212121"/>
                <w:sz w:val="17"/>
              </w:rPr>
            </w:r>
          </w:p>
        </w:tc>
      </w:tr>
    </w:tbl>
    <w:p>
      <w:pPr>
        <w:spacing w:after="100"/>
      </w:pPr>
    </w:p>
    <w:p/>
    <w:tbl>
      <w:tblPr>
        <w:tblStyle w:val="TableGrid"/>
        <w:tblW w:type="auto" w:w="0"/>
        <w:jc w:val="center"/>
        <w:tblLayout w:type="fixed"/>
        <w:tblLook w:firstColumn="1" w:firstRow="1" w:lastColumn="0" w:lastRow="0" w:noHBand="0" w:noVBand="1" w:val="04A0"/>
        <w:tblLayout w:type="fixed"/>
      </w:tblPr>
      <w:tblGrid>
        <w:gridCol w:w="3005"/>
        <w:gridCol w:w="3061"/>
        <w:gridCol w:w="3005"/>
      </w:tblGrid>
      <w:tr>
        <w:trPr>
          <w:tblHeader w:val="true"/>
        </w:trPr>
        <w:tc>
          <w:tcPr>
            <w:tcW w:type="dxa" w:w="3005"/>
            <w:shd w:val="clear" w:color="auto" w:fill="1F3B57"/>
          </w:tcPr>
          <w:p>
            <w:pPr>
              <w:spacing w:before="20" w:after="20"/>
            </w:pPr>
            <w:r>
              <w:rPr>
                <w:b/>
                <w:i w:val="0"/>
                <w:color w:val="FFFFFF"/>
                <w:sz w:val="18"/>
              </w:rPr>
              <w:t>Elaboró</w:t>
            </w:r>
          </w:p>
        </w:tc>
        <w:tc>
          <w:tcPr>
            <w:tcW w:type="dxa" w:w="3061"/>
            <w:shd w:val="clear" w:color="auto" w:fill="1F3B57"/>
          </w:tcPr>
          <w:p>
            <w:pPr>
              <w:spacing w:before="20" w:after="20"/>
            </w:pPr>
            <w:r>
              <w:rPr>
                <w:b/>
                <w:i w:val="0"/>
                <w:color w:val="FFFFFF"/>
                <w:sz w:val="18"/>
              </w:rPr>
              <w:t>Revisó</w:t>
            </w:r>
          </w:p>
        </w:tc>
        <w:tc>
          <w:tcPr>
            <w:tcW w:type="dxa" w:w="3005"/>
            <w:shd w:val="clear" w:color="auto" w:fill="1F3B57"/>
          </w:tcPr>
          <w:p>
            <w:pPr>
              <w:spacing w:before="20" w:after="20"/>
            </w:pPr>
            <w:r>
              <w:rPr>
                <w:b/>
                <w:i w:val="0"/>
                <w:color w:val="FFFFFF"/>
                <w:sz w:val="18"/>
              </w:rPr>
              <w:t>Aprobó</w:t>
            </w:r>
          </w:p>
        </w:tc>
      </w:tr>
      <w:tr>
        <w:tc>
          <w:tcPr>
            <w:tcW w:type="dxa" w:w="3005"/>
          </w:tcPr>
          <w:p>
            <w:pPr>
              <w:spacing w:before="20" w:after="20"/>
            </w:pPr>
            <w:r>
              <w:rPr>
                <w:b w:val="0"/>
                <w:i w:val="0"/>
                <w:color w:val="212121"/>
                <w:sz w:val="18"/>
              </w:rPr>
              <w:t>Dr. José Alan Polanco Fierro</w:t>
            </w:r>
          </w:p>
          <w:p>
            <w:pPr>
              <w:spacing w:after="20"/>
            </w:pPr>
            <w:r>
              <w:rPr>
                <w:b w:val="0"/>
                <w:i w:val="0"/>
                <w:color w:val="212121"/>
                <w:sz w:val="18"/>
              </w:rPr>
              <w:t>Director General</w:t>
            </w:r>
          </w:p>
          <w:p>
            <w:pPr>
              <w:spacing w:after="20"/>
            </w:pPr>
            <w:r>
              <w:rPr>
                <w:b w:val="0"/>
                <w:i w:val="0"/>
                <w:color w:val="212121"/>
                <w:sz w:val="18"/>
              </w:rPr>
            </w:r>
          </w:p>
          <w:p>
            <w:pPr>
              <w:spacing w:after="20"/>
            </w:pPr>
            <w:r>
              <w:rPr>
                <w:b w:val="0"/>
                <w:i w:val="0"/>
                <w:color w:val="212121"/>
                <w:sz w:val="18"/>
              </w:rPr>
            </w:r>
          </w:p>
          <w:p>
            <w:pPr>
              <w:spacing w:after="20"/>
            </w:pPr>
            <w:r>
              <w:rPr>
                <w:b w:val="0"/>
                <w:i w:val="0"/>
                <w:color w:val="212121"/>
                <w:sz w:val="18"/>
              </w:rPr>
              <w:t>_______________________</w:t>
            </w:r>
          </w:p>
        </w:tc>
        <w:tc>
          <w:tcPr>
            <w:tcW w:type="dxa" w:w="3061"/>
          </w:tcPr>
          <w:p>
            <w:pPr>
              <w:spacing w:before="20" w:after="20"/>
            </w:pPr>
            <w:r>
              <w:rPr>
                <w:b w:val="0"/>
                <w:i w:val="0"/>
                <w:color w:val="212121"/>
                <w:sz w:val="18"/>
              </w:rPr>
              <w:t>Dr. José Alan Polanco Fierro</w:t>
            </w:r>
          </w:p>
          <w:p>
            <w:pPr>
              <w:spacing w:after="20"/>
            </w:pPr>
            <w:r>
              <w:rPr>
                <w:b w:val="0"/>
                <w:i w:val="0"/>
                <w:color w:val="212121"/>
                <w:sz w:val="18"/>
              </w:rPr>
              <w:t>Responsable Sanitario</w:t>
            </w:r>
          </w:p>
          <w:p>
            <w:pPr>
              <w:spacing w:after="20"/>
            </w:pPr>
            <w:r>
              <w:rPr>
                <w:b w:val="0"/>
                <w:i w:val="0"/>
                <w:color w:val="212121"/>
                <w:sz w:val="18"/>
              </w:rPr>
              <w:t>Céd. Prof. 6382840</w:t>
            </w:r>
          </w:p>
          <w:p>
            <w:pPr>
              <w:spacing w:after="20"/>
            </w:pPr>
            <w:r>
              <w:rPr>
                <w:b w:val="0"/>
                <w:i w:val="0"/>
                <w:color w:val="212121"/>
                <w:sz w:val="18"/>
              </w:rPr>
            </w:r>
          </w:p>
          <w:p>
            <w:pPr>
              <w:spacing w:after="20"/>
            </w:pPr>
            <w:r>
              <w:rPr>
                <w:b w:val="0"/>
                <w:i w:val="0"/>
                <w:color w:val="212121"/>
                <w:sz w:val="18"/>
              </w:rPr>
              <w:t>_______________________</w:t>
            </w:r>
          </w:p>
        </w:tc>
        <w:tc>
          <w:tcPr>
            <w:tcW w:type="dxa" w:w="3005"/>
          </w:tcPr>
          <w:p>
            <w:pPr>
              <w:spacing w:before="20" w:after="20"/>
            </w:pPr>
            <w:r>
              <w:rPr>
                <w:b w:val="0"/>
                <w:i w:val="0"/>
                <w:color w:val="212121"/>
                <w:sz w:val="18"/>
              </w:rPr>
              <w:t>Dr. José Alan Polanco Fierro</w:t>
            </w:r>
          </w:p>
          <w:p>
            <w:pPr>
              <w:spacing w:after="20"/>
            </w:pPr>
            <w:r>
              <w:rPr>
                <w:b w:val="0"/>
                <w:i w:val="0"/>
                <w:color w:val="212121"/>
                <w:sz w:val="18"/>
              </w:rPr>
              <w:t>Director General</w:t>
            </w:r>
          </w:p>
          <w:p>
            <w:pPr>
              <w:spacing w:after="20"/>
            </w:pPr>
            <w:r>
              <w:rPr>
                <w:b w:val="0"/>
                <w:i w:val="0"/>
                <w:color w:val="212121"/>
                <w:sz w:val="18"/>
              </w:rPr>
              <w:t>Agosto 2026</w:t>
            </w:r>
          </w:p>
          <w:p>
            <w:pPr>
              <w:spacing w:after="20"/>
            </w:pPr>
            <w:r>
              <w:rPr>
                <w:b w:val="0"/>
                <w:i w:val="0"/>
                <w:color w:val="212121"/>
                <w:sz w:val="18"/>
              </w:rPr>
            </w:r>
          </w:p>
          <w:p>
            <w:pPr>
              <w:spacing w:after="20"/>
            </w:pPr>
            <w:r>
              <w:rPr>
                <w:b w:val="0"/>
                <w:i w:val="0"/>
                <w:color w:val="212121"/>
                <w:sz w:val="18"/>
              </w:rPr>
              <w:t>_______________________</w:t>
            </w:r>
          </w:p>
        </w:tc>
      </w:tr>
    </w:tbl>
    <w:p>
      <w:pPr>
        <w:spacing w:after="100"/>
      </w:pPr>
    </w:p>
    <w:sectPr w:rsidR="00FC693F" w:rsidRPr="0006063C" w:rsidSect="00034616">
      <w:footerReference w:type="default" r:id="rId9"/>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546E7A"/>
        <w:sz w:val="16"/>
      </w:rPr>
      <w:t xml:space="preserve">Manual de Procedimientos del SIEC — QP Clinic · Versión 2.0 · Uso interno confidencial · 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