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1. OBJETO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Establecer los procedimientos operativos, de seguridad y de control que rigen el uso del Sistema de Expediente Clínico Electrónico de QP Clinic (en adelante, el SIEC), de modo que la información clínica de cada paciente se integre, conserve y consulte de forma completa, íntegra, confidencial y disponible, conforme a la NOM-004-SSA3-2012 y a la NOM-024-SSA3-2012.</w:t>
      </w: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2. ALCANCE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Este manual aplica a todo el personal que accede al SIEC en cualquiera de las tres unidades de atención, sin importar su rol, su forma de contratación o el dispositivo desde el que ingrese: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44"/>
        <w:gridCol w:w="1654"/>
        <w:gridCol w:w="3205"/>
        <w:gridCol w:w="2584"/>
      </w:tblGrid>
      <w:tr>
        <w:trPr>
          <w:tblHeader w:val="true"/>
        </w:trPr>
        <w:tc>
          <w:tcPr>
            <w:tcW w:type="dxa" w:w="1344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4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Razón social</w:t>
            </w:r>
          </w:p>
        </w:tc>
        <w:tc>
          <w:tcPr>
            <w:tcW w:type="dxa" w:w="320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Domicilio</w:t>
            </w:r>
          </w:p>
        </w:tc>
        <w:tc>
          <w:tcPr>
            <w:tcW w:type="dxa" w:w="258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Servicios en el SIEC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Clinic, S.C.</w:t>
            </w:r>
          </w:p>
        </w:tc>
        <w:tc>
          <w:tcPr>
            <w:tcW w:type="dxa" w:w="320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Insurgentes Sur 933, Piso 12, Col. Nápoles, Benito Juárez, C.P. 03810, CDMX</w:t>
            </w:r>
          </w:p>
        </w:tc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 de medicina del deporte, rehabilitación, nutrición, ultrasonido, prescripción de ejercicio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Surgery Clinic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Surgery Clinic, S.C.</w:t>
            </w:r>
          </w:p>
        </w:tc>
        <w:tc>
          <w:tcPr>
            <w:tcW w:type="dxa" w:w="320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Insurgentes Sur 933, Piso 12, Col. Nápoles, Benito Juárez, C.P. 03810, CDMX</w:t>
            </w:r>
          </w:p>
        </w:tc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Procedimientos quirúrgicos, anestesia, quirófano, notas peri-operatorias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amfa Nutrición Especializada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Por definir — ver Anexo A, brecha B-07</w:t>
            </w:r>
          </w:p>
        </w:tc>
        <w:tc>
          <w:tcPr>
            <w:tcW w:type="dxa" w:w="320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Anillo Periférico 3332, Consultorio 1811, Piso 18, Jardines del Pedregal, Álvaro Obregón, C.P. 01900, CDMX</w:t>
            </w:r>
          </w:p>
        </w:tc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 nutricional exclusivamente. Padrón de pacientes aislado</w:t>
            </w:r>
          </w:p>
        </w:tc>
      </w:tr>
    </w:tbl>
    <w:p>
      <w:pPr>
        <w:spacing w:after="80"/>
      </w:pP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Queda fuera del alcance de este manual la operación clínica propiamente dicha —los criterios diagnósticos y terapéuticos—, que se rige por los procedimientos normalizados de operación de cada servicio.</w:t>
      </w: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3. DEFINICIONES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71"/>
        <w:gridCol w:w="6617"/>
      </w:tblGrid>
      <w:tr>
        <w:trPr>
          <w:tblHeader w:val="true"/>
        </w:trPr>
        <w:tc>
          <w:tcPr>
            <w:tcW w:type="dxa" w:w="217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Término</w:t>
            </w:r>
          </w:p>
        </w:tc>
        <w:tc>
          <w:tcPr>
            <w:tcW w:type="dxa" w:w="6616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SIEC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 de Información para el Expediente Clínico. En QP Clinic corresponde a la aplicación web disponible en qpclinic.org.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clínico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Conjunto único de documentos, escritos y gráficos, en los que el personal de salud hace constar las intervenciones realizadas con el paciente (NOM-004-SSA3-2012, numeral 4.4).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 bloqueada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 médica firmada por el profesional. Una vez bloqueada el sistema impide su edición; toda corrección posterior obliga a una nota nueva.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Unidad o sede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Cada uno de los tres establecimientos que operan sobre el SIEC. Determina qué módulos, qué pacientes y qué agenda ve el usuario.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Bitácora de acceso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Registro cronológico e inmutable de los eventos ejecutados en el sistema, exigido por la NOM-024-SSA3-2012.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Seguridad a nivel de fila (RLS)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Mecanismo de la base de datos que decide, para cada renglón, si el usuario que consulta tiene derecho a verlo. Es el que mantiene separados los padrones de las unidades.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Rol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Perfil funcional asignado a cada usuario. Define qué módulos puede abrir y qué operaciones puede ejecutar.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CUES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Clave Única de Establecimientos de Salud. Identificador oficial de cada unidad médica ante la Secretaría de Salud.</w:t>
            </w:r>
          </w:p>
        </w:tc>
      </w:tr>
      <w:tr>
        <w:tc>
          <w:tcPr>
            <w:tcW w:type="dxa" w:w="21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SIRES</w:t>
            </w:r>
          </w:p>
        </w:tc>
        <w:tc>
          <w:tcPr>
            <w:tcW w:type="dxa" w:w="661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 de Información de Registro Electrónico para la Salud. Denominación que la autoridad da a un expediente clínico electrónico certificado.</w:t>
            </w:r>
          </w:p>
        </w:tc>
      </w:tr>
    </w:tbl>
    <w:p>
      <w:pPr>
        <w:spacing w:after="80"/>
      </w:pP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4. RESPONSABLES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78"/>
        <w:gridCol w:w="6410"/>
      </w:tblGrid>
      <w:tr>
        <w:trPr>
          <w:tblHeader w:val="true"/>
        </w:trPr>
        <w:tc>
          <w:tcPr>
            <w:tcW w:type="dxa" w:w="2378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Figura</w:t>
            </w:r>
          </w:p>
        </w:tc>
        <w:tc>
          <w:tcPr>
            <w:tcW w:type="dxa" w:w="6410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Responsabilidad respecto del SIEC</w:t>
            </w:r>
          </w:p>
        </w:tc>
      </w:tr>
      <w:tr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Director General y Responsable Sanitario</w:t>
            </w:r>
          </w:p>
        </w:tc>
        <w:tc>
          <w:tcPr>
            <w:tcW w:type="dxa" w:w="641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Autoriza las altas y bajas de usuarios; aprueba este manual y sus revisiones; responde ante la autoridad sanitaria por la integridad del expediente; decide la activación del plan de contingencia.</w:t>
            </w:r>
          </w:p>
        </w:tc>
      </w:tr>
      <w:tr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 del sistema</w:t>
            </w:r>
          </w:p>
        </w:tc>
        <w:tc>
          <w:tcPr>
            <w:tcW w:type="dxa" w:w="641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Ejecuta altas y bajas de usuarios; verifica mensualmente los respaldos; revisa la bitácora de acceso; resguarda las credenciales de la plataforma.</w:t>
            </w:r>
          </w:p>
        </w:tc>
      </w:tr>
      <w:tr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médico y de especialidades</w:t>
            </w:r>
          </w:p>
        </w:tc>
        <w:tc>
          <w:tcPr>
            <w:tcW w:type="dxa" w:w="641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Integra el expediente de cada paciente que atiende; firma sus notas; resguarda su contraseña; cierra sesión al retirarse del equipo.</w:t>
            </w:r>
          </w:p>
        </w:tc>
      </w:tr>
      <w:tr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641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signos vitales, notas por turno y la ejecución de indicaciones médicas.</w:t>
            </w:r>
          </w:p>
        </w:tc>
      </w:tr>
      <w:tr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641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Da de alta al paciente, integra su ficha de identificación y agenda las citas. No tiene acceso a información clínica.</w:t>
            </w:r>
          </w:p>
        </w:tc>
      </w:tr>
      <w:tr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Todo el personal con acceso</w:t>
            </w:r>
          </w:p>
        </w:tc>
        <w:tc>
          <w:tcPr>
            <w:tcW w:type="dxa" w:w="641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Cumple la política de contraseñas, no comparte credenciales y reporta de inmediato cualquier sospecha de acceso no autorizado.</w:t>
            </w:r>
          </w:p>
        </w:tc>
      </w:tr>
    </w:tbl>
    <w:p>
      <w:pPr>
        <w:spacing w:after="80"/>
      </w:pP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5. DESCRIPCIÓN</w:t>
      </w: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5.1  Identificación del sistema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84"/>
        <w:gridCol w:w="6203"/>
      </w:tblGrid>
      <w:tr>
        <w:trPr>
          <w:tblHeader w:val="true"/>
        </w:trPr>
        <w:tc>
          <w:tcPr>
            <w:tcW w:type="dxa" w:w="258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Atributo</w:t>
            </w:r>
          </w:p>
        </w:tc>
        <w:tc>
          <w:tcPr>
            <w:tcW w:type="dxa" w:w="6203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Nombre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ECE — Sistema de Expediente Clínico Electrónico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Dirección de acceso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https://qpclinic.org (HTTPS obligatorio)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Arquitectura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Aplicación web de página única (SPA) servida desde Vercel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Base de datos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PostgreSQL administrado por Supabase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Almacenamiento de archivos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Supabase Storage, depósito «expedientes»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Autenticación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Supabase Auth — token JWT, contraseñas con hash bcrypt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Cifrado en tránsito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TLS 1.3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Cifrado en reposo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AES-256 administrado por el proveedor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Control de acceso a los datos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Seguridad a nivel de fila (RLS) activa en las tablas del expediente</w:t>
            </w:r>
          </w:p>
        </w:tc>
      </w:tr>
      <w:tr>
        <w:tc>
          <w:tcPr>
            <w:tcW w:type="dxa" w:w="258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Respaldo</w:t>
            </w:r>
          </w:p>
        </w:tc>
        <w:tc>
          <w:tcPr>
            <w:tcW w:type="dxa" w:w="620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Registro continuo de escritura (WAL) y recuperación a un punto en el tiempo de hasta 7 días; instantánea diaria con retención de 30 días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5.2  Separación de la información entre unidades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El SIEC es un solo sistema que atiende a tres unidades. La separación de los padrones no depende de la disciplina del personal, sino de una regla única aplicada en la base de datos: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/>
          <w:i w:val="0"/>
          <w:color w:val="212121"/>
          <w:sz w:val="20"/>
        </w:rPr>
        <w:t xml:space="preserve">• El personal de amfa </w:t>
      </w:r>
      <w:r>
        <w:rPr>
          <w:rFonts w:ascii="Arial" w:hAnsi="Arial" w:cs="Arial"/>
          <w:b w:val="0"/>
          <w:i w:val="0"/>
          <w:color w:val="212121"/>
          <w:sz w:val="20"/>
        </w:rPr>
        <w:t>ve únicamente a los pacientes registrados en amfa. No puede consultar, buscar ni listar pacientes de QP Clinic ni de QP Surgery, ni sus agendas.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/>
          <w:i w:val="0"/>
          <w:color w:val="212121"/>
          <w:sz w:val="20"/>
        </w:rPr>
        <w:t xml:space="preserve">• QP Clinic y QP Surgery </w:t>
      </w:r>
      <w:r>
        <w:rPr>
          <w:rFonts w:ascii="Arial" w:hAnsi="Arial" w:cs="Arial"/>
          <w:b w:val="0"/>
          <w:i w:val="0"/>
          <w:color w:val="212121"/>
          <w:sz w:val="20"/>
        </w:rPr>
        <w:t>ven un padrón común, porque comparten pacientes y equipo médico.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/>
          <w:i w:val="0"/>
          <w:color w:val="212121"/>
          <w:sz w:val="20"/>
        </w:rPr>
        <w:t xml:space="preserve">• El perfil de administrador </w:t>
      </w:r>
      <w:r>
        <w:rPr>
          <w:rFonts w:ascii="Arial" w:hAnsi="Arial" w:cs="Arial"/>
          <w:b w:val="0"/>
          <w:i w:val="0"/>
          <w:color w:val="212121"/>
          <w:sz w:val="20"/>
        </w:rPr>
        <w:t>no constituye excepción: un administrador de QP no ve pacientes de amfa, y a la inversa. La separación es por unidad, no por jerarquía.</w:t>
      </w:r>
    </w:p>
    <w:p>
      <w:pPr>
        <w:spacing w:after="12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Un paciente puede quedar compartido entre unidades por una vía deliberada: la interconsulta. Cuando un profesional solicita la opinión de otro adscrito a una unidad distinta, el sistema comparte ese expediente con ambas. Es el único puente previsto.</w:t>
      </w: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5.3  Roles y permisos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99"/>
        <w:gridCol w:w="4135"/>
        <w:gridCol w:w="3153"/>
      </w:tblGrid>
      <w:tr>
        <w:trPr>
          <w:tblHeader w:val="true"/>
        </w:trPr>
        <w:tc>
          <w:tcPr>
            <w:tcW w:type="dxa" w:w="149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413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Módulos a los que accede</w:t>
            </w:r>
          </w:p>
        </w:tc>
        <w:tc>
          <w:tcPr>
            <w:tcW w:type="dxa" w:w="3153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Restricciones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Todos los módulos de su unidad, gestión de usuarios, bitácora, reportes, corte de caja e inventario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Limitado a su unidad. No ve pacientes de otras unidades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completo, notas médicas de los 13 tipos, recetas, interconsultas, ultrasonido, prescripción de ejercicio, agenda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 accede a gestión de usuarios ni a bitácora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Expediente, nota nutricional, cálculo dietético, plantillas, InBody, composición corporal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Solo redacta notas de su disciplina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Fisioterapeuta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Expediente, nota de fisioterapia, prescripción de ejercicio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Solo redacta notas de su disciplina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Psicólogo(a)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y notas de su disciplina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Solo redacta notas de su disciplina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Signos vitales, notas de enfermería, indicaciones médicas, administración de medicamentos, inventario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 crea ni firma notas médicas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Agenda, alta de paciente, ficha de identificación, pagos, inventario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Sin acceso a notas clínicas ni a estudios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Pasante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y notas, bajo supervisión del médico responsable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Sus notas requieren firma del médico responsable</w:t>
            </w:r>
          </w:p>
        </w:tc>
      </w:tr>
      <w:tr>
        <w:tc>
          <w:tcPr>
            <w:tcW w:type="dxa" w:w="149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Analista</w:t>
            </w:r>
          </w:p>
        </w:tc>
        <w:tc>
          <w:tcPr>
            <w:tcW w:type="dxa" w:w="413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 de expedientes y reportes agregados</w:t>
            </w:r>
          </w:p>
        </w:tc>
        <w:tc>
          <w:tcPr>
            <w:tcW w:type="dxa" w:w="315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Perfil de solo lectura: el sistema bloquea toda escritura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5.4  Catálogo de módulos vigentes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Los módulos que se enumeran a continuación son los que el sistema tiene en operación a la fecha de emisión de este manual. La columna «Unidades» indica en cuáles está habilitado.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08"/>
        <w:gridCol w:w="2378"/>
        <w:gridCol w:w="3101"/>
      </w:tblGrid>
      <w:tr>
        <w:trPr>
          <w:tblHeader w:val="true"/>
        </w:trPr>
        <w:tc>
          <w:tcPr>
            <w:tcW w:type="dxa" w:w="3308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2378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Unidades</w:t>
            </w:r>
          </w:p>
        </w:tc>
        <w:tc>
          <w:tcPr>
            <w:tcW w:type="dxa" w:w="310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Registro que genera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Admisión y registro de pacientes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Ficha de identificación · pacientes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clínico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Signos vitales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signos_vitales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Antecedentes clínicos e interrogatorio por aparatos y sistemas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antecedentes_patologicos · antecedentes_no_patologicos · antecedentes_familiares · antecedentes_gineco · interrogatorio_aparatos · alergias · discapacidades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Notas médicas (13 tipos) con firma y versionado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tres, con catálogo restringido en amfa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 · consultas_historial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 nutricional con valoración ABCD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Interconsultas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interconsultas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Consentimientos informados (17 formatos) con firma digital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Archivo firmado en Storage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Recetas y suplementación (catálogo Famel, 17 productos)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Indicaciones médicas y notas de enfermería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indicaciones_medicas · notas_enfermeria · medicamentos_usados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Ultrasonido diagnóstico (22 plantillas, editor BI-RADS)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InBody y composición corporal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inbody_resultados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Cálculo nutricional y plantillas Famel por fases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amfa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Prescripción de ejercicio (modelo volumétrico VME/VMR)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Fisioterapia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fisioterapia_prescripciones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Vacunas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vacunas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Laboratorio, gabinete y documentos anexos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 · resultados_laboratorio · imagenes_expediente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Quirófano, episodios quirúrgicos y registro anestésico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episodios_quirurgicos · registro_anestesico_farmacos · registro_anestesico_signos · checklist_oms · salas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Herramientas y escalas clínicas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resultados_herramientas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Resumen médico y expediente en PDF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generado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Agenda y citas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tres, con calendarios separados por unidad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Google Calendar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Inventario de insumos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inventario_insumos · inventario_movimientos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Pagos y corte de caja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pagos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Seguros médicos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Ficha del paciente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Gestión de usuarios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Las tres, cada una la suya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Bitácora de acceso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Reportes de dirección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generado</w:t>
            </w:r>
          </w:p>
        </w:tc>
      </w:tr>
      <w:tr>
        <w:tc>
          <w:tcPr>
            <w:tcW w:type="dxa" w:w="330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Trámites y cumplimiento</w:t>
            </w:r>
          </w:p>
        </w:tc>
        <w:tc>
          <w:tcPr>
            <w:tcW w:type="dxa" w:w="23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QP Clinic · QP Surgery</w:t>
            </w:r>
          </w:p>
        </w:tc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generado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5.5  Procedimientos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Cada procedimiento se describe con la secuencia de actividades, la figura responsable de ejecutarla y el registro que debe quedar como evidencia.</w:t>
      </w: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P-01  Admisión y registro de paciente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abrir el expediente clínico e integrar la ficha de identificación exigida por el numeral 5.1 de la NOM-004-SSA3-2012.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en el buscador que el paciente no tenga expediente previo, por nombre y por fecha de nacimiento.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Padrón de pacientes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Captura la ficha de identificación: nombre completo, sexo, fecha de nacimiento, CURP, domicilio, teléfono y correo.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Ficha de identificación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al responsable legal cuando el paciente es menor de edad o se encuentra impedido para decidir.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Ficha de identificación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Asigna el número de expediente de forma automática y consecutiva, y deja constancia de la unidad de registro.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pacientes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Entrega el aviso de privacidad y recaba el consentimiento general.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Consentimiento firmado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6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la cobertura de seguro médico cuando el paciente la refiere.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Ficha del paciente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P-02  Apertura y consulta del expediente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garantizar que todo acceso a información clínica quede identificado y registrado.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Inicia sesión con su usuario y contraseña personales.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el rol y la unidad del usuario, y le presenta únicamente los módulos y pacientes que le corresponden.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Localiza al paciente por nombre o número de expediente.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la apertura del expediente en la bitácora, con fecha, hora, usuario y paciente.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Cierra la sesión al retirarse del equipo. Si no lo hace, el sistema la cierra por inactividad a los 15 minutos, con aviso 60 segundos antes.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P-03  Registro de signos vitales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documentar la valoración inicial de enfermería previa a la consulta.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Abre el expediente del paciente citado y accede a Signos vitales.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Toma y captura tensión arterial, frecuencia cardiaca, frecuencia respiratoria, temperatura, saturación, peso y talla.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signos_vitales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Conserva el registro con fecha y hora; el formulario siempre inicia en blanco para evitar el arrastre de valores previos.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signos_vitales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Informa al médico cualquier valor fuera de rango antes de la consulta.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 de enfermería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P-04  Elaboración, firma y cierre de la nota médica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integrar la nota conforme al numeral 6 de la NOM-004-SSA3-2012 y asegurar su integridad una vez firmada.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Selecciona el tipo de nota que corresponde a la atención, de entre los 13 disponibles.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Documenta el padecimiento actual, la exploración física, el diagnóstico y el plan, en la estructura SOAP.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Codifica el diagnóstico con la Clasificación Internacional de Enfermedades (CIE-10).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Guarda automáticamente el contenido cada 30 segundos mientras la nota permanece abierta, y conserva un respaldo local en el equipo.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Firma y cierra la nota al concluir la atención.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 — campo firma_medico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6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Bloquea la nota firmada e impide toda edición posterior. Registra la firma en la bitácora.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7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Cierra automáticamente las notas que permanezcan sin firmar 24 horas después de su creación, dejando constancia del cierre automático.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8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Archiva la versión anterior cada vez que una nota no firmada se modifica, con fecha, hora y autor del cambio.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consultas_historial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9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 detecta un error en una nota ya firmada, elabora una nota nueva que aclare o corrija. No se altera la original.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P-05  Consulta nutricional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documentar la valoración nutricional con el método ABCD (antropometría, bioquímicos, clínicos y dietética) y el plan alimentario derivado.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Selecciona el tipo «Nota nutricional» en el expediente.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Captura o importa las mediciones antropométricas. El sistema calcula índice de masa corporal e índice cintura-cadera.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Importa la composición corporal del equipo InBody cuando existe estudio previo.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inbody_resultados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Determina el gasto energético con la fórmula que corresponda y define el objetivo calórico y la distribución de macronutrientes.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Establece el plan por tiempos de comida y registra la adherencia al plan previo.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6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Lic. en Nutrición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Firma y cierra la nota.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P-06  Interconsulta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solicitar y documentar la opinión de otro profesional, incluso cuando pertenece a una unidad distinta.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 solicitante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la solicitud indicando el motivo y el profesional a quien se dirige.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interconsultas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Comparte el expediente con la unidad del profesional destinatario y deja constancia del motivo del enlace.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paciente_sedes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 interconsultante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Valora al paciente y responde mediante una Nota de interconsulta.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Marca la interconsulta como respondida al guardarse la nota.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interconsultas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 solicitante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 la respuesta e integra sus conclusiones en el plan de manejo.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P-07  Consentimiento informado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recabar la autorización del paciente antes de todo procedimiento que la requiera, conforme a los artículos 80 a 83 del Reglamento de la Ley General de Salud.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Explica al paciente el procedimiento, sus riesgos, sus alternativas y las consecuencias de no realizarlo.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Selecciona el formato que corresponde de entre los 17 disponibles.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Catálogo de consentimientos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Paciente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Lee el documento, resuelve sus dudas y firma digitalmente.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firmado en Storage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Testigos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Firman cuando el formato lo exige.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firmado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Resguarda el documento firmado en el expediente y registra el evento en la bitácora.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P-08  Estudios de gabinete e InBody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incorporar al expediente los estudios realizados en la propia unidad.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Realiza el estudio de ultrasonido y elabora el informe a partir de la plantilla que corresponda.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Clasifica los hallazgos mamarios con el sistema BI-RADS cuando aplica.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Carga el archivo del estudio InBody; el sistema extrae los doce parámetros de composición corporal.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inbody_resultados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Vincula el estudio al expediente con fecha y profesional responsable.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P-09  Indicaciones médicas y notas de enfermería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dejar constancia de lo indicado por el médico y de su ejecución.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las indicaciones médicas del día.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indicaciones_medicas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Ejecuta las indicaciones y registra la administración de cada medicamento con hora y dosis.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medicamentos_usados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Elabora la nota de enfermería al cierre de su turno.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notas_enfermeria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en la bitácora la creación de indicaciones y de notas de enfermería.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P-10  Emisión del expediente en formato imprimible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entregar al paciente o a la autoridad una copia fiel del expediente, conforme al derecho de acceso previsto en la Ley Federal de Protección de Datos Personales.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la identidad de quien solicita y su legitimación para recibir la información.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Solicitud de acceso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Selecciona las secciones que integrarán el documento.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Genera el documento con los datos de la unidad, del paciente y del médico responsable, incluidas sus cédulas profesionales.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generado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la emisión en la bitácora de acceso.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autorizado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Entrega la copia y documenta la entrega.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Acuse de recepción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P-11  Alta, modificación y baja de usuarios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mantener el control de quién accede al expediente clínico.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Director General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Autoriza el alta y determina el rol y la unidad que corresponden al puesto.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Autorización escrita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Da de alta al usuario capturando nombre, correo institucional, rol, unidad, especialidad y cédula profesional.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Asigna una contraseña temporal que cumple la política de seguridad.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Cambia la contraseña en su primer inicio de sesión.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Ante la separación del personal, marca al usuario como inactivo el mismo día. El sistema le impide el acceso de inmediato.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6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Conserva el usuario y todas sus notas de forma permanente. No se eliminan usuarios: hacerlo rompería la trazabilidad del expediente.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P-12  Revisión de la bitácora de acceso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verificar periódicamente que el acceso a la información clínica corresponde a la atención de pacientes.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Revisa la bitácora al menos una vez al mes.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que no existan accesos fuera de horario, desde equipos desconocidos o a expedientes sin relación con la actividad del usuario.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Documenta la revisión y su resultado.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Registro de revisión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Director General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Ante un hallazgo, instruye la investigación y, de confirmarse un acceso indebido, activa el procedimiento de incidente de seguridad.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Informe de incidente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P-13  Respaldo y verificación mensual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asegurar que la información puede recuperarse ante una pérdida.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Proveedor de la plataforma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Ejecuta el respaldo continuo y la instantánea diaria de forma automática.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una vez al mes, en el panel de la plataforma, que los respaldos están activos y que el más reciente tiene menos de 24 horas.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Registro de verificación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Documenta la verificación con fecha, hallazgo y firma.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Registro de verificación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Ante una falla del servicio de respaldo, notifica el mismo día al Responsable Sanitario.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P-14  Contingencia por indisponibilidad del sistema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sostener la atención médica y la integridad del expediente cuando el sistema no está disponible. Se desarrolla en el Plan de Contingencia del SIEC.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Quien detecta la falla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Verifica si el problema es de conectividad local o de la plataforma.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Documenta la hora de inicio de la interrupción y notifica al Director General.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Bitácora de incidentes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de atención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Activa los formatos físicos de respaldo y continúa la atención sin interrupción.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Formato físico de consulta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de atención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Al restablecerse el servicio, captura en el sistema todo lo documentado en papel, dentro de las 24 horas siguientes.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Documenta el cierre del incidente, su duración y su causa.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Informe de incidente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P-15  Incidente de seguridad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contener una vulneración de datos personales y cumplir el deber de notificación previsto en la Ley Federal de Protección de Datos Personales.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Quien detecta el incidente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Notifica de inmediato al Administrador y al Responsable Sanitario.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Informe de incidente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Cierra todas las sesiones activas y revoca los tokens vigentes.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—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Restablece las contraseñas comprometidas.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usuarios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Determina el alcance del incidente a partir de la bitácora de acceso.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Responsable Sanitario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 se confirma vulneración de datos de pacientes, notifica a los titulares afectados sin dilación, conforme al artículo 20 de la Ley.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Notificación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6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Responsable Sanitario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Documenta el incidente, sus causas y las medidas correctivas adoptadas.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Informe de incidente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 w:cs="Arial"/>
          <w:b/>
          <w:i w:val="0"/>
          <w:color w:val="1F3B57"/>
          <w:sz w:val="21"/>
        </w:rPr>
        <w:t>P-16  Inventario, pagos y corte de caja</w:t>
      </w:r>
    </w:p>
    <w:p>
      <w:pPr>
        <w:spacing w:after="60" w:line="276" w:lineRule="auto"/>
        <w:jc w:val="both"/>
      </w:pPr>
      <w:r>
        <w:rPr>
          <w:rFonts w:ascii="Arial" w:hAnsi="Arial" w:cs="Arial"/>
          <w:b w:val="0"/>
          <w:i/>
          <w:color w:val="546E7A"/>
          <w:sz w:val="19"/>
        </w:rPr>
        <w:t>Objetivo: controlar los insumos y los ingresos de las unidades.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"/>
        <w:gridCol w:w="1757"/>
        <w:gridCol w:w="4445"/>
        <w:gridCol w:w="2119"/>
      </w:tblGrid>
      <w:tr>
        <w:trPr>
          <w:tblHeader w:val="true"/>
        </w:trPr>
        <w:tc>
          <w:tcPr>
            <w:tcW w:type="dxa" w:w="46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75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Responsable de la actividad</w:t>
            </w:r>
          </w:p>
        </w:tc>
        <w:tc>
          <w:tcPr>
            <w:tcW w:type="dxa" w:w="4445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Actividad</w:t>
            </w:r>
          </w:p>
        </w:tc>
        <w:tc>
          <w:tcPr>
            <w:tcW w:type="dxa" w:w="2119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Formato / Registro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 o 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las entradas y salidas de insumos conforme ocurren.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inventario_movimientos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Sistema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Alerta cuando un insumo alcanza el mínimo o se aproxima su caducidad.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inventario_insumos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Registra cada pago recibido con su forma de pago.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pagos</w:t>
            </w:r>
          </w:p>
        </w:tc>
      </w:tr>
      <w:tr>
        <w:tc>
          <w:tcPr>
            <w:tcW w:type="dxa" w:w="46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75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Administrador</w:t>
            </w:r>
          </w:p>
        </w:tc>
        <w:tc>
          <w:tcPr>
            <w:tcW w:type="dxa" w:w="4445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Realiza el corte de caja al cierre del día y lo concilia.</w:t>
            </w:r>
          </w:p>
        </w:tc>
        <w:tc>
          <w:tcPr>
            <w:tcW w:type="dxa" w:w="2119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Corte de caja</w:t>
            </w:r>
          </w:p>
        </w:tc>
      </w:tr>
    </w:tbl>
    <w:p>
      <w:pPr>
        <w:spacing w:after="80"/>
      </w:pP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6. DIAGRAMA DE PROCESOS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El recorrido habitual de un paciente por el sistema, desde su llegada hasta el cierre del episodio de atención: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44"/>
        <w:gridCol w:w="1654"/>
        <w:gridCol w:w="2998"/>
        <w:gridCol w:w="2791"/>
      </w:tblGrid>
      <w:tr>
        <w:trPr>
          <w:tblHeader w:val="true"/>
        </w:trPr>
        <w:tc>
          <w:tcPr>
            <w:tcW w:type="dxa" w:w="1344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1654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2998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Procedimiento</w:t>
            </w:r>
          </w:p>
        </w:tc>
        <w:tc>
          <w:tcPr>
            <w:tcW w:type="dxa" w:w="279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1. Llegada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P-01 Admisión y registro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abierto y ficha de identificación integrada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2. Preparación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Enfermería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P-03 Signos vitales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Valoración inicial documentada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3. Atención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 o especialista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P-04 Nota médica · P-05 Nota nutricional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Nota firmada e inalterable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4. Estudios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P-08 Gabinete e InBody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Estudios incorporados al expediente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5. Autorizaciones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 y paciente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P-07 Consentimiento informado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firmado en el expediente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6. Derivación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P-06 Interconsulta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Opinión de otro profesional documentada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7. Indicaciones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Médico y enfermería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P-09 Indicaciones y notas de enfermería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Ejecución documentada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8. Cierre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Recepción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P-16 Pagos y corte de caja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Ingreso registrado</w:t>
            </w:r>
          </w:p>
        </w:tc>
      </w:tr>
      <w:tr>
        <w:tc>
          <w:tcPr>
            <w:tcW w:type="dxa" w:w="13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9. A solicitud</w:t>
            </w:r>
          </w:p>
        </w:tc>
        <w:tc>
          <w:tcPr>
            <w:tcW w:type="dxa" w:w="165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Personal autorizado</w:t>
            </w:r>
          </w:p>
        </w:tc>
        <w:tc>
          <w:tcPr>
            <w:tcW w:type="dxa" w:w="299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P-10 Emisión del expediente</w:t>
            </w:r>
          </w:p>
        </w:tc>
        <w:tc>
          <w:tcPr>
            <w:tcW w:type="dxa" w:w="279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Copia entregada y registrada</w:t>
            </w:r>
          </w:p>
        </w:tc>
      </w:tr>
    </w:tbl>
    <w:p>
      <w:pPr>
        <w:spacing w:after="80"/>
      </w:pP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7. REGISTROS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Todos los registros clínicos se conservan por un mínimo de cinco años contados a partir de la fecha del último acto médico, conforme al numeral 5.4 de la NOM-004-SSA3-2012. La bitácora de acceso y el historial de versiones de las notas se conservan de forma permanente.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1"/>
        <w:gridCol w:w="2843"/>
        <w:gridCol w:w="2843"/>
      </w:tblGrid>
      <w:tr>
        <w:trPr>
          <w:tblHeader w:val="true"/>
        </w:trPr>
        <w:tc>
          <w:tcPr>
            <w:tcW w:type="dxa" w:w="310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Registro</w:t>
            </w:r>
          </w:p>
        </w:tc>
        <w:tc>
          <w:tcPr>
            <w:tcW w:type="dxa" w:w="2843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Soporte</w:t>
            </w:r>
          </w:p>
        </w:tc>
        <w:tc>
          <w:tcPr>
            <w:tcW w:type="dxa" w:w="2843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Conservación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Expediente clínico y notas médicas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 · expedientes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Permanente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Historial de versiones de notas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consultas_historial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Permanente e inmutable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Bitácora de acceso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bitacora_accesos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Permanente e inmutable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Consentimientos informados firmados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Supabase Storage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Permanente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Estudios de gabinete e imágenes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anexos · imagenes_expediente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Permanente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Registro de verificación de respaldos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controlado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 años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Informes de incidente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controlado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5 años</w:t>
            </w:r>
          </w:p>
        </w:tc>
      </w:tr>
      <w:tr>
        <w:tc>
          <w:tcPr>
            <w:tcW w:type="dxa" w:w="310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Constancias de capacitación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Documento controlado</w:t>
            </w:r>
          </w:p>
        </w:tc>
        <w:tc>
          <w:tcPr>
            <w:tcW w:type="dxa" w:w="2843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Vigencia laboral + 5 años</w:t>
            </w:r>
          </w:p>
        </w:tc>
      </w:tr>
    </w:tbl>
    <w:p>
      <w:pPr>
        <w:spacing w:after="80"/>
      </w:pP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8. DOCUMENTOS RELACIONADOS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Manual de Procedimientos del Sistema de Información para el Expediente Clínico (SIEC), versión 2.0 — descripción del sistema, control de acceso, seguridad y respaldo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Plan de Contingencia del Sistema de Expediente Clínico Electrónico, versión 1.0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Aviso de Privacidad Integral, conforme a la Ley Federal de Protección de Datos Personales en Posesión de los Particulares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Plan de Interoperabilidad del Expediente Clínico Electrónico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NOM-004-SSA3-2012, Del expediente clínico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NOM-024-SSA3-2012, Sistemas de información de registro electrónico para la salud</w:t>
      </w:r>
    </w:p>
    <w:p>
      <w:pPr>
        <w:pStyle w:val="Prrafodelista"/>
        <w:spacing w:after="40"/>
        <w:ind w:left="510" w:hanging="198"/>
      </w:pPr>
      <w:r>
        <w:rPr>
          <w:rFonts w:ascii="Arial" w:hAnsi="Arial" w:cs="Arial"/>
          <w:b w:val="0"/>
          <w:i w:val="0"/>
          <w:color w:val="212121"/>
          <w:sz w:val="20"/>
        </w:rPr>
        <w:t>• NOM-035-SSA3-2012, En materia de información en salud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ANEXO A. BRECHAS IDENTIFICADAS Y PLAN DE CIERRE</w:t>
      </w:r>
    </w:p>
    <w:p>
      <w:pPr>
        <w:spacing w:after="16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>Este anexo declara con transparencia los puntos en los que el sistema aún no satisface íntegramente la normatividad aplicable. Se incluye deliberadamente: un manual que describiera controles inexistentes se convertiría en prueba en contra ante una verificación sanitaria. Cada brecha tiene responsable y fecha objetivo.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85"/>
        <w:gridCol w:w="2077"/>
        <w:gridCol w:w="1544"/>
        <w:gridCol w:w="1970"/>
        <w:gridCol w:w="1331"/>
        <w:gridCol w:w="1278"/>
      </w:tblGrid>
      <w:tr>
        <w:trPr>
          <w:tblHeader w:val="true"/>
        </w:trPr>
        <w:tc>
          <w:tcPr>
            <w:tcW w:type="dxa" w:w="586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Clave</w:t>
            </w:r>
          </w:p>
        </w:tc>
        <w:tc>
          <w:tcPr>
            <w:tcW w:type="dxa" w:w="2077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Brecha identificada</w:t>
            </w:r>
          </w:p>
        </w:tc>
        <w:tc>
          <w:tcPr>
            <w:tcW w:type="dxa" w:w="1544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Efecto</w:t>
            </w:r>
          </w:p>
        </w:tc>
        <w:tc>
          <w:tcPr>
            <w:tcW w:type="dxa" w:w="197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Acción de cierre</w:t>
            </w:r>
          </w:p>
        </w:tc>
        <w:tc>
          <w:tcPr>
            <w:tcW w:type="dxa" w:w="133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78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Fecha objetivo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B-01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El cierre de sesión por inactividad está desactivado en la unidad QP Surgery.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Un equipo desatendido en quirófano puede quedar con sesión abierta.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Habilitar el cierre por inactividad en las tres unidades, con temporizador ampliado durante procedimientos.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Desarrollo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Septiembre 2026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B-02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bitácora registra las escrituras y la apertura de expediente, pero no toda consulta de información clínica.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Trazabilidad incompleta frente al artículo 8 de la NOM-024.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Extender el registro a toda lectura de expediente y de estudios.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Desarrollo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Octubre 2026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B-03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El sistema no genera documentos clínicos en el estándar de interoperabilidad exigido (HL7 CDA R2) conforme a las Guías de Intercambio de Información en Salud.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Impide el reconocimiento formal como SIRES.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Ejecutar el Plan de Interoperabilidad: obtener claves CUES e identificadores oficiales, y desarrollar el componente de generación y validación.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Dirección General y Desarrollo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Por definir según calendario de la DGIS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B-04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No existe constancia documental de la capacitación del personal en el uso del sistema.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NOM-024 exige acreditar la capacitación de los usuarios.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Levantar el registro de capacitación de todo el personal activo y establecer la constancia como requisito previo al alta de usuario.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Responsable Sanitario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Septiembre 2026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B-05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verificación mensual de respaldos no cuenta con un registro formal.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No puede demostrarse ante la autoridad que la verificación se realiza.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Adoptar el formato de registro de verificación e iniciar su llenado mensual.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Administrador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Inmediato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B-06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política de contraseñas está documentada, pero el sistema no obliga al cambio periódico ni impide la reutilización.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política queda sujeta a la voluntad del usuario.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Implementar la vigencia de 90 días y el historial de contraseñas.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Desarrollo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Noviembre 2026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B-07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unidad amfa Nutrición Especializada opera sin razón social propia definida en los documentos del sistema, y los formatos legales —aviso de privacidad y consentimientos— siguen nombrando a QP Clinic, S.C.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Los consentimientos que firme un paciente de amfa identifican a una persona moral distinta de la que presta el servicio.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Definir la razón social de amfa y emitir su aviso de privacidad y sus consentimientos propios.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Dirección General y área jurídica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Septiembre 2026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B-08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No existe procedimiento documentado de destrucción o disociación de datos al concluir el plazo de conservación.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Obligación pendiente conforme a la Ley Federal de Protección de Datos Personales.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Redactar el procedimiento de conservación, bloqueo y supresión.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Responsable Sanitario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Diciembre 2026</w:t>
            </w:r>
          </w:p>
        </w:tc>
      </w:tr>
      <w:tr>
        <w:tc>
          <w:tcPr>
            <w:tcW w:type="dxa" w:w="586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B-09</w:t>
            </w:r>
          </w:p>
        </w:tc>
        <w:tc>
          <w:tcPr>
            <w:tcW w:type="dxa" w:w="2077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No está verificado que la base de datos impida técnicamente modificar la bitácora de acceso. El sistema no ofrece ninguna función para editarla, pero la restricción a nivel de base no se ha comprobado.</w:t>
            </w:r>
          </w:p>
        </w:tc>
        <w:tc>
          <w:tcPr>
            <w:tcW w:type="dxa" w:w="154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La inmutabilidad de la bitácora es requisito del artículo 8 de la NOM-024.</w:t>
            </w:r>
          </w:p>
        </w:tc>
        <w:tc>
          <w:tcPr>
            <w:tcW w:type="dxa" w:w="197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Restringir la tabla de bitácora a operaciones de inserción y dejar constancia de la verificación.</w:t>
            </w:r>
          </w:p>
        </w:tc>
        <w:tc>
          <w:tcPr>
            <w:tcW w:type="dxa" w:w="133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Desarrollo</w:t>
            </w:r>
          </w:p>
        </w:tc>
        <w:tc>
          <w:tcPr>
            <w:tcW w:type="dxa" w:w="1278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6"/>
              </w:rPr>
              <w:t>Septiembre 2026</w:t>
            </w:r>
          </w:p>
        </w:tc>
      </w:tr>
    </w:tbl>
    <w:p>
      <w:pPr>
        <w:spacing w:after="80"/>
      </w:pPr>
    </w:p>
    <w:p>
      <w:pPr>
        <w:keepNext/>
        <w:spacing w:before="280" w:after="120"/>
        <w:pBdr>
          <w:bottom w:val="single" w:sz="8" w:space="2" w:color="1F3B57"/>
        </w:pBdr>
      </w:pPr>
      <w:r>
        <w:rPr>
          <w:rFonts w:ascii="Arial" w:hAnsi="Arial" w:cs="Arial"/>
          <w:b/>
          <w:i w:val="0"/>
          <w:color w:val="1F3B57"/>
          <w:sz w:val="24"/>
        </w:rPr>
        <w:t>9. TABLA DE CONTROL DE MODIFICACIONES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0"/>
        <w:gridCol w:w="2274"/>
        <w:gridCol w:w="4342"/>
        <w:gridCol w:w="1240"/>
      </w:tblGrid>
      <w:tr>
        <w:trPr>
          <w:tblHeader w:val="true"/>
        </w:trPr>
        <w:tc>
          <w:tcPr>
            <w:tcW w:type="dxa" w:w="930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Rev.</w:t>
            </w:r>
          </w:p>
        </w:tc>
        <w:tc>
          <w:tcPr>
            <w:tcW w:type="dxa" w:w="2274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Apartado modificado</w:t>
            </w:r>
          </w:p>
        </w:tc>
        <w:tc>
          <w:tcPr>
            <w:tcW w:type="dxa" w:w="4342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241"/>
            <w:shd w:val="clear" w:color="auto" w:fill="1F3B57"/>
          </w:tcPr>
          <w:p>
            <w:pPr>
              <w:spacing w:after="20" w:before="2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93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001</w:t>
            </w:r>
          </w:p>
        </w:tc>
        <w:tc>
          <w:tcPr>
            <w:tcW w:type="dxa" w:w="227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Todas las páginas</w:t>
            </w:r>
          </w:p>
        </w:tc>
        <w:tc>
          <w:tcPr>
            <w:tcW w:type="dxa" w:w="4342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Creación del documento. Sustituye e integra el Manual de Procedimientos del SIEC versión 1.0, ampliándolo a los 28 módulos vigentes y a las tres unidades de atención.</w:t>
            </w:r>
          </w:p>
        </w:tc>
        <w:tc>
          <w:tcPr>
            <w:tcW w:type="dxa" w:w="124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  <w:t>Agosto 2026</w:t>
            </w:r>
          </w:p>
        </w:tc>
      </w:tr>
      <w:tr>
        <w:tc>
          <w:tcPr>
            <w:tcW w:type="dxa" w:w="93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  <w:tc>
          <w:tcPr>
            <w:tcW w:type="dxa" w:w="227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  <w:tc>
          <w:tcPr>
            <w:tcW w:type="dxa" w:w="4342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  <w:tc>
          <w:tcPr>
            <w:tcW w:type="dxa" w:w="124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</w:tr>
      <w:tr>
        <w:tc>
          <w:tcPr>
            <w:tcW w:type="dxa" w:w="930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  <w:tc>
          <w:tcPr>
            <w:tcW w:type="dxa" w:w="2274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  <w:tc>
          <w:tcPr>
            <w:tcW w:type="dxa" w:w="4342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  <w:tc>
          <w:tcPr>
            <w:tcW w:type="dxa" w:w="1241"/>
          </w:tcPr>
          <w:p>
            <w:pPr>
              <w:spacing w:after="20" w:before="20"/>
            </w:pPr>
            <w:r>
              <w:rPr>
                <w:rFonts w:ascii="Arial" w:hAnsi="Arial" w:cs="Arial"/>
                <w:b w:val="0"/>
                <w:i w:val="0"/>
                <w:color w:val="212121"/>
                <w:sz w:val="17"/>
              </w:rPr>
            </w:r>
          </w:p>
        </w:tc>
      </w:tr>
    </w:tbl>
    <w:p>
      <w:pPr>
        <w:spacing w:after="80"/>
      </w:pPr>
    </w:p>
    <w:p>
      <w:pPr>
        <w:spacing w:after="200" w:line="276" w:lineRule="auto"/>
        <w:jc w:val="both"/>
      </w:pPr>
      <w:r>
        <w:rPr>
          <w:rFonts w:ascii="Arial" w:hAnsi="Arial" w:cs="Arial"/>
          <w:b w:val="0"/>
          <w:i w:val="0"/>
          <w:color w:val="212121"/>
          <w:sz w:val="20"/>
        </w:rPr>
        <w:t xml:space="preserve"> </w:t>
      </w:r>
    </w:p>
    <w:p>
      <w:pPr>
        <w:spacing w:after="80" w:line="276" w:lineRule="auto"/>
        <w:jc w:val="both"/>
      </w:pPr>
      <w:r>
        <w:rPr>
          <w:rFonts w:ascii="Arial" w:hAnsi="Arial" w:cs="Arial"/>
          <w:b w:val="0"/>
          <w:i/>
          <w:color w:val="546E7A"/>
          <w:sz w:val="17"/>
        </w:rPr>
        <w:t>Documento de uso interno — Confidencial. Su reproducción total o parcial fuera de QP Clinic requiere autorización escrita de la Dirección General.</w:t>
      </w:r>
    </w:p>
    <w:sectPr w:rsidR="00C93AB5" w:rsidRPr="00D02439" w:rsidSect="00C4092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701" w:right="1701" w:bottom="1701" w:left="1701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0F70F" w14:textId="77777777" w:rsidR="00A453BC" w:rsidRDefault="00A453BC" w:rsidP="00002636">
      <w:r>
        <w:separator/>
      </w:r>
    </w:p>
  </w:endnote>
  <w:endnote w:type="continuationSeparator" w:id="0">
    <w:p w14:paraId="195CC302" w14:textId="77777777" w:rsidR="00A453BC" w:rsidRDefault="00A453BC" w:rsidP="0000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57" w:type="dxa"/>
      <w:jc w:val="center"/>
      <w:tblLook w:val="04A0" w:firstRow="1" w:lastRow="0" w:firstColumn="1" w:lastColumn="0" w:noHBand="0" w:noVBand="1"/>
    </w:tblPr>
    <w:tblGrid>
      <w:gridCol w:w="2411"/>
      <w:gridCol w:w="2264"/>
      <w:gridCol w:w="2264"/>
      <w:gridCol w:w="2118"/>
    </w:tblGrid>
    <w:tr w:rsidR="00F672B3" w:rsidRPr="00F672B3" w14:paraId="23CD3218" w14:textId="77777777" w:rsidTr="00C40922">
      <w:trPr>
        <w:trHeight w:val="291"/>
        <w:jc w:val="center"/>
      </w:trPr>
      <w:tc>
        <w:tcPr>
          <w:tcW w:w="2411" w:type="dxa"/>
          <w:tcBorders>
            <w:top w:val="double" w:sz="4" w:space="0" w:color="auto"/>
            <w:left w:val="double" w:sz="4" w:space="0" w:color="auto"/>
            <w:bottom w:val="nil"/>
            <w:right w:val="single" w:sz="4" w:space="0" w:color="auto"/>
          </w:tcBorders>
          <w:vAlign w:val="center"/>
        </w:tcPr>
        <w:p w14:paraId="0BDC45F8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Elaboró:</w:t>
          </w:r>
        </w:p>
      </w:tc>
      <w:tc>
        <w:tcPr>
          <w:tcW w:w="2264" w:type="dxa"/>
          <w:tcBorders>
            <w:top w:val="doub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C75055A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Revisó:</w:t>
          </w:r>
        </w:p>
      </w:tc>
      <w:tc>
        <w:tcPr>
          <w:tcW w:w="2264" w:type="dxa"/>
          <w:tcBorders>
            <w:top w:val="doub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05B0165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Aprobó:</w:t>
          </w:r>
        </w:p>
      </w:tc>
      <w:tc>
        <w:tcPr>
          <w:tcW w:w="2118" w:type="dxa"/>
          <w:vMerge w:val="restar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E516645" w14:textId="68D475C4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Código:</w:t>
          </w:r>
        </w:p>
      </w:tc>
    </w:tr>
    <w:tr w:rsidR="00F672B3" w:rsidRPr="00F672B3" w14:paraId="09F2E0CA" w14:textId="77777777" w:rsidTr="00C40922">
      <w:trPr>
        <w:trHeight w:val="234"/>
        <w:jc w:val="center"/>
      </w:trPr>
      <w:tc>
        <w:tcPr>
          <w:tcW w:w="2411" w:type="dxa"/>
          <w:vMerge w:val="restart"/>
          <w:tcBorders>
            <w:top w:val="nil"/>
            <w:left w:val="double" w:sz="4" w:space="0" w:color="auto"/>
            <w:bottom w:val="nil"/>
            <w:right w:val="single" w:sz="4" w:space="0" w:color="auto"/>
          </w:tcBorders>
          <w:vAlign w:val="center"/>
        </w:tcPr>
        <w:p w14:paraId="12079212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4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77B7DBA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4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7932375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18" w:type="dxa"/>
          <w:vMerge/>
          <w:tcBorders>
            <w:left w:val="single" w:sz="4" w:space="0" w:color="auto"/>
            <w:right w:val="double" w:sz="4" w:space="0" w:color="auto"/>
          </w:tcBorders>
          <w:vAlign w:val="center"/>
        </w:tcPr>
        <w:p w14:paraId="12C42602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  <w:tr w:rsidR="00F672B3" w:rsidRPr="00F672B3" w14:paraId="60FBDBF1" w14:textId="77777777" w:rsidTr="00C40922">
      <w:trPr>
        <w:trHeight w:val="234"/>
        <w:jc w:val="center"/>
      </w:trPr>
      <w:tc>
        <w:tcPr>
          <w:tcW w:w="2411" w:type="dxa"/>
          <w:vMerge/>
          <w:tcBorders>
            <w:top w:val="nil"/>
            <w:left w:val="double" w:sz="4" w:space="0" w:color="auto"/>
            <w:bottom w:val="nil"/>
            <w:right w:val="single" w:sz="4" w:space="0" w:color="auto"/>
          </w:tcBorders>
          <w:vAlign w:val="center"/>
        </w:tcPr>
        <w:p w14:paraId="45A6527D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4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8B76C97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4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FCD94E7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18" w:type="dxa"/>
          <w:vMerge w:val="restart"/>
          <w:tcBorders>
            <w:left w:val="single" w:sz="4" w:space="0" w:color="auto"/>
            <w:right w:val="double" w:sz="4" w:space="0" w:color="auto"/>
          </w:tcBorders>
          <w:vAlign w:val="center"/>
        </w:tcPr>
        <w:p w14:paraId="1CD636AA" w14:textId="77777777" w:rsidR="00F672B3" w:rsidRPr="00F672B3" w:rsidRDefault="00F672B3" w:rsidP="008925FC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 xml:space="preserve">Fecha de modificación:  </w:t>
          </w:r>
          <w:r w:rsidRPr="00F672B3">
            <w:rPr>
              <w:rFonts w:ascii="Arial" w:hAnsi="Arial" w:cs="Mangal"/>
              <w:sz w:val="16"/>
              <w:szCs w:val="16"/>
              <w:lang w:val="es-ES_tradnl" w:bidi="hi-IN"/>
            </w:rPr>
            <w:t xml:space="preserve">      </w:t>
          </w:r>
        </w:p>
      </w:tc>
    </w:tr>
    <w:tr w:rsidR="00F672B3" w:rsidRPr="00F672B3" w14:paraId="7F9373AF" w14:textId="77777777" w:rsidTr="00C40922">
      <w:trPr>
        <w:trHeight w:val="220"/>
        <w:jc w:val="center"/>
      </w:trPr>
      <w:tc>
        <w:tcPr>
          <w:tcW w:w="2411" w:type="dxa"/>
          <w:tcBorders>
            <w:top w:val="nil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93191A1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4" w:type="dxa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DACA89A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4" w:type="dxa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CCF0FE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18" w:type="dxa"/>
          <w:vMerge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845F9F9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</w:tbl>
  <w:p w14:paraId="56CA038C" w14:textId="77777777" w:rsidR="00EA66B2" w:rsidRPr="00F672B3" w:rsidRDefault="00EA66B2" w:rsidP="00BC2A23">
    <w:pPr>
      <w:pStyle w:val="Piedepgina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AD4E" w14:textId="77777777" w:rsidR="00A453BC" w:rsidRDefault="00A453BC" w:rsidP="00002636">
      <w:r>
        <w:separator/>
      </w:r>
    </w:p>
  </w:footnote>
  <w:footnote w:type="continuationSeparator" w:id="0">
    <w:p w14:paraId="79BC966C" w14:textId="77777777" w:rsidR="00A453BC" w:rsidRDefault="00A453BC" w:rsidP="0000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BDC7" w14:textId="77777777" w:rsidR="00903FED" w:rsidRDefault="00000000">
    <w:pPr>
      <w:pStyle w:val="Encabezado"/>
    </w:pPr>
    <w:r>
      <w:rPr>
        <w:noProof/>
        <w:lang w:val="es-CO" w:eastAsia="es-CO"/>
      </w:rPr>
      <w:pict w14:anchorId="6A83A4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5175" o:spid="_x0000_s1026" type="#_x0000_t75" style="position:absolute;margin-left:0;margin-top:0;width:441.85pt;height:189.15pt;z-index:-251657728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0" w:type="auto"/>
      <w:tblLook w:val="04A0" w:firstRow="1" w:lastRow="0" w:firstColumn="1" w:lastColumn="0" w:noHBand="0" w:noVBand="1"/>
    </w:tblPr>
    <w:tblGrid>
      <w:gridCol w:w="2403"/>
      <w:gridCol w:w="3289"/>
      <w:gridCol w:w="1017"/>
      <w:gridCol w:w="2099"/>
    </w:tblGrid>
    <w:tr w:rsidR="002835C0" w:rsidRPr="002835C0" w14:paraId="3FC7378D" w14:textId="77777777" w:rsidTr="00BC2A23">
      <w:trPr>
        <w:trHeight w:val="414"/>
      </w:trPr>
      <w:tc>
        <w:tcPr>
          <w:tcW w:w="2405" w:type="dxa"/>
          <w:vMerge w:val="restart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43AA9B35" w14:textId="51238BBD" w:rsidR="002835C0" w:rsidRPr="00D02439" w:rsidRDefault="00D02439" w:rsidP="002835C0">
          <w:pPr>
            <w:widowControl w:val="0"/>
            <w:autoSpaceDE w:val="0"/>
            <w:autoSpaceDN w:val="0"/>
            <w:adjustRightIn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inline distT="0" distB="0" distL="0" distR="0" wp14:anchorId="5BB4BBAF" wp14:editId="3F91033D">
                <wp:extent cx="1101911" cy="932688"/>
                <wp:effectExtent l="0" t="0" r="0" b="0"/>
                <wp:docPr id="15" name="Imag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911" cy="932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23" w:type="dxa"/>
          <w:gridSpan w:val="3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3110A5D" w14:textId="3D1A2C4C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 xml:space="preserve">Sistema de Gestión de </w:t>
          </w:r>
          <w:r w:rsidR="00D02439"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>Calidad</w:t>
          </w:r>
        </w:p>
      </w:tc>
    </w:tr>
    <w:tr w:rsidR="002835C0" w:rsidRPr="002835C0" w14:paraId="7238D74D" w14:textId="77777777" w:rsidTr="00BC2A23">
      <w:trPr>
        <w:trHeight w:val="729"/>
      </w:trPr>
      <w:tc>
        <w:tcPr>
          <w:tcW w:w="2405" w:type="dxa"/>
          <w:vMerge/>
          <w:tcBorders>
            <w:left w:val="double" w:sz="4" w:space="0" w:color="auto"/>
            <w:bottom w:val="single" w:sz="4" w:space="0" w:color="auto"/>
          </w:tcBorders>
        </w:tcPr>
        <w:p w14:paraId="58AAE4AE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</w:p>
      </w:tc>
      <w:tc>
        <w:tcPr>
          <w:tcW w:w="4317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2F13CA7E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 xml:space="preserve">PROCEDIMIENTOS </w:t>
          </w:r>
          <w:proofErr w:type="spellStart"/>
          <w:r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>N°</w:t>
          </w:r>
          <w:proofErr w:type="spellEnd"/>
          <w:r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 xml:space="preserve">: </w:t>
          </w:r>
        </w:p>
      </w:tc>
      <w:tc>
        <w:tcPr>
          <w:tcW w:w="2106" w:type="dxa"/>
          <w:tcBorders>
            <w:left w:val="nil"/>
            <w:bottom w:val="single" w:sz="4" w:space="0" w:color="auto"/>
            <w:right w:val="double" w:sz="4" w:space="0" w:color="auto"/>
          </w:tcBorders>
          <w:vAlign w:val="center"/>
        </w:tcPr>
        <w:p w14:paraId="254C111A" w14:textId="7E843766" w:rsidR="002835C0" w:rsidRPr="00D02439" w:rsidRDefault="00512F82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  <w:r w:rsidRPr="00512F82"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  <w:t>QP-OP-PNO-013</w:t>
          </w:r>
        </w:p>
      </w:tc>
    </w:tr>
    <w:tr w:rsidR="002835C0" w:rsidRPr="002835C0" w14:paraId="1A9BE7FF" w14:textId="77777777" w:rsidTr="00BC2A23">
      <w:trPr>
        <w:trHeight w:val="340"/>
      </w:trPr>
      <w:tc>
        <w:tcPr>
          <w:tcW w:w="2405" w:type="dxa"/>
          <w:vMerge/>
          <w:tcBorders>
            <w:left w:val="double" w:sz="4" w:space="0" w:color="auto"/>
          </w:tcBorders>
        </w:tcPr>
        <w:p w14:paraId="09A8A268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</w:p>
      </w:tc>
      <w:tc>
        <w:tcPr>
          <w:tcW w:w="6423" w:type="dxa"/>
          <w:gridSpan w:val="3"/>
          <w:tcBorders>
            <w:right w:val="double" w:sz="4" w:space="0" w:color="auto"/>
          </w:tcBorders>
          <w:vAlign w:val="center"/>
        </w:tcPr>
        <w:p w14:paraId="256B25F5" w14:textId="18488717" w:rsidR="002835C0" w:rsidRPr="00D02439" w:rsidRDefault="00D02439" w:rsidP="002835C0">
          <w:pPr>
            <w:widowControl w:val="0"/>
            <w:autoSpaceDE w:val="0"/>
            <w:autoSpaceDN w:val="0"/>
            <w:adjustRightInd w:val="0"/>
            <w:jc w:val="center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  <w:t>MANUAL DE PROCEDIMIENTOS</w:t>
          </w:r>
        </w:p>
      </w:tc>
    </w:tr>
    <w:tr w:rsidR="002835C0" w:rsidRPr="002835C0" w14:paraId="16AD79BE" w14:textId="77777777" w:rsidTr="00BC2A23">
      <w:trPr>
        <w:trHeight w:val="227"/>
      </w:trPr>
      <w:tc>
        <w:tcPr>
          <w:tcW w:w="5705" w:type="dxa"/>
          <w:gridSpan w:val="2"/>
          <w:vMerge w:val="restart"/>
          <w:tcBorders>
            <w:left w:val="double" w:sz="4" w:space="0" w:color="auto"/>
          </w:tcBorders>
          <w:vAlign w:val="center"/>
        </w:tcPr>
        <w:p w14:paraId="6A1FD9C1" w14:textId="65D6022C" w:rsidR="002835C0" w:rsidRPr="00D02439" w:rsidRDefault="00512F82" w:rsidP="002835C0">
          <w:pPr>
            <w:widowControl w:val="0"/>
            <w:autoSpaceDE w:val="0"/>
            <w:autoSpaceDN w:val="0"/>
            <w:adjustRightInd w:val="0"/>
            <w:jc w:val="center"/>
            <w:rPr>
              <w:rFonts w:asciiTheme="minorHAnsi" w:hAnsiTheme="minorHAnsi" w:cstheme="minorHAnsi"/>
              <w:b/>
              <w:sz w:val="20"/>
              <w:szCs w:val="20"/>
              <w:u w:val="single"/>
              <w:lang w:val="es-ES_tradnl" w:bidi="hi-IN"/>
            </w:rPr>
          </w:pPr>
          <w:r w:rsidRPr="00512F82">
            <w:rPr>
              <w:rFonts w:asciiTheme="minorHAnsi" w:hAnsiTheme="minorHAnsi" w:cstheme="minorHAnsi"/>
              <w:b/>
              <w:sz w:val="20"/>
              <w:szCs w:val="20"/>
              <w:u w:val="single"/>
              <w:lang w:val="es-ES_tradnl" w:bidi="hi-IN"/>
            </w:rPr>
            <w:t>MANUAL DE PROCEDIMIENTOS DEL SISTEMA DE EXPEDIENTE CLÍNICO ELECTRÓNICO (SIEC)</w:t>
          </w:r>
        </w:p>
      </w:tc>
      <w:tc>
        <w:tcPr>
          <w:tcW w:w="1017" w:type="dxa"/>
          <w:tcBorders>
            <w:right w:val="nil"/>
          </w:tcBorders>
        </w:tcPr>
        <w:p w14:paraId="62F1C330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>Fecha:</w:t>
          </w:r>
        </w:p>
      </w:tc>
      <w:tc>
        <w:tcPr>
          <w:tcW w:w="2106" w:type="dxa"/>
          <w:tcBorders>
            <w:left w:val="nil"/>
            <w:right w:val="double" w:sz="4" w:space="0" w:color="auto"/>
          </w:tcBorders>
          <w:vAlign w:val="center"/>
        </w:tcPr>
        <w:p w14:paraId="6FD9EEDD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highlight w:val="yellow"/>
              <w:lang w:val="es-ES_tradnl" w:bidi="hi-IN"/>
            </w:rPr>
          </w:pPr>
          <w:r>
            <w:t>Agosto 2026</w:t>
          </w:r>
        </w:p>
      </w:tc>
    </w:tr>
    <w:tr w:rsidR="002835C0" w:rsidRPr="002835C0" w14:paraId="49351D6C" w14:textId="77777777" w:rsidTr="00BC2A23">
      <w:trPr>
        <w:trHeight w:val="70"/>
      </w:trPr>
      <w:tc>
        <w:tcPr>
          <w:tcW w:w="5705" w:type="dxa"/>
          <w:gridSpan w:val="2"/>
          <w:vMerge/>
          <w:tcBorders>
            <w:left w:val="double" w:sz="4" w:space="0" w:color="auto"/>
          </w:tcBorders>
        </w:tcPr>
        <w:p w14:paraId="18241F67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</w:p>
      </w:tc>
      <w:tc>
        <w:tcPr>
          <w:tcW w:w="1017" w:type="dxa"/>
          <w:tcBorders>
            <w:right w:val="nil"/>
          </w:tcBorders>
        </w:tcPr>
        <w:p w14:paraId="3CD580CB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b/>
              <w:sz w:val="20"/>
              <w:szCs w:val="20"/>
              <w:lang w:val="es-ES_tradnl" w:bidi="hi-IN"/>
            </w:rPr>
            <w:t>Versión:</w:t>
          </w:r>
        </w:p>
      </w:tc>
      <w:tc>
        <w:tcPr>
          <w:tcW w:w="2106" w:type="dxa"/>
          <w:tcBorders>
            <w:left w:val="nil"/>
            <w:right w:val="double" w:sz="4" w:space="0" w:color="auto"/>
          </w:tcBorders>
          <w:vAlign w:val="center"/>
        </w:tcPr>
        <w:p w14:paraId="65BAC56F" w14:textId="0738D063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sz w:val="20"/>
              <w:szCs w:val="20"/>
              <w:lang w:bidi="hi-IN"/>
            </w:rPr>
            <w:t>01</w:t>
          </w:r>
        </w:p>
      </w:tc>
    </w:tr>
    <w:tr w:rsidR="002835C0" w:rsidRPr="002835C0" w14:paraId="53CD496B" w14:textId="77777777" w:rsidTr="00BC2A23">
      <w:trPr>
        <w:trHeight w:val="227"/>
      </w:trPr>
      <w:tc>
        <w:tcPr>
          <w:tcW w:w="5705" w:type="dxa"/>
          <w:gridSpan w:val="2"/>
          <w:vMerge/>
          <w:tcBorders>
            <w:left w:val="double" w:sz="4" w:space="0" w:color="auto"/>
            <w:bottom w:val="double" w:sz="4" w:space="0" w:color="auto"/>
          </w:tcBorders>
        </w:tcPr>
        <w:p w14:paraId="15B699DE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</w:p>
      </w:tc>
      <w:tc>
        <w:tcPr>
          <w:tcW w:w="3123" w:type="dxa"/>
          <w:gridSpan w:val="2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1939A721" w14:textId="77777777" w:rsidR="002835C0" w:rsidRPr="00D02439" w:rsidRDefault="002835C0" w:rsidP="002835C0">
          <w:pPr>
            <w:widowControl w:val="0"/>
            <w:autoSpaceDE w:val="0"/>
            <w:autoSpaceDN w:val="0"/>
            <w:adjustRightInd w:val="0"/>
            <w:jc w:val="center"/>
            <w:rPr>
              <w:rFonts w:asciiTheme="minorHAnsi" w:hAnsiTheme="minorHAnsi" w:cstheme="minorHAnsi"/>
              <w:sz w:val="20"/>
              <w:szCs w:val="20"/>
              <w:lang w:val="es-ES_tradnl" w:bidi="hi-IN"/>
            </w:rPr>
          </w:pPr>
          <w:r w:rsidRPr="00D02439">
            <w:rPr>
              <w:rFonts w:asciiTheme="minorHAnsi" w:hAnsiTheme="minorHAnsi" w:cstheme="minorHAnsi"/>
              <w:sz w:val="20"/>
              <w:szCs w:val="20"/>
              <w:lang w:bidi="hi-IN"/>
            </w:rPr>
            <w:t xml:space="preserve">Página </w:t>
          </w:r>
          <w:r w:rsidR="0038454B" w:rsidRPr="00D02439">
            <w:rPr>
              <w:rFonts w:asciiTheme="minorHAnsi" w:hAnsiTheme="minorHAnsi" w:cstheme="minorHAnsi"/>
              <w:b/>
              <w:bCs/>
              <w:sz w:val="20"/>
              <w:szCs w:val="20"/>
              <w:lang w:val="es-ES_tradnl" w:bidi="hi-IN"/>
            </w:rPr>
            <w:fldChar w:fldCharType="begin"/>
          </w:r>
          <w:r w:rsidRPr="00D02439">
            <w:rPr>
              <w:rFonts w:asciiTheme="minorHAnsi" w:hAnsiTheme="minorHAnsi" w:cstheme="minorHAnsi"/>
              <w:b/>
              <w:bCs/>
              <w:sz w:val="20"/>
              <w:szCs w:val="20"/>
              <w:lang w:val="es-ES_tradnl" w:bidi="hi-IN"/>
            </w:rPr>
            <w:instrText>PAGE  \* Arabic  \* MERGEFORMAT</w:instrText>
          </w:r>
          <w:r w:rsidR="0038454B" w:rsidRPr="00D02439">
            <w:rPr>
              <w:rFonts w:asciiTheme="minorHAnsi" w:hAnsiTheme="minorHAnsi" w:cstheme="minorHAnsi"/>
              <w:b/>
              <w:bCs/>
              <w:sz w:val="20"/>
              <w:szCs w:val="20"/>
              <w:lang w:val="es-ES_tradnl" w:bidi="hi-IN"/>
            </w:rPr>
            <w:fldChar w:fldCharType="separate"/>
          </w:r>
          <w:r w:rsidR="008415E7" w:rsidRPr="00D02439">
            <w:rPr>
              <w:rFonts w:asciiTheme="minorHAnsi" w:hAnsiTheme="minorHAnsi" w:cstheme="minorHAnsi"/>
              <w:b/>
              <w:bCs/>
              <w:noProof/>
              <w:sz w:val="20"/>
              <w:szCs w:val="20"/>
              <w:lang w:val="es-ES_tradnl" w:bidi="hi-IN"/>
            </w:rPr>
            <w:t>1</w:t>
          </w:r>
          <w:r w:rsidR="0038454B" w:rsidRPr="00D02439">
            <w:rPr>
              <w:rFonts w:asciiTheme="minorHAnsi" w:hAnsiTheme="minorHAnsi" w:cstheme="minorHAnsi"/>
              <w:b/>
              <w:bCs/>
              <w:sz w:val="20"/>
              <w:szCs w:val="20"/>
              <w:lang w:val="es-ES_tradnl" w:bidi="hi-IN"/>
            </w:rPr>
            <w:fldChar w:fldCharType="end"/>
          </w:r>
          <w:r w:rsidRPr="00D02439">
            <w:rPr>
              <w:rFonts w:asciiTheme="minorHAnsi" w:hAnsiTheme="minorHAnsi" w:cstheme="minorHAnsi"/>
              <w:sz w:val="20"/>
              <w:szCs w:val="20"/>
              <w:lang w:bidi="hi-IN"/>
            </w:rPr>
            <w:t xml:space="preserve"> de </w:t>
          </w:r>
          <w:r w:rsidR="00160CD2" w:rsidRPr="00D02439">
            <w:rPr>
              <w:rFonts w:asciiTheme="minorHAnsi" w:hAnsiTheme="minorHAnsi" w:cstheme="minorHAnsi"/>
              <w:sz w:val="20"/>
              <w:szCs w:val="20"/>
            </w:rPr>
            <w:fldChar w:fldCharType="begin"/>
          </w:r>
          <w:r w:rsidR="00160CD2" w:rsidRPr="00D02439">
            <w:rPr>
              <w:rFonts w:asciiTheme="minorHAnsi" w:hAnsiTheme="minorHAnsi" w:cstheme="minorHAnsi"/>
              <w:sz w:val="20"/>
              <w:szCs w:val="20"/>
            </w:rPr>
            <w:instrText>NUMPAGES  \* Arabic  \* MERGEFORMAT</w:instrText>
          </w:r>
          <w:r w:rsidR="00160CD2" w:rsidRPr="00D02439">
            <w:rPr>
              <w:rFonts w:asciiTheme="minorHAnsi" w:hAnsiTheme="minorHAnsi" w:cstheme="minorHAnsi"/>
              <w:sz w:val="20"/>
              <w:szCs w:val="20"/>
            </w:rPr>
            <w:fldChar w:fldCharType="separate"/>
          </w:r>
          <w:r w:rsidR="008415E7" w:rsidRPr="00D02439">
            <w:rPr>
              <w:rFonts w:asciiTheme="minorHAnsi" w:hAnsiTheme="minorHAnsi" w:cstheme="minorHAnsi"/>
              <w:b/>
              <w:bCs/>
              <w:noProof/>
              <w:sz w:val="20"/>
              <w:szCs w:val="20"/>
              <w:lang w:val="es-ES_tradnl" w:bidi="hi-IN"/>
            </w:rPr>
            <w:t>10</w:t>
          </w:r>
          <w:r w:rsidR="00160CD2" w:rsidRPr="00D02439">
            <w:rPr>
              <w:rFonts w:asciiTheme="minorHAnsi" w:hAnsiTheme="minorHAnsi" w:cstheme="minorHAnsi"/>
              <w:b/>
              <w:bCs/>
              <w:noProof/>
              <w:sz w:val="20"/>
              <w:szCs w:val="20"/>
              <w:lang w:val="es-ES_tradnl" w:bidi="hi-IN"/>
            </w:rPr>
            <w:fldChar w:fldCharType="end"/>
          </w:r>
        </w:p>
      </w:tc>
    </w:tr>
  </w:tbl>
  <w:p w14:paraId="05868310" w14:textId="77777777" w:rsidR="00EA66B2" w:rsidRDefault="00EA66B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6214" w14:textId="77777777" w:rsidR="00903FED" w:rsidRDefault="00000000">
    <w:pPr>
      <w:pStyle w:val="Encabezado"/>
    </w:pPr>
    <w:r>
      <w:rPr>
        <w:noProof/>
        <w:lang w:val="es-CO" w:eastAsia="es-CO"/>
      </w:rPr>
      <w:pict w14:anchorId="15CE5E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5174" o:spid="_x0000_s1025" type="#_x0000_t75" style="position:absolute;margin-left:0;margin-top:0;width:441.85pt;height:189.15pt;z-index:-251658752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1C14"/>
    <w:multiLevelType w:val="hybridMultilevel"/>
    <w:tmpl w:val="111249F0"/>
    <w:lvl w:ilvl="0" w:tplc="325420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16D"/>
    <w:multiLevelType w:val="multilevel"/>
    <w:tmpl w:val="6EE6C5F6"/>
    <w:lvl w:ilvl="0">
      <w:start w:val="4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252E167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34405F"/>
    <w:multiLevelType w:val="hybridMultilevel"/>
    <w:tmpl w:val="FFBA39BC"/>
    <w:lvl w:ilvl="0" w:tplc="A91072BC">
      <w:start w:val="7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12D79"/>
    <w:multiLevelType w:val="hybridMultilevel"/>
    <w:tmpl w:val="8E2E2324"/>
    <w:lvl w:ilvl="0" w:tplc="97F8AA9C">
      <w:numFmt w:val="bullet"/>
      <w:lvlText w:val="-"/>
      <w:lvlJc w:val="left"/>
      <w:pPr>
        <w:ind w:left="719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s-ES" w:eastAsia="en-US" w:bidi="ar-SA"/>
      </w:rPr>
    </w:lvl>
    <w:lvl w:ilvl="1" w:tplc="CEF04922">
      <w:numFmt w:val="bullet"/>
      <w:lvlText w:val="•"/>
      <w:lvlJc w:val="left"/>
      <w:pPr>
        <w:ind w:left="1111" w:hanging="360"/>
      </w:pPr>
      <w:rPr>
        <w:rFonts w:hint="default"/>
        <w:lang w:val="es-ES" w:eastAsia="en-US" w:bidi="ar-SA"/>
      </w:rPr>
    </w:lvl>
    <w:lvl w:ilvl="2" w:tplc="159EC5CE">
      <w:numFmt w:val="bullet"/>
      <w:lvlText w:val="•"/>
      <w:lvlJc w:val="left"/>
      <w:pPr>
        <w:ind w:left="1502" w:hanging="360"/>
      </w:pPr>
      <w:rPr>
        <w:rFonts w:hint="default"/>
        <w:lang w:val="es-ES" w:eastAsia="en-US" w:bidi="ar-SA"/>
      </w:rPr>
    </w:lvl>
    <w:lvl w:ilvl="3" w:tplc="EE000DAC">
      <w:numFmt w:val="bullet"/>
      <w:lvlText w:val="•"/>
      <w:lvlJc w:val="left"/>
      <w:pPr>
        <w:ind w:left="1894" w:hanging="360"/>
      </w:pPr>
      <w:rPr>
        <w:rFonts w:hint="default"/>
        <w:lang w:val="es-ES" w:eastAsia="en-US" w:bidi="ar-SA"/>
      </w:rPr>
    </w:lvl>
    <w:lvl w:ilvl="4" w:tplc="F5CC563E">
      <w:numFmt w:val="bullet"/>
      <w:lvlText w:val="•"/>
      <w:lvlJc w:val="left"/>
      <w:pPr>
        <w:ind w:left="2285" w:hanging="360"/>
      </w:pPr>
      <w:rPr>
        <w:rFonts w:hint="default"/>
        <w:lang w:val="es-ES" w:eastAsia="en-US" w:bidi="ar-SA"/>
      </w:rPr>
    </w:lvl>
    <w:lvl w:ilvl="5" w:tplc="0A2C8C96">
      <w:numFmt w:val="bullet"/>
      <w:lvlText w:val="•"/>
      <w:lvlJc w:val="left"/>
      <w:pPr>
        <w:ind w:left="2677" w:hanging="360"/>
      </w:pPr>
      <w:rPr>
        <w:rFonts w:hint="default"/>
        <w:lang w:val="es-ES" w:eastAsia="en-US" w:bidi="ar-SA"/>
      </w:rPr>
    </w:lvl>
    <w:lvl w:ilvl="6" w:tplc="BA640004">
      <w:numFmt w:val="bullet"/>
      <w:lvlText w:val="•"/>
      <w:lvlJc w:val="left"/>
      <w:pPr>
        <w:ind w:left="3068" w:hanging="360"/>
      </w:pPr>
      <w:rPr>
        <w:rFonts w:hint="default"/>
        <w:lang w:val="es-ES" w:eastAsia="en-US" w:bidi="ar-SA"/>
      </w:rPr>
    </w:lvl>
    <w:lvl w:ilvl="7" w:tplc="E1CCF176">
      <w:numFmt w:val="bullet"/>
      <w:lvlText w:val="•"/>
      <w:lvlJc w:val="left"/>
      <w:pPr>
        <w:ind w:left="3460" w:hanging="360"/>
      </w:pPr>
      <w:rPr>
        <w:rFonts w:hint="default"/>
        <w:lang w:val="es-ES" w:eastAsia="en-US" w:bidi="ar-SA"/>
      </w:rPr>
    </w:lvl>
    <w:lvl w:ilvl="8" w:tplc="E3643754">
      <w:numFmt w:val="bullet"/>
      <w:lvlText w:val="•"/>
      <w:lvlJc w:val="left"/>
      <w:pPr>
        <w:ind w:left="385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60F792F"/>
    <w:multiLevelType w:val="hybridMultilevel"/>
    <w:tmpl w:val="F99EBA2C"/>
    <w:lvl w:ilvl="0" w:tplc="6D56ED5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35133">
    <w:abstractNumId w:val="1"/>
  </w:num>
  <w:num w:numId="2" w16cid:durableId="467236814">
    <w:abstractNumId w:val="2"/>
  </w:num>
  <w:num w:numId="3" w16cid:durableId="1309093319">
    <w:abstractNumId w:val="3"/>
  </w:num>
  <w:num w:numId="4" w16cid:durableId="1321541450">
    <w:abstractNumId w:val="0"/>
  </w:num>
  <w:num w:numId="5" w16cid:durableId="1969357855">
    <w:abstractNumId w:val="5"/>
  </w:num>
  <w:num w:numId="6" w16cid:durableId="150262389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98"/>
    <w:rsid w:val="00002636"/>
    <w:rsid w:val="0001615F"/>
    <w:rsid w:val="00026B85"/>
    <w:rsid w:val="00035469"/>
    <w:rsid w:val="00044AEF"/>
    <w:rsid w:val="00057EB8"/>
    <w:rsid w:val="00075088"/>
    <w:rsid w:val="00083451"/>
    <w:rsid w:val="00084F8E"/>
    <w:rsid w:val="00092A5A"/>
    <w:rsid w:val="000930BD"/>
    <w:rsid w:val="00093F2A"/>
    <w:rsid w:val="000964E8"/>
    <w:rsid w:val="000A29D1"/>
    <w:rsid w:val="000A5E95"/>
    <w:rsid w:val="000B316C"/>
    <w:rsid w:val="000D75AB"/>
    <w:rsid w:val="000E23AD"/>
    <w:rsid w:val="000E5698"/>
    <w:rsid w:val="000F2CA6"/>
    <w:rsid w:val="000F709C"/>
    <w:rsid w:val="001035B3"/>
    <w:rsid w:val="00107E6D"/>
    <w:rsid w:val="00122307"/>
    <w:rsid w:val="00131092"/>
    <w:rsid w:val="00131205"/>
    <w:rsid w:val="00135DB6"/>
    <w:rsid w:val="001533BC"/>
    <w:rsid w:val="00160CD2"/>
    <w:rsid w:val="00160DC6"/>
    <w:rsid w:val="001636C5"/>
    <w:rsid w:val="0017715F"/>
    <w:rsid w:val="001806EB"/>
    <w:rsid w:val="001817E5"/>
    <w:rsid w:val="001919B1"/>
    <w:rsid w:val="001A0AA4"/>
    <w:rsid w:val="001B278C"/>
    <w:rsid w:val="001B6DB8"/>
    <w:rsid w:val="001B7937"/>
    <w:rsid w:val="001C6AE8"/>
    <w:rsid w:val="001D3E7A"/>
    <w:rsid w:val="001D4D60"/>
    <w:rsid w:val="001D6CB6"/>
    <w:rsid w:val="001D6D05"/>
    <w:rsid w:val="001E3944"/>
    <w:rsid w:val="001E47D4"/>
    <w:rsid w:val="001F484C"/>
    <w:rsid w:val="001F5CEA"/>
    <w:rsid w:val="001F704C"/>
    <w:rsid w:val="00201B5D"/>
    <w:rsid w:val="00207D8F"/>
    <w:rsid w:val="002152FB"/>
    <w:rsid w:val="0022051B"/>
    <w:rsid w:val="002321C0"/>
    <w:rsid w:val="002353BB"/>
    <w:rsid w:val="002414B9"/>
    <w:rsid w:val="002434AE"/>
    <w:rsid w:val="002533D6"/>
    <w:rsid w:val="0026410B"/>
    <w:rsid w:val="002743DB"/>
    <w:rsid w:val="00276286"/>
    <w:rsid w:val="002835C0"/>
    <w:rsid w:val="00295170"/>
    <w:rsid w:val="00297532"/>
    <w:rsid w:val="002A2C7F"/>
    <w:rsid w:val="002A3252"/>
    <w:rsid w:val="002A7329"/>
    <w:rsid w:val="002A73FF"/>
    <w:rsid w:val="002B0DFD"/>
    <w:rsid w:val="002B6D24"/>
    <w:rsid w:val="002C4729"/>
    <w:rsid w:val="002C61D9"/>
    <w:rsid w:val="002D1076"/>
    <w:rsid w:val="002E3E89"/>
    <w:rsid w:val="002E4C0D"/>
    <w:rsid w:val="00302B37"/>
    <w:rsid w:val="00303FEF"/>
    <w:rsid w:val="00314F6D"/>
    <w:rsid w:val="00315A42"/>
    <w:rsid w:val="0031610A"/>
    <w:rsid w:val="003258E7"/>
    <w:rsid w:val="003416F5"/>
    <w:rsid w:val="00345BF9"/>
    <w:rsid w:val="003460C2"/>
    <w:rsid w:val="003468BA"/>
    <w:rsid w:val="0035153E"/>
    <w:rsid w:val="00362082"/>
    <w:rsid w:val="00376633"/>
    <w:rsid w:val="00382833"/>
    <w:rsid w:val="0038454B"/>
    <w:rsid w:val="003855CB"/>
    <w:rsid w:val="00385695"/>
    <w:rsid w:val="00391719"/>
    <w:rsid w:val="003A72F1"/>
    <w:rsid w:val="003B0D1B"/>
    <w:rsid w:val="003B48AC"/>
    <w:rsid w:val="003E3B66"/>
    <w:rsid w:val="003E45C5"/>
    <w:rsid w:val="003E590F"/>
    <w:rsid w:val="003E5E6D"/>
    <w:rsid w:val="003F111A"/>
    <w:rsid w:val="003F7764"/>
    <w:rsid w:val="004049A7"/>
    <w:rsid w:val="00407742"/>
    <w:rsid w:val="00411CEC"/>
    <w:rsid w:val="004173E9"/>
    <w:rsid w:val="00437BC0"/>
    <w:rsid w:val="00440EAA"/>
    <w:rsid w:val="004525C1"/>
    <w:rsid w:val="00456021"/>
    <w:rsid w:val="00462FDB"/>
    <w:rsid w:val="004638F9"/>
    <w:rsid w:val="0047046B"/>
    <w:rsid w:val="00475619"/>
    <w:rsid w:val="00487E94"/>
    <w:rsid w:val="00491CF4"/>
    <w:rsid w:val="004A47D7"/>
    <w:rsid w:val="004A55A0"/>
    <w:rsid w:val="004C300A"/>
    <w:rsid w:val="004C3965"/>
    <w:rsid w:val="004C3C95"/>
    <w:rsid w:val="004D219D"/>
    <w:rsid w:val="004D3DA4"/>
    <w:rsid w:val="004D61FB"/>
    <w:rsid w:val="004E05E5"/>
    <w:rsid w:val="004E50B8"/>
    <w:rsid w:val="004E5A2B"/>
    <w:rsid w:val="004E6BD3"/>
    <w:rsid w:val="004E7BDA"/>
    <w:rsid w:val="004E7E2B"/>
    <w:rsid w:val="004F39B7"/>
    <w:rsid w:val="00511F05"/>
    <w:rsid w:val="00512F82"/>
    <w:rsid w:val="00513564"/>
    <w:rsid w:val="00513D46"/>
    <w:rsid w:val="00542E72"/>
    <w:rsid w:val="0056243C"/>
    <w:rsid w:val="00563496"/>
    <w:rsid w:val="00565A70"/>
    <w:rsid w:val="00576ED4"/>
    <w:rsid w:val="00580F97"/>
    <w:rsid w:val="0059177B"/>
    <w:rsid w:val="005A69E9"/>
    <w:rsid w:val="005B537B"/>
    <w:rsid w:val="005B5983"/>
    <w:rsid w:val="005C16FA"/>
    <w:rsid w:val="005D1D31"/>
    <w:rsid w:val="005D3640"/>
    <w:rsid w:val="005E11D8"/>
    <w:rsid w:val="005F50CF"/>
    <w:rsid w:val="00613699"/>
    <w:rsid w:val="00620117"/>
    <w:rsid w:val="00621598"/>
    <w:rsid w:val="00630AEF"/>
    <w:rsid w:val="006471BA"/>
    <w:rsid w:val="0065108E"/>
    <w:rsid w:val="00663B64"/>
    <w:rsid w:val="00667EFE"/>
    <w:rsid w:val="0067499E"/>
    <w:rsid w:val="006822B6"/>
    <w:rsid w:val="006840E1"/>
    <w:rsid w:val="006866B8"/>
    <w:rsid w:val="00691540"/>
    <w:rsid w:val="00697AE6"/>
    <w:rsid w:val="00697D5D"/>
    <w:rsid w:val="006B198F"/>
    <w:rsid w:val="006B52D1"/>
    <w:rsid w:val="006C17A9"/>
    <w:rsid w:val="006C198B"/>
    <w:rsid w:val="006C47F1"/>
    <w:rsid w:val="006C6B0A"/>
    <w:rsid w:val="006C7682"/>
    <w:rsid w:val="006D3E46"/>
    <w:rsid w:val="006E15FB"/>
    <w:rsid w:val="006E16F8"/>
    <w:rsid w:val="006F10C5"/>
    <w:rsid w:val="006F7763"/>
    <w:rsid w:val="00703251"/>
    <w:rsid w:val="007054C6"/>
    <w:rsid w:val="007072E9"/>
    <w:rsid w:val="00713142"/>
    <w:rsid w:val="00713A42"/>
    <w:rsid w:val="007168EC"/>
    <w:rsid w:val="00726C45"/>
    <w:rsid w:val="00732C18"/>
    <w:rsid w:val="00736B55"/>
    <w:rsid w:val="00751BC8"/>
    <w:rsid w:val="0076544E"/>
    <w:rsid w:val="00780E55"/>
    <w:rsid w:val="007A7969"/>
    <w:rsid w:val="007A7B8B"/>
    <w:rsid w:val="007C1CE8"/>
    <w:rsid w:val="007E3DFF"/>
    <w:rsid w:val="007E73DB"/>
    <w:rsid w:val="008103D2"/>
    <w:rsid w:val="00814DF6"/>
    <w:rsid w:val="00820DCB"/>
    <w:rsid w:val="008271F8"/>
    <w:rsid w:val="00831511"/>
    <w:rsid w:val="008377A7"/>
    <w:rsid w:val="008415E7"/>
    <w:rsid w:val="00857EA4"/>
    <w:rsid w:val="008605FE"/>
    <w:rsid w:val="0086244E"/>
    <w:rsid w:val="0086631A"/>
    <w:rsid w:val="00873CD3"/>
    <w:rsid w:val="008821FD"/>
    <w:rsid w:val="008828A2"/>
    <w:rsid w:val="00890BD2"/>
    <w:rsid w:val="008925FC"/>
    <w:rsid w:val="00897953"/>
    <w:rsid w:val="008A577A"/>
    <w:rsid w:val="008C5244"/>
    <w:rsid w:val="008C6745"/>
    <w:rsid w:val="008D6E73"/>
    <w:rsid w:val="008E1E08"/>
    <w:rsid w:val="008E7880"/>
    <w:rsid w:val="008F44CC"/>
    <w:rsid w:val="00903FED"/>
    <w:rsid w:val="0091286B"/>
    <w:rsid w:val="00915709"/>
    <w:rsid w:val="00916D9A"/>
    <w:rsid w:val="00922660"/>
    <w:rsid w:val="009231D2"/>
    <w:rsid w:val="009257B5"/>
    <w:rsid w:val="00937172"/>
    <w:rsid w:val="00941A70"/>
    <w:rsid w:val="009535CE"/>
    <w:rsid w:val="00955E21"/>
    <w:rsid w:val="009629D4"/>
    <w:rsid w:val="0097333B"/>
    <w:rsid w:val="00973554"/>
    <w:rsid w:val="009814B4"/>
    <w:rsid w:val="00993B6F"/>
    <w:rsid w:val="00995535"/>
    <w:rsid w:val="009A16B8"/>
    <w:rsid w:val="009A4367"/>
    <w:rsid w:val="009B23D3"/>
    <w:rsid w:val="009C2BEB"/>
    <w:rsid w:val="009D5D2C"/>
    <w:rsid w:val="009F1348"/>
    <w:rsid w:val="009F30BD"/>
    <w:rsid w:val="00A00E79"/>
    <w:rsid w:val="00A21B58"/>
    <w:rsid w:val="00A3245B"/>
    <w:rsid w:val="00A363C9"/>
    <w:rsid w:val="00A43DCC"/>
    <w:rsid w:val="00A453BC"/>
    <w:rsid w:val="00A45ED1"/>
    <w:rsid w:val="00A46E80"/>
    <w:rsid w:val="00A60B20"/>
    <w:rsid w:val="00A703D8"/>
    <w:rsid w:val="00A70D5E"/>
    <w:rsid w:val="00A73F5F"/>
    <w:rsid w:val="00A7534B"/>
    <w:rsid w:val="00A777E6"/>
    <w:rsid w:val="00A80808"/>
    <w:rsid w:val="00A823B1"/>
    <w:rsid w:val="00A86B89"/>
    <w:rsid w:val="00A93A0C"/>
    <w:rsid w:val="00A97E22"/>
    <w:rsid w:val="00AC054D"/>
    <w:rsid w:val="00AC08DA"/>
    <w:rsid w:val="00AC112B"/>
    <w:rsid w:val="00AC2D1A"/>
    <w:rsid w:val="00AE2118"/>
    <w:rsid w:val="00AF28D2"/>
    <w:rsid w:val="00AF6F49"/>
    <w:rsid w:val="00B02CBF"/>
    <w:rsid w:val="00B10164"/>
    <w:rsid w:val="00B17284"/>
    <w:rsid w:val="00B37543"/>
    <w:rsid w:val="00B44D93"/>
    <w:rsid w:val="00B56FE3"/>
    <w:rsid w:val="00B65E62"/>
    <w:rsid w:val="00B7485B"/>
    <w:rsid w:val="00B7560D"/>
    <w:rsid w:val="00B83195"/>
    <w:rsid w:val="00B84176"/>
    <w:rsid w:val="00B91116"/>
    <w:rsid w:val="00BB1D67"/>
    <w:rsid w:val="00BB2816"/>
    <w:rsid w:val="00BC2A23"/>
    <w:rsid w:val="00BC37D6"/>
    <w:rsid w:val="00BE7463"/>
    <w:rsid w:val="00BF0CE3"/>
    <w:rsid w:val="00BF69AB"/>
    <w:rsid w:val="00C05BFE"/>
    <w:rsid w:val="00C05FEE"/>
    <w:rsid w:val="00C1120C"/>
    <w:rsid w:val="00C21907"/>
    <w:rsid w:val="00C24124"/>
    <w:rsid w:val="00C34B21"/>
    <w:rsid w:val="00C40922"/>
    <w:rsid w:val="00C72A46"/>
    <w:rsid w:val="00C840BF"/>
    <w:rsid w:val="00C937EE"/>
    <w:rsid w:val="00C93AB5"/>
    <w:rsid w:val="00CA046C"/>
    <w:rsid w:val="00CA06F7"/>
    <w:rsid w:val="00CA3834"/>
    <w:rsid w:val="00CA511E"/>
    <w:rsid w:val="00CB1404"/>
    <w:rsid w:val="00CC2267"/>
    <w:rsid w:val="00CD19CC"/>
    <w:rsid w:val="00CD1C96"/>
    <w:rsid w:val="00D02439"/>
    <w:rsid w:val="00D15233"/>
    <w:rsid w:val="00D16874"/>
    <w:rsid w:val="00D276A6"/>
    <w:rsid w:val="00D30D3B"/>
    <w:rsid w:val="00D36F2E"/>
    <w:rsid w:val="00D37D49"/>
    <w:rsid w:val="00D4293A"/>
    <w:rsid w:val="00D475BD"/>
    <w:rsid w:val="00D50269"/>
    <w:rsid w:val="00D57E22"/>
    <w:rsid w:val="00D8619B"/>
    <w:rsid w:val="00DA0820"/>
    <w:rsid w:val="00DB635B"/>
    <w:rsid w:val="00DE612C"/>
    <w:rsid w:val="00DE7F8C"/>
    <w:rsid w:val="00DF4690"/>
    <w:rsid w:val="00DF491E"/>
    <w:rsid w:val="00E14D40"/>
    <w:rsid w:val="00E210B0"/>
    <w:rsid w:val="00E22CAA"/>
    <w:rsid w:val="00E262E7"/>
    <w:rsid w:val="00E34063"/>
    <w:rsid w:val="00E522B4"/>
    <w:rsid w:val="00E53456"/>
    <w:rsid w:val="00E6404D"/>
    <w:rsid w:val="00E65066"/>
    <w:rsid w:val="00E66035"/>
    <w:rsid w:val="00E671D8"/>
    <w:rsid w:val="00E67697"/>
    <w:rsid w:val="00E823E4"/>
    <w:rsid w:val="00E87A5E"/>
    <w:rsid w:val="00E9065A"/>
    <w:rsid w:val="00E92C18"/>
    <w:rsid w:val="00EA66B2"/>
    <w:rsid w:val="00EB325C"/>
    <w:rsid w:val="00EB4DBC"/>
    <w:rsid w:val="00EB7604"/>
    <w:rsid w:val="00EC0977"/>
    <w:rsid w:val="00EC1A56"/>
    <w:rsid w:val="00ED000F"/>
    <w:rsid w:val="00ED5F7A"/>
    <w:rsid w:val="00EE08F4"/>
    <w:rsid w:val="00EE11AA"/>
    <w:rsid w:val="00EF4DFF"/>
    <w:rsid w:val="00EF6387"/>
    <w:rsid w:val="00F038C1"/>
    <w:rsid w:val="00F04D8A"/>
    <w:rsid w:val="00F05495"/>
    <w:rsid w:val="00F12D04"/>
    <w:rsid w:val="00F25443"/>
    <w:rsid w:val="00F308F0"/>
    <w:rsid w:val="00F4134E"/>
    <w:rsid w:val="00F45806"/>
    <w:rsid w:val="00F50A5F"/>
    <w:rsid w:val="00F60D06"/>
    <w:rsid w:val="00F672B3"/>
    <w:rsid w:val="00F72591"/>
    <w:rsid w:val="00F7592F"/>
    <w:rsid w:val="00F84AFF"/>
    <w:rsid w:val="00F853C4"/>
    <w:rsid w:val="00F904AE"/>
    <w:rsid w:val="00F93CF1"/>
    <w:rsid w:val="00FB7775"/>
    <w:rsid w:val="00FC45C9"/>
    <w:rsid w:val="00FC7BB1"/>
    <w:rsid w:val="00FE0DBD"/>
    <w:rsid w:val="00FE2929"/>
    <w:rsid w:val="00FE4646"/>
    <w:rsid w:val="00FF1ACC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B93B6"/>
  <w15:docId w15:val="{33C91CA3-778B-4F25-9E5E-6A5812F6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0E569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C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B02CBF"/>
    <w:pPr>
      <w:spacing w:before="240" w:after="60"/>
      <w:outlineLvl w:val="6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69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E5698"/>
    <w:pPr>
      <w:spacing w:before="100" w:beforeAutospacing="1" w:after="100" w:afterAutospacing="1"/>
    </w:pPr>
    <w:rPr>
      <w:lang w:eastAsia="es-CO"/>
    </w:rPr>
  </w:style>
  <w:style w:type="character" w:styleId="Hipervnculo">
    <w:name w:val="Hyperlink"/>
    <w:basedOn w:val="Fuentedeprrafopredeter"/>
    <w:uiPriority w:val="99"/>
    <w:unhideWhenUsed/>
    <w:rsid w:val="000E5698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0E5698"/>
  </w:style>
  <w:style w:type="paragraph" w:styleId="Encabezado">
    <w:name w:val="header"/>
    <w:basedOn w:val="Normal"/>
    <w:link w:val="EncabezadoCar"/>
    <w:unhideWhenUsed/>
    <w:rsid w:val="000026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02636"/>
  </w:style>
  <w:style w:type="paragraph" w:styleId="Piedepgina">
    <w:name w:val="footer"/>
    <w:basedOn w:val="Normal"/>
    <w:link w:val="Piedepgina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36"/>
  </w:style>
  <w:style w:type="paragraph" w:styleId="Textodeglobo">
    <w:name w:val="Balloon Text"/>
    <w:basedOn w:val="Normal"/>
    <w:link w:val="TextodegloboCar"/>
    <w:uiPriority w:val="99"/>
    <w:semiHidden/>
    <w:unhideWhenUsed/>
    <w:rsid w:val="000026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6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4134E"/>
    <w:pPr>
      <w:ind w:left="720"/>
      <w:contextualSpacing/>
    </w:pPr>
  </w:style>
  <w:style w:type="table" w:styleId="Tablaconcuadrcula">
    <w:name w:val="Table Grid"/>
    <w:basedOn w:val="Tablanormal"/>
    <w:uiPriority w:val="39"/>
    <w:rsid w:val="00C0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unhideWhenUsed/>
    <w:rsid w:val="00B44D93"/>
  </w:style>
  <w:style w:type="table" w:customStyle="1" w:styleId="Tablaconcuadrcula1">
    <w:name w:val="Tabla con cuadrícula1"/>
    <w:basedOn w:val="Tablanormal"/>
    <w:next w:val="Tablaconcuadrcula"/>
    <w:uiPriority w:val="59"/>
    <w:rsid w:val="00283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B02CB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2">
    <w:name w:val="List 2"/>
    <w:basedOn w:val="Normal"/>
    <w:semiHidden/>
    <w:rsid w:val="00B02CBF"/>
    <w:pPr>
      <w:ind w:left="566" w:hanging="283"/>
    </w:pPr>
    <w:rPr>
      <w:szCs w:val="20"/>
      <w:lang w:val="es-ES_tradnl"/>
    </w:rPr>
  </w:style>
  <w:style w:type="paragraph" w:styleId="Textoindependiente3">
    <w:name w:val="Body Text 3"/>
    <w:basedOn w:val="Normal"/>
    <w:link w:val="Textoindependiente3Car"/>
    <w:semiHidden/>
    <w:rsid w:val="00B02CBF"/>
    <w:pPr>
      <w:jc w:val="center"/>
    </w:pPr>
    <w:rPr>
      <w:rFonts w:ascii="Arial" w:hAnsi="Arial"/>
      <w:i/>
      <w:iCs/>
      <w:sz w:val="14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B02CBF"/>
    <w:rPr>
      <w:rFonts w:ascii="Arial" w:eastAsia="Times New Roman" w:hAnsi="Arial" w:cs="Times New Roman"/>
      <w:i/>
      <w:iCs/>
      <w:sz w:val="1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C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semiHidden/>
    <w:rsid w:val="00B02CBF"/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B02CBF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Textoindependiente1">
    <w:name w:val="Texto independiente1"/>
    <w:basedOn w:val="Normal"/>
    <w:rsid w:val="00D37D49"/>
    <w:pPr>
      <w:widowControl w:val="0"/>
    </w:pPr>
    <w:rPr>
      <w:rFonts w:ascii="Arial" w:hAnsi="Arial" w:cs="Arial"/>
      <w:sz w:val="20"/>
      <w:szCs w:val="20"/>
      <w:lang w:val="es-CO" w:eastAsia="es-CO"/>
    </w:rPr>
  </w:style>
  <w:style w:type="paragraph" w:styleId="Sinespaciado">
    <w:name w:val="No Spacing"/>
    <w:uiPriority w:val="1"/>
    <w:qFormat/>
    <w:rsid w:val="00E210B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4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Angel Mondragon B</cp:lastModifiedBy>
  <cp:revision>2</cp:revision>
  <dcterms:created xsi:type="dcterms:W3CDTF">2025-09-06T06:02:00Z</dcterms:created>
  <dcterms:modified xsi:type="dcterms:W3CDTF">2025-09-06T06:02:00Z</dcterms:modified>
</cp:coreProperties>
</file>