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</w:t>
      </w:r>
    </w:p>
    <w:p>
      <w:pPr>
        <w:jc w:val="center"/>
      </w:pPr>
      <w:r>
        <w:rPr>
          <w:sz w:val="24"/>
        </w:rPr>
        <w:t>Производственно-складской комплекс. Строение 1.</w:t>
      </w:r>
    </w:p>
    <w:p>
      <w:pPr>
        <w:pStyle w:val="Heading1"/>
      </w:pPr>
      <w:r>
        <w:t>1. Объект</w:t>
      </w:r>
    </w:p>
    <w:p>
      <w:pPr>
        <w:spacing w:after="80"/>
      </w:pPr>
      <w:r>
        <w:t>Одноэтажное производственно-складское здание с административно-бытовым блоком. 6 арендных блоков одинаковой планировки.</w:t>
      </w:r>
    </w:p>
    <w:p>
      <w:pPr>
        <w:pStyle w:val="Heading1"/>
      </w:pPr>
      <w:r>
        <w:t>2. Основные параметры</w:t>
      </w:r>
    </w:p>
    <w:p>
      <w:pPr>
        <w:spacing w:after="80"/>
      </w:pPr>
      <w:r>
        <w:t>Размеры в осях: 108,0 × 33,0 м.</w:t>
      </w:r>
    </w:p>
    <w:p>
      <w:pPr>
        <w:spacing w:after="80"/>
      </w:pPr>
      <w:r>
        <w:t>Высота от уровня чистого пола до верха парапета: 11,200 м.</w:t>
      </w:r>
    </w:p>
    <w:p>
      <w:pPr>
        <w:spacing w:after="80"/>
      </w:pPr>
      <w:r>
        <w:t>Антресольный этаж в АБЧ на отметке +3.600.</w:t>
      </w:r>
    </w:p>
    <w:p>
      <w:pPr>
        <w:spacing w:after="80"/>
      </w:pPr>
      <w:r>
        <w:t>Абсолютная отметка ±0.000 соответствует 169,10 м (Балтийская система высот).</w:t>
      </w:r>
    </w:p>
    <w:p>
      <w:pPr>
        <w:spacing w:after="80"/>
      </w:pPr>
      <w:r>
        <w:t>Уровень ответственности: II. Степень огнестойкости: III. Класс КПО: C0.</w:t>
      </w:r>
    </w:p>
    <w:p>
      <w:pPr>
        <w:pStyle w:val="Heading1"/>
      </w:pPr>
      <w:r>
        <w:t>3. Конструктивные решения</w:t>
      </w:r>
    </w:p>
    <w:p>
      <w:pPr>
        <w:spacing w:after="80"/>
      </w:pPr>
      <w:r>
        <w:t>Каркас: железобетонный сборный. Колонны 500×500 мм, шаг 11,0 × 18,0 м.</w:t>
      </w:r>
    </w:p>
    <w:p>
      <w:pPr>
        <w:spacing w:after="80"/>
      </w:pPr>
      <w:r>
        <w:t>Кровля: плоская, уклон 3%, мембрана ECOPLAST V-RP, утеплитель ТЕХНОРУФ 140 мм суммарно. Водоотвод внутренний.</w:t>
      </w:r>
    </w:p>
    <w:p>
      <w:pPr>
        <w:spacing w:after="80"/>
      </w:pPr>
      <w:r>
        <w:t>Наружные стены: сэндвич-панели толщиной 150 мм, RAL 7024.</w:t>
      </w:r>
    </w:p>
    <w:p>
      <w:pPr>
        <w:spacing w:after="80"/>
      </w:pPr>
      <w:r>
        <w:t>Ворота: металлические подъёмно-секционные, RAL 9006. Окна: ПВХ, двухкамерный стеклопакет, RAL 7016.</w:t>
      </w:r>
    </w:p>
    <w:p>
      <w:pPr>
        <w:pStyle w:val="Heading1"/>
      </w:pPr>
      <w:r>
        <w:t>4. Климатические условия</w:t>
      </w:r>
    </w:p>
    <w:p>
      <w:pPr>
        <w:spacing w:after="80"/>
      </w:pPr>
      <w:r>
        <w:t>Снеговой район III — 180 кг/м². Ветровое давление — 23 кг/м². Температура наиболее холодной пятидневки: −25°С / −29°С.</w:t>
      </w:r>
    </w:p>
    <w:p>
      <w:pPr>
        <w:pStyle w:val="Heading1"/>
      </w:pPr>
      <w:r>
        <w:t>5. Состав рабочей документации</w:t>
      </w:r>
    </w:p>
    <w:p>
      <w:pPr>
        <w:spacing w:after="80"/>
      </w:pPr>
      <w:r>
        <w:t>АС1-С1 — Общие архитектурные решения (фасады, планы, разрезы, отделка).</w:t>
      </w:r>
    </w:p>
    <w:p>
      <w:pPr>
        <w:spacing w:after="80"/>
      </w:pPr>
      <w:r>
        <w:t>АС2-С1 — Стеновые и кровельные ограждающие конструкции (раскладка панелей, узлы, спецификации).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