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E5F9E" w:sz="8"/>
              <w:left w:val="none" w:color="FFFFFF" w:sz="0"/>
              <w:bottom w:val="single" w:color="1E5F9E" w:sz="8"/>
              <w:right w:val="none" w:color="FFFFFF" w:sz="0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A8A8A"/>
                <w:spacing w:val="40"/>
                <w:sz w:val="12"/>
                <w:szCs w:val="12"/>
              </w:rPr>
              <w:t xml:space="preserve">KP MAINZ · NEUROLOGIE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Meningitis</w:t>
            </w:r>
            <w:r>
              <w:rPr>
                <w:rFonts w:ascii="Arial" w:cs="Arial" w:eastAsia="Arial" w:hAnsi="Arial"/>
                <w:color w:val="8A8A8A"/>
                <w:sz w:val="32"/>
                <w:szCs w:val="32"/>
              </w:rPr>
              <w:t xml:space="preserve">  /  </w:t>
            </w: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Enzephalitis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C5C5C"/>
                <w:sz w:val="14"/>
                <w:szCs w:val="14"/>
              </w:rPr>
              <w:t xml:space="preserve">Eine Seite — Erreger, Klinik, Liquor, Therapie.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00"/>
        <w:gridCol w:w="2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1E5F9E" w:sz="4"/>
                    <w:left w:val="single" w:color="1E5F9E" w:sz="24"/>
                    <w:bottom w:val="single" w:color="1E5F9E" w:sz="4"/>
                    <w:right w:val="single" w:color="1E5F9E" w:sz="4"/>
                  </w:tcBorders>
                  <w:shd w:fill="E5EEF7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🧠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F3D6E"/>
                      <w:spacing w:val="20"/>
                      <w:sz w:val="18"/>
                      <w:szCs w:val="18"/>
                    </w:rPr>
                    <w:t xml:space="preserve">DEFINITION &amp; EINTEILUNG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E5EEF7" w:sz="4"/>
                    <w:bottom w:val="single" w:color="E5EEF7" w:sz="4"/>
                    <w:right w:val="single" w:color="E5EEF7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Meningitis: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Entzündung der Meningen (Pia + Arachnoidea).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Enzephalitis: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Entzündung des Hirnparenchyms.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6"/>
                      <w:szCs w:val="16"/>
                    </w:rPr>
                    <w:t xml:space="preserve">Meningoenzephalitis: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Beide Strukturen betroffen — Mischbild.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3D6E"/>
                      <w:spacing w:val="30"/>
                      <w:sz w:val="13"/>
                      <w:szCs w:val="13"/>
                    </w:rPr>
                    <w:t xml:space="preserve">ERREGERKLASSEN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bakteriell · viral · tuberkulös · mykotisch · parasitär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C0392B" w:sz="4"/>
                    <w:left w:val="single" w:color="C0392B" w:sz="24"/>
                    <w:bottom w:val="single" w:color="C0392B" w:sz="4"/>
                    <w:right w:val="single" w:color="C0392B" w:sz="4"/>
                  </w:tcBorders>
                  <w:shd w:fill="FDE4E1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⚠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pacing w:val="20"/>
                      <w:sz w:val="18"/>
                      <w:szCs w:val="18"/>
                    </w:rPr>
                    <w:t xml:space="preserve">ÄTIOLOGIE NACH ALTER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FDE4E1" w:sz="4"/>
                    <w:bottom w:val="single" w:color="FDE4E1" w:sz="4"/>
                    <w:right w:val="single" w:color="FDE4E1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pacing w:val="30"/>
                      <w:sz w:val="13"/>
                      <w:szCs w:val="13"/>
                    </w:rPr>
                    <w:t xml:space="preserve">NEUGEBORENE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E. coli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Streptokokken Gruppe B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Listerien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pacing w:val="30"/>
                      <w:sz w:val="13"/>
                      <w:szCs w:val="13"/>
                    </w:rPr>
                    <w:t xml:space="preserve">KINDER &amp; ERWACHSENE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S. pneumoniae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(häufigster Erreger)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N. meningitidis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(Petechien!)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H. influenzae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(selten seit Impfung)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pacing w:val="30"/>
                      <w:sz w:val="13"/>
                      <w:szCs w:val="13"/>
                    </w:rPr>
                    <w:t xml:space="preserve">&gt; 50 J. / IMMUNSUPPRESSION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zusätzlich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Listeria monocytogenes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pacing w:val="30"/>
                      <w:sz w:val="13"/>
                      <w:szCs w:val="13"/>
                    </w:rPr>
                    <w:t xml:space="preserve">VIRALE ENZEPHALITIS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HSV-1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(häufigste!), VZV, FSME, Enteroviren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D97706" w:sz="4"/>
                    <w:left w:val="single" w:color="D97706" w:sz="24"/>
                    <w:bottom w:val="single" w:color="D97706" w:sz="4"/>
                    <w:right w:val="single" w:color="D97706" w:sz="4"/>
                  </w:tcBorders>
                  <w:shd w:fill="FDF2E2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🔥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C4A03"/>
                      <w:spacing w:val="20"/>
                      <w:sz w:val="18"/>
                      <w:szCs w:val="18"/>
                    </w:rPr>
                    <w:t xml:space="preserve">KLINIK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FDF2E2" w:sz="4"/>
                    <w:bottom w:val="single" w:color="FDF2E2" w:sz="4"/>
                    <w:right w:val="single" w:color="FDF2E2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C4A03"/>
                      <w:spacing w:val="30"/>
                      <w:sz w:val="13"/>
                      <w:szCs w:val="13"/>
                    </w:rPr>
                    <w:t xml:space="preserve">KLASSISCHE TRIAS (MENINGITIS)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Fieber + Kopfschmerz + Meningismus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C4A03"/>
                      <w:spacing w:val="30"/>
                      <w:sz w:val="13"/>
                      <w:szCs w:val="13"/>
                    </w:rPr>
                    <w:t xml:space="preserve">WEITERE SYMPTOME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Photophobie, Übelkeit/Erbrechen, Bewusstseinsstörung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Petechien / Waterhouse-Friderichsen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→ Meningokokken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C4A03"/>
                      <w:spacing w:val="30"/>
                      <w:sz w:val="13"/>
                      <w:szCs w:val="13"/>
                    </w:rPr>
                    <w:t xml:space="preserve">HINWEISE AUF ENZEPHALITIS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Vigilanzminderung,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fokal-neurologische Defizite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Krampfanfälle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Wesensänderung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C4A03"/>
                      <w:spacing w:val="30"/>
                      <w:sz w:val="13"/>
                      <w:szCs w:val="13"/>
                    </w:rPr>
                    <w:t xml:space="preserve">UNTERSUCHUNGSZEICHEN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Nackensteife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Kernig, Brudzinski, Lasègue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2D7A3E" w:sz="4"/>
                    <w:left w:val="single" w:color="2D7A3E" w:sz="24"/>
                    <w:bottom w:val="single" w:color="2D7A3E" w:sz="4"/>
                    <w:right w:val="single" w:color="2D7A3E" w:sz="4"/>
                  </w:tcBorders>
                  <w:shd w:fill="E3F1E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🔬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4F26"/>
                      <w:spacing w:val="20"/>
                      <w:sz w:val="18"/>
                      <w:szCs w:val="18"/>
                    </w:rPr>
                    <w:t xml:space="preserve">DIAGNOSTIK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E3F1E6" w:sz="4"/>
                    <w:bottom w:val="single" w:color="E3F1E6" w:sz="4"/>
                    <w:right w:val="single" w:color="E3F1E6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26"/>
                      <w:spacing w:val="30"/>
                      <w:sz w:val="13"/>
                      <w:szCs w:val="13"/>
                    </w:rPr>
                    <w:t xml:space="preserve">SOFORTMASSNAHMEN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Blutkulturen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+ Labor (BB, CRP, PCT, Gerinnung)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cCT vor LP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bei: Vigilanzminderung, fokalen Defiziten, Stauungspapille, Immunsuppression, Krampfanfall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Lumbalpunktion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— Druck, Zellzahl, Eiweiß, Glucose, Laktat, Gram, Kultur, PCR (HSV!)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26"/>
                      <w:spacing w:val="30"/>
                      <w:sz w:val="13"/>
                      <w:szCs w:val="13"/>
                    </w:rPr>
                    <w:t xml:space="preserve">LIQUOR-KONSTELLATIONEN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Bakteriell: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trüb, &gt;1000 Zellen,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Granulozyten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Eiweiß ↑↑,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Glucose ↓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Laktat ↑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Viral: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klar, &lt;500 Zellen,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Lymphozyten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Eiweiß ↑, Glucose normal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TBC: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lymphozytär, Eiweiß ↑↑, Glucose ↓, ADA ↑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26"/>
                      <w:spacing w:val="30"/>
                      <w:sz w:val="13"/>
                      <w:szCs w:val="13"/>
                    </w:rPr>
                    <w:t xml:space="preserve">BILDGEBUNG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7A3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MRT bei Enzephalitis: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temporale Hyperintensität bei HSV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7B3F9E" w:sz="4"/>
                    <w:left w:val="single" w:color="7B3F9E" w:sz="24"/>
                    <w:bottom w:val="single" w:color="7B3F9E" w:sz="4"/>
                    <w:right w:val="single" w:color="7B3F9E" w:sz="4"/>
                  </w:tcBorders>
                  <w:shd w:fill="EFE5F7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💊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D2364"/>
                      <w:spacing w:val="20"/>
                      <w:sz w:val="18"/>
                      <w:szCs w:val="18"/>
                    </w:rPr>
                    <w:t xml:space="preserve">THERAPIE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EFE5F7" w:sz="4"/>
                    <w:bottom w:val="single" w:color="EFE5F7" w:sz="4"/>
                    <w:right w:val="single" w:color="EFE5F7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D2364"/>
                      <w:spacing w:val="30"/>
                      <w:sz w:val="13"/>
                      <w:szCs w:val="13"/>
                    </w:rPr>
                    <w:t xml:space="preserve">EMPIRISCH SOFORT (VOR ERREGERNACHWEIS!)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Ceftriaxon 2g i.v.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12-stdl. (oder Cefotaxim 2g 6-stdl.)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+ Ampicillin 2g i.v. 4-stdl.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(Listerien-Abdeckung)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+ Dexamethason 10mg i.v.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6-stdl. — vor/mit erster AB-Gabe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Bei Verdacht Enzephalitis: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Aciclovir 10 mg/kg i.v. 8-stdl.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D2364"/>
                      <w:spacing w:val="30"/>
                      <w:sz w:val="13"/>
                      <w:szCs w:val="13"/>
                    </w:rPr>
                    <w:t xml:space="preserve">HOSPITAL-ACQUIRED / TRAUMA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Vancomycin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(MRSA-Abdeckung)</w:t>
                  </w:r>
                </w:p>
                <w:p>
                  <w:pPr>
                    <w:spacing w:after="3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D2364"/>
                      <w:spacing w:val="30"/>
                      <w:sz w:val="13"/>
                      <w:szCs w:val="13"/>
                    </w:rPr>
                    <w:t xml:space="preserve">POSTEXPOSITIONSPROPHYLAXE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3F9E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Rifampicin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2×600mg/d × 2 Tage für enge Kontaktpersonen bei Meningokokken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B8860B" w:sz="4"/>
                    <w:left w:val="single" w:color="B8860B" w:sz="24"/>
                    <w:bottom w:val="single" w:color="B8860B" w:sz="4"/>
                    <w:right w:val="single" w:color="B8860B" w:sz="4"/>
                  </w:tcBorders>
                  <w:shd w:fill="FBF2D9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⚡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7A5A07"/>
                      <w:spacing w:val="20"/>
                      <w:sz w:val="18"/>
                      <w:szCs w:val="18"/>
                    </w:rPr>
                    <w:t xml:space="preserve">PRÜFER-PERLEN &amp; PITFALLS</w:t>
                  </w:r>
                </w:p>
              </w:tc>
            </w:tr>
          </w:tbl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single" w:color="FBF2D9" w:sz="4"/>
                    <w:bottom w:val="single" w:color="FBF2D9" w:sz="4"/>
                    <w:right w:val="single" w:color="FBF2D9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40"/>
                  </w:tcMar>
                </w:tcPr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Reihenfolge: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Blutkultur → Dexa+AB → CT → LP — niemals AB-Verzögerung wegen Bildgebung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Meldepflicht: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V.a. + Erkrankung + Tod (§§ 6, 7 IfSG); Meningokokken sofort namentlich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HSV-Enzephalitis: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Aciclovir bei Verdacht — Letalität unbehandelt ~70 %, behandelt ~20 %</w:t>
                  </w:r>
                </w:p>
                <w:p>
                  <w:pPr>
                    <w:spacing w:after="20" w:before="20" w:line="240"/>
                    <w:ind w:left="100" w:hanging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6"/>
                      <w:szCs w:val="16"/>
                    </w:rPr>
                    <w:t xml:space="preserve">▸  </w:t>
                  </w:r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Liquor-Pattern merken: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Bakteriell = Glucose runter (Erreger fressen mit)</w:t>
                  </w:r>
                </w:p>
              </w:tc>
            </w:tr>
          </w:tbl>
          <w:p/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A8A8A"/>
          <w:sz w:val="12"/>
          <w:szCs w:val="12"/>
        </w:rPr>
        <w:t xml:space="preserve">KP-Mainz Drills · Stex Lernkarten + Amboss KP-Lernplan · 1-Seiten-Summary</w:t>
      </w:r>
    </w:p>
    <w:sectPr>
      <w:pgSz w:w="11906" w:h="16838" w:orient="portrait"/>
      <w:pgMar w:top="430" w:right="430" w:bottom="430" w:left="4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2026-05-19T18:31:31.369Z</dcterms:created>
  <dcterms:modified xsi:type="dcterms:W3CDTF">2026-05-19T18:31:31.369Z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