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left"/>
      </w:pPr>
      <w:r>
        <w:rPr>
          <w:color w:val="7A5700"/>
        </w:rPr>
        <w:t>CCC WRITERS · TRANSFER RESEARCH</w:t>
      </w:r>
    </w:p>
    <w:p>
      <w:pPr>
        <w:pStyle w:val="Title"/>
      </w:pPr>
      <w:r>
        <w:t>CSU and UC Creative Writing Pathways</w:t>
      </w:r>
    </w:p>
    <w:p>
      <w:pPr>
        <w:pStyle w:val="Deck"/>
      </w:pPr>
      <w:r>
        <w:t>A transfer-first research brief for California Community College writers</w:t>
      </w:r>
    </w:p>
    <w:p>
      <w:pPr>
        <w:pStyle w:val="SmallNote"/>
        <w:pBdr>
          <w:bottom w:val="single" w:sz="18" w:space="5" w:color="ECB632"/>
        </w:pBdr>
      </w:pPr>
      <w:r>
        <w:t>Verified against official university, department, catalog, and transfer-road-map sources · 6 September 2026</w:t>
      </w:r>
    </w:p>
    <w:p>
      <w:r>
        <w:rPr>
          <w:b/>
          <w:color w:val="031B45"/>
        </w:rPr>
        <w:t xml:space="preserve">Scope. </w:t>
      </w:r>
      <w:r>
        <w:t>This first deep pass focuses on formal undergraduate pathways at California public universities: majors, options/concentrations, minors, specializations/emphases, and closely aligned writing programs with a substantial creative-writing component. It does not rank programs and does not treat a single creative-writing course as equivalent to a formal pathway.</w:t>
      </w:r>
    </w:p>
    <w:p>
      <w:pPr>
        <w:spacing w:before="160" w:after="200"/>
        <w:shd w:fill="F3F7FC"/>
        <w:pBdr>
          <w:top w:val="single" w:sz="8" w:color="D9E0E8" w:space="5"/>
          <w:bottom w:val="single" w:sz="8" w:color="D9E0E8" w:space="5"/>
          <w:left w:val="single" w:sz="8" w:color="D9E0E8" w:space="5"/>
          <w:right w:val="single" w:sz="8" w:color="D9E0E8" w:space="5"/>
        </w:pBdr>
      </w:pPr>
      <w:r>
        <w:rPr>
          <w:b/>
          <w:color w:val="031B45"/>
          <w:sz w:val="30"/>
        </w:rPr>
        <w:t xml:space="preserve">28 </w:t>
      </w:r>
      <w:r>
        <w:rPr>
          <w:color w:val="52657A"/>
          <w:sz w:val="19"/>
        </w:rPr>
        <w:t>verified pathways</w:t>
      </w:r>
      <w:r>
        <w:t xml:space="preserve">   •   </w:t>
      </w:r>
      <w:r>
        <w:rPr>
          <w:b/>
          <w:color w:val="031B45"/>
          <w:sz w:val="30"/>
        </w:rPr>
        <w:t xml:space="preserve">19 </w:t>
      </w:r>
      <w:r>
        <w:rPr>
          <w:color w:val="52657A"/>
          <w:sz w:val="19"/>
        </w:rPr>
        <w:t>CSU pathways</w:t>
      </w:r>
      <w:r>
        <w:t xml:space="preserve">   •   </w:t>
      </w:r>
      <w:r>
        <w:rPr>
          <w:b/>
          <w:color w:val="031B45"/>
          <w:sz w:val="30"/>
        </w:rPr>
        <w:t xml:space="preserve">9 </w:t>
      </w:r>
      <w:r>
        <w:rPr>
          <w:color w:val="52657A"/>
          <w:sz w:val="19"/>
        </w:rPr>
        <w:t>UC campuses</w:t>
      </w:r>
      <w:r>
        <w:t xml:space="preserve">   •   </w:t>
      </w:r>
      <w:r>
        <w:rPr>
          <w:b/>
          <w:color w:val="031B45"/>
          <w:sz w:val="30"/>
        </w:rPr>
        <w:t xml:space="preserve">4 </w:t>
      </w:r>
      <w:r>
        <w:rPr>
          <w:color w:val="52657A"/>
          <w:sz w:val="19"/>
        </w:rPr>
        <w:t>published CCC/ADT routes</w:t>
      </w:r>
    </w:p>
    <w:p>
      <w:pPr>
        <w:pStyle w:val="Heading1"/>
      </w:pPr>
      <w:r>
        <w:t>What the Research Says</w:t>
      </w:r>
    </w:p>
    <w:p>
      <w:pPr>
        <w:pStyle w:val="ListBullet"/>
      </w:pPr>
      <w:r>
        <w:t>The cleanest published CCC-to-creative-writing routes in this pass are CSU Northridge, Cal State East Bay, CSU Monterey Bay, and San Francisco State. All four publish transfer/ADT guidance that goes beyond a generic “check ASSIST” message.</w:t>
      </w:r>
    </w:p>
    <w:p>
      <w:pPr>
        <w:pStyle w:val="ListBullet"/>
      </w:pPr>
      <w:r>
        <w:t>The UC landscape is more varied: UCR has a standalone Creative Writing B.A.; UC San Diego has a Literary Arts B.A.; UC Merced has a broader Writing Studies B.A.; other campuses place creative writing inside English/Literature majors, concentrations, emphases, specializations, or minors.</w:t>
      </w:r>
    </w:p>
    <w:p>
      <w:pPr>
        <w:pStyle w:val="ListBullet"/>
      </w:pPr>
      <w:r>
        <w:t>Transfer rules can change the practical value of a program. Berkeley’s minor is entirely upper division; UCSC requires at least one qualifying lower-division creative-writing workshop at UCSC before concentration admission; UCLA workshops are application-only; UCSD publishes transfer substitutions; UC Merced publishes major-specific transfer preparation.</w:t>
      </w:r>
    </w:p>
    <w:p>
      <w:pPr>
        <w:pStyle w:val="ListBullet"/>
      </w:pPr>
      <w:r>
        <w:t>Three CSU campuses—Cal Poly Pomona, CSU San Marcos, and Stanislaus State—have meaningful creative-writing coursework or writing-rich programs, but no current dedicated undergraduate creative-writing pathway met this directory’s inclusion rule in this pass. That is a research distinction, not a judgment about program quality.</w:t>
      </w:r>
    </w:p>
    <w:p>
      <w:pPr>
        <w:pStyle w:val="Heading1"/>
      </w:pPr>
      <w:r>
        <w:t>Four Especially Clear CCC/ADT Routes</w:t>
      </w:r>
    </w:p>
    <w:p>
      <w:r>
        <w:rPr>
          <w:b/>
          <w:color w:val="031B45"/>
          <w:sz w:val="23"/>
        </w:rPr>
        <w:t>California State University, Northridge</w:t>
      </w:r>
    </w:p>
    <w:p>
      <w:r>
        <w:rPr>
          <w:b/>
          <w:color w:val="031B45"/>
        </w:rPr>
        <w:t xml:space="preserve">Pathway: </w:t>
      </w:r>
      <w:r>
        <w:t>English B.A. — Creative Writing Option</w:t>
      </w:r>
    </w:p>
    <w:p>
      <w:r>
        <w:rPr>
          <w:b/>
          <w:color w:val="031B45"/>
        </w:rPr>
        <w:t xml:space="preserve">Why it stands out: </w:t>
      </w:r>
      <w:r>
        <w:t>One of the clearest CCC routes found: CSUN publishes a Creative Writing transfer road map plus ADT/STAR road maps, including an AA-T in English route designed for completion within 60 semester units after transfer when eligibility conditions are met.</w:t>
      </w:r>
    </w:p>
    <w:p>
      <w:hyperlink r:id="rId9">
        <w:r>
          <w:rPr>
            <w:color w:val="06265E"/>
            <w:u w:val="single"/>
            <w:rFonts w:ascii="Aptos" w:hAnsi="Aptos"/>
            <w:sz w:val="20"/>
          </w:rPr>
          <w:t>Open the official transfer guidance</w:t>
        </w:r>
      </w:hyperlink>
    </w:p>
    <w:p>
      <w:r>
        <w:rPr>
          <w:b/>
          <w:color w:val="031B45"/>
          <w:sz w:val="23"/>
        </w:rPr>
        <w:t>California State University, East Bay</w:t>
      </w:r>
    </w:p>
    <w:p>
      <w:r>
        <w:rPr>
          <w:b/>
          <w:color w:val="031B45"/>
        </w:rPr>
        <w:t xml:space="preserve">Pathway: </w:t>
      </w:r>
      <w:r>
        <w:t>English B.A. — Creative Writing Concentration</w:t>
      </w:r>
    </w:p>
    <w:p>
      <w:r>
        <w:rPr>
          <w:b/>
          <w:color w:val="031B45"/>
        </w:rPr>
        <w:t xml:space="preserve">Why it stands out: </w:t>
      </w:r>
      <w:r>
        <w:t>One of the clearest CCC routes found: CSU East Bay publishes an English ADT → Creative Writing Concentration road map structured around 60 post-transfer semester units.</w:t>
      </w:r>
    </w:p>
    <w:p>
      <w:hyperlink r:id="rId10">
        <w:r>
          <w:rPr>
            <w:color w:val="06265E"/>
            <w:u w:val="single"/>
            <w:rFonts w:ascii="Aptos" w:hAnsi="Aptos"/>
            <w:sz w:val="20"/>
          </w:rPr>
          <w:t>Open the official transfer guidance</w:t>
        </w:r>
      </w:hyperlink>
    </w:p>
    <w:p>
      <w:r>
        <w:rPr>
          <w:b/>
          <w:color w:val="031B45"/>
          <w:sz w:val="23"/>
        </w:rPr>
        <w:t>California State University, Monterey Bay</w:t>
      </w:r>
    </w:p>
    <w:p>
      <w:r>
        <w:rPr>
          <w:b/>
          <w:color w:val="031B45"/>
        </w:rPr>
        <w:t xml:space="preserve">Pathway: </w:t>
      </w:r>
      <w:r>
        <w:t>Humanities &amp; Communication B.A. — Creative Writing &amp; Social Action Concentration</w:t>
      </w:r>
    </w:p>
    <w:p>
      <w:r>
        <w:rPr>
          <w:b/>
          <w:color w:val="031B45"/>
        </w:rPr>
        <w:t xml:space="preserve">Why it stands out: </w:t>
      </w:r>
      <w:r>
        <w:t>A particularly clear CCC option: CSUMB publishes Creative Writing &amp; Social Action transfer pathways for students with an AA-T in English and for students without the AA-T. Verify the pathway year that matches your entry term.</w:t>
      </w:r>
    </w:p>
    <w:p>
      <w:hyperlink r:id="rId11">
        <w:r>
          <w:rPr>
            <w:color w:val="06265E"/>
            <w:u w:val="single"/>
            <w:rFonts w:ascii="Aptos" w:hAnsi="Aptos"/>
            <w:sz w:val="20"/>
          </w:rPr>
          <w:t>Open the official transfer guidance</w:t>
        </w:r>
      </w:hyperlink>
    </w:p>
    <w:p>
      <w:r>
        <w:rPr>
          <w:b/>
          <w:color w:val="031B45"/>
          <w:sz w:val="23"/>
        </w:rPr>
        <w:t>San Francisco State University</w:t>
      </w:r>
    </w:p>
    <w:p>
      <w:r>
        <w:rPr>
          <w:b/>
          <w:color w:val="031B45"/>
        </w:rPr>
        <w:t xml:space="preserve">Pathway: </w:t>
      </w:r>
      <w:r>
        <w:t>B.A. in Creative Writing</w:t>
      </w:r>
    </w:p>
    <w:p>
      <w:r>
        <w:rPr>
          <w:b/>
          <w:color w:val="031B45"/>
        </w:rPr>
        <w:t xml:space="preserve">Why it stands out: </w:t>
      </w:r>
      <w:r>
        <w:t>SF State publishes a dedicated ENGL AA-T roadmap for the Creative Writing B.A. The current roadmap is designed for students transferring with an AA-T in English and describes a 60-unit post-transfer completion path, subject to advising and catalog-year requirements.</w:t>
      </w:r>
    </w:p>
    <w:p>
      <w:hyperlink r:id="rId12">
        <w:r>
          <w:rPr>
            <w:color w:val="06265E"/>
            <w:u w:val="single"/>
            <w:rFonts w:ascii="Aptos" w:hAnsi="Aptos"/>
            <w:sz w:val="20"/>
          </w:rPr>
          <w:t>Open the official transfer guidance</w:t>
        </w:r>
      </w:hyperlink>
    </w:p>
    <w:p>
      <w:pPr>
        <w:pStyle w:val="Heading1"/>
      </w:pPr>
      <w:r>
        <w:t>UC Transfer Details That Can Surprise Students</w:t>
      </w:r>
    </w:p>
    <w:p>
      <w:r>
        <w:rPr>
          <w:b/>
          <w:color w:val="031B45"/>
        </w:rPr>
        <w:t xml:space="preserve">UC Berkeley: </w:t>
      </w:r>
      <w:r>
        <w:t>The Creative Writing Minor is upper division. Berkeley explicitly states that community-college courses cannot satisfy the minor requirements.</w:t>
      </w:r>
    </w:p>
    <w:p>
      <w:r>
        <w:rPr>
          <w:b/>
          <w:color w:val="031B45"/>
        </w:rPr>
        <w:t xml:space="preserve">UCLA: </w:t>
      </w:r>
      <w:r>
        <w:t>Creative-writing workshops are application-only. UCLA advises transfer students interested in the minor to begin applying early so they have enough quarters to complete the sequence.</w:t>
      </w:r>
    </w:p>
    <w:p>
      <w:r>
        <w:rPr>
          <w:b/>
          <w:color w:val="031B45"/>
        </w:rPr>
        <w:t xml:space="preserve">UC Santa Cruz: </w:t>
      </w:r>
      <w:r>
        <w:t>The Creative Writing Concentration is selective. Students must complete at least one qualifying lower-division creative-writing workshop at UCSC before applying.</w:t>
      </w:r>
    </w:p>
    <w:p>
      <w:r>
        <w:rPr>
          <w:b/>
          <w:color w:val="031B45"/>
        </w:rPr>
        <w:t xml:space="preserve">UC San Diego: </w:t>
      </w:r>
      <w:r>
        <w:t>The Literary Arts B.A. publishes pre-approved upper-division substitutions for transfer students who still need specified lower-division literature requirements.</w:t>
      </w:r>
    </w:p>
    <w:p>
      <w:r>
        <w:rPr>
          <w:b/>
          <w:color w:val="031B45"/>
        </w:rPr>
        <w:t xml:space="preserve">UC Merced: </w:t>
      </w:r>
      <w:r>
        <w:t>Writing Studies publishes transfer selection criteria that include major-preparation coursework; a creative-writing course can be one of the approved preparation options.</w:t>
      </w:r>
    </w:p>
    <w:p>
      <w:pPr>
        <w:pStyle w:val="Heading1"/>
      </w:pPr>
      <w:r>
        <w:t>UC Directory: Formal Undergraduate Pathways</w:t>
      </w:r>
    </w:p>
    <w:tbl>
      <w:tblPr>
        <w:tblW w:type="auto" w:w="0"/>
        <w:jc w:val="center"/>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2541"/>
        <w:gridCol w:w="2541"/>
        <w:gridCol w:w="2541"/>
        <w:gridCol w:w="2541"/>
      </w:tblGrid>
      <w:tr>
        <w:trPr>
          <w:tblHeader w:val="true"/>
        </w:trPr>
        <w:tc>
          <w:tcPr>
            <w:tcW w:type="dxa" w:w="2189"/>
            <w:shd w:fill="06265E"/>
            <w:tcMar>
              <w:top w:w="85" w:type="dxa"/>
              <w:start w:w="70" w:type="dxa"/>
              <w:bottom w:w="85" w:type="dxa"/>
              <w:end w:w="70" w:type="dxa"/>
            </w:tcMar>
            <w:vAlign w:val="center"/>
          </w:tcPr>
          <w:p>
            <w:r>
              <w:rPr>
                <w:b/>
                <w:color w:val="FFFFFF"/>
                <w:sz w:val="17"/>
              </w:rPr>
              <w:t>University</w:t>
            </w:r>
          </w:p>
        </w:tc>
        <w:tc>
          <w:tcPr>
            <w:tcW w:type="dxa" w:w="3600"/>
            <w:shd w:fill="06265E"/>
            <w:tcMar>
              <w:top w:w="85" w:type="dxa"/>
              <w:start w:w="70" w:type="dxa"/>
              <w:bottom w:w="85" w:type="dxa"/>
              <w:end w:w="70" w:type="dxa"/>
            </w:tcMar>
            <w:vAlign w:val="center"/>
          </w:tcPr>
          <w:p>
            <w:r>
              <w:rPr>
                <w:b/>
                <w:color w:val="FFFFFF"/>
                <w:sz w:val="17"/>
              </w:rPr>
              <w:t>Pathway</w:t>
            </w:r>
          </w:p>
        </w:tc>
        <w:tc>
          <w:tcPr>
            <w:tcW w:type="dxa" w:w="1512"/>
            <w:shd w:fill="06265E"/>
            <w:tcMar>
              <w:top w:w="85" w:type="dxa"/>
              <w:start w:w="70" w:type="dxa"/>
              <w:bottom w:w="85" w:type="dxa"/>
              <w:end w:w="70" w:type="dxa"/>
            </w:tcMar>
            <w:vAlign w:val="center"/>
          </w:tcPr>
          <w:p>
            <w:r>
              <w:rPr>
                <w:b/>
                <w:color w:val="FFFFFF"/>
                <w:sz w:val="17"/>
              </w:rPr>
              <w:t>Type</w:t>
            </w:r>
          </w:p>
        </w:tc>
        <w:tc>
          <w:tcPr>
            <w:tcW w:type="dxa" w:w="2981"/>
            <w:shd w:fill="06265E"/>
            <w:tcMar>
              <w:top w:w="85" w:type="dxa"/>
              <w:start w:w="70" w:type="dxa"/>
              <w:bottom w:w="85" w:type="dxa"/>
              <w:end w:w="70" w:type="dxa"/>
            </w:tcMar>
            <w:vAlign w:val="center"/>
          </w:tcPr>
          <w:p>
            <w:r>
              <w:rPr>
                <w:b/>
                <w:color w:val="FFFFFF"/>
                <w:sz w:val="17"/>
              </w:rPr>
              <w:t>CCC/Transfer Signal</w:t>
            </w:r>
          </w:p>
        </w:tc>
      </w:tr>
      <w:tr>
        <w:trPr>
          <w:cantSplit w:val="true"/>
        </w:trPr>
        <w:tc>
          <w:tcPr>
            <w:tcW w:type="dxa" w:w="2189"/>
            <w:tcMar>
              <w:top w:w="70" w:type="dxa"/>
              <w:start w:w="65" w:type="dxa"/>
              <w:bottom w:w="70" w:type="dxa"/>
              <w:end w:w="65" w:type="dxa"/>
            </w:tcMar>
            <w:vAlign w:val="top"/>
          </w:tcPr>
          <w:p>
            <w:r>
              <w:rPr>
                <w:color w:val="10223F"/>
                <w:sz w:val="16"/>
              </w:rPr>
              <w:t>UC Berkeley</w:t>
            </w:r>
          </w:p>
        </w:tc>
        <w:tc>
          <w:tcPr>
            <w:tcW w:type="dxa" w:w="3600"/>
            <w:tcMar>
              <w:top w:w="70" w:type="dxa"/>
              <w:start w:w="65" w:type="dxa"/>
              <w:bottom w:w="70" w:type="dxa"/>
              <w:end w:w="65" w:type="dxa"/>
            </w:tcMar>
            <w:vAlign w:val="top"/>
          </w:tcPr>
          <w:p>
            <w:hyperlink r:id="rId13">
              <w:r>
                <w:rPr>
                  <w:color w:val="06265E"/>
                  <w:u w:val="single"/>
                  <w:rFonts w:ascii="Aptos" w:hAnsi="Aptos"/>
                  <w:sz w:val="20"/>
                </w:rPr>
                <w:t>Creative Writing Minor</w:t>
              </w:r>
            </w:hyperlink>
          </w:p>
        </w:tc>
        <w:tc>
          <w:tcPr>
            <w:tcW w:type="dxa" w:w="1512"/>
            <w:tcMar>
              <w:top w:w="70" w:type="dxa"/>
              <w:start w:w="65" w:type="dxa"/>
              <w:bottom w:w="70" w:type="dxa"/>
              <w:end w:w="65" w:type="dxa"/>
            </w:tcMar>
            <w:vAlign w:val="top"/>
          </w:tcPr>
          <w:p>
            <w:r>
              <w:rPr>
                <w:color w:val="10223F"/>
                <w:sz w:val="16"/>
              </w:rPr>
              <w:t>Minor</w:t>
            </w:r>
          </w:p>
        </w:tc>
        <w:tc>
          <w:tcPr>
            <w:tcW w:type="dxa" w:w="2981"/>
            <w:tcMar>
              <w:top w:w="70" w:type="dxa"/>
              <w:start w:w="65" w:type="dxa"/>
              <w:bottom w:w="70" w:type="dxa"/>
              <w:end w:w="65" w:type="dxa"/>
            </w:tcMar>
            <w:vAlign w:val="top"/>
          </w:tcPr>
          <w:p>
            <w:r>
              <w:rPr>
                <w:color w:val="10223F"/>
                <w:sz w:val="16"/>
              </w:rPr>
              <w:t>Transfer-specific guidance</w:t>
            </w:r>
          </w:p>
        </w:tc>
      </w:tr>
      <w:tr>
        <w:trPr>
          <w:cantSplit w:val="true"/>
        </w:trPr>
        <w:tc>
          <w:tcPr>
            <w:tcW w:type="dxa" w:w="2189"/>
            <w:shd w:fill="FBFCFE"/>
            <w:tcMar>
              <w:top w:w="70" w:type="dxa"/>
              <w:start w:w="65" w:type="dxa"/>
              <w:bottom w:w="70" w:type="dxa"/>
              <w:end w:w="65" w:type="dxa"/>
            </w:tcMar>
            <w:vAlign w:val="top"/>
          </w:tcPr>
          <w:p>
            <w:r>
              <w:rPr>
                <w:color w:val="10223F"/>
                <w:sz w:val="16"/>
              </w:rPr>
              <w:t>UC Davis</w:t>
            </w:r>
          </w:p>
        </w:tc>
        <w:tc>
          <w:tcPr>
            <w:tcW w:type="dxa" w:w="3600"/>
            <w:shd w:fill="FBFCFE"/>
            <w:tcMar>
              <w:top w:w="70" w:type="dxa"/>
              <w:start w:w="65" w:type="dxa"/>
              <w:bottom w:w="70" w:type="dxa"/>
              <w:end w:w="65" w:type="dxa"/>
            </w:tcMar>
            <w:vAlign w:val="top"/>
          </w:tcPr>
          <w:p>
            <w:hyperlink r:id="rId14">
              <w:r>
                <w:rPr>
                  <w:color w:val="06265E"/>
                  <w:u w:val="single"/>
                  <w:rFonts w:ascii="Aptos" w:hAnsi="Aptos"/>
                  <w:sz w:val="20"/>
                </w:rPr>
                <w:t>English B.A. — Creative Writing Emphasis</w:t>
              </w:r>
            </w:hyperlink>
          </w:p>
        </w:tc>
        <w:tc>
          <w:tcPr>
            <w:tcW w:type="dxa" w:w="1512"/>
            <w:shd w:fill="FBFCFE"/>
            <w:tcMar>
              <w:top w:w="70" w:type="dxa"/>
              <w:start w:w="65" w:type="dxa"/>
              <w:bottom w:w="70" w:type="dxa"/>
              <w:end w:w="65" w:type="dxa"/>
            </w:tcMar>
            <w:vAlign w:val="top"/>
          </w:tcPr>
          <w:p>
            <w:r>
              <w:rPr>
                <w:color w:val="10223F"/>
                <w:sz w:val="16"/>
              </w:rPr>
              <w:t>Specialization/Emphasis</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UC Irvine</w:t>
            </w:r>
          </w:p>
        </w:tc>
        <w:tc>
          <w:tcPr>
            <w:tcW w:type="dxa" w:w="3600"/>
            <w:tcMar>
              <w:top w:w="70" w:type="dxa"/>
              <w:start w:w="65" w:type="dxa"/>
              <w:bottom w:w="70" w:type="dxa"/>
              <w:end w:w="65" w:type="dxa"/>
            </w:tcMar>
            <w:vAlign w:val="top"/>
          </w:tcPr>
          <w:p>
            <w:hyperlink r:id="rId15">
              <w:r>
                <w:rPr>
                  <w:color w:val="06265E"/>
                  <w:u w:val="single"/>
                  <w:rFonts w:ascii="Aptos" w:hAnsi="Aptos"/>
                  <w:sz w:val="20"/>
                </w:rPr>
                <w:t>Creative Writing Minor</w:t>
              </w:r>
            </w:hyperlink>
          </w:p>
        </w:tc>
        <w:tc>
          <w:tcPr>
            <w:tcW w:type="dxa" w:w="1512"/>
            <w:tcMar>
              <w:top w:w="70" w:type="dxa"/>
              <w:start w:w="65" w:type="dxa"/>
              <w:bottom w:w="70" w:type="dxa"/>
              <w:end w:w="65" w:type="dxa"/>
            </w:tcMar>
            <w:vAlign w:val="top"/>
          </w:tcPr>
          <w:p>
            <w:r>
              <w:rPr>
                <w:color w:val="10223F"/>
                <w:sz w:val="16"/>
              </w:rPr>
              <w:t>Minor</w:t>
            </w:r>
          </w:p>
        </w:tc>
        <w:tc>
          <w:tcPr>
            <w:tcW w:type="dxa" w:w="2981"/>
            <w:tcMar>
              <w:top w:w="70" w:type="dxa"/>
              <w:start w:w="65" w:type="dxa"/>
              <w:bottom w:w="70" w:type="dxa"/>
              <w:end w:w="65" w:type="dxa"/>
            </w:tcMar>
            <w:vAlign w:val="top"/>
          </w:tcPr>
          <w:p>
            <w:r>
              <w:rPr>
                <w:color w:val="10223F"/>
                <w:sz w:val="16"/>
              </w:rPr>
              <w:t>General planning</w:t>
            </w:r>
          </w:p>
        </w:tc>
      </w:tr>
      <w:tr>
        <w:trPr>
          <w:cantSplit w:val="true"/>
        </w:trPr>
        <w:tc>
          <w:tcPr>
            <w:tcW w:type="dxa" w:w="2189"/>
            <w:shd w:fill="FBFCFE"/>
            <w:tcMar>
              <w:top w:w="70" w:type="dxa"/>
              <w:start w:w="65" w:type="dxa"/>
              <w:bottom w:w="70" w:type="dxa"/>
              <w:end w:w="65" w:type="dxa"/>
            </w:tcMar>
            <w:vAlign w:val="top"/>
          </w:tcPr>
          <w:p>
            <w:r>
              <w:rPr>
                <w:color w:val="10223F"/>
                <w:sz w:val="16"/>
              </w:rPr>
              <w:t>UC Los Angeles</w:t>
            </w:r>
          </w:p>
        </w:tc>
        <w:tc>
          <w:tcPr>
            <w:tcW w:type="dxa" w:w="3600"/>
            <w:shd w:fill="FBFCFE"/>
            <w:tcMar>
              <w:top w:w="70" w:type="dxa"/>
              <w:start w:w="65" w:type="dxa"/>
              <w:bottom w:w="70" w:type="dxa"/>
              <w:end w:w="65" w:type="dxa"/>
            </w:tcMar>
            <w:vAlign w:val="top"/>
          </w:tcPr>
          <w:p>
            <w:hyperlink r:id="rId16">
              <w:r>
                <w:rPr>
                  <w:color w:val="06265E"/>
                  <w:u w:val="single"/>
                  <w:rFonts w:ascii="Aptos" w:hAnsi="Aptos"/>
                  <w:sz w:val="20"/>
                </w:rPr>
                <w:t>English B.A. — Creative Writing Concentration</w:t>
              </w:r>
            </w:hyperlink>
          </w:p>
        </w:tc>
        <w:tc>
          <w:tcPr>
            <w:tcW w:type="dxa" w:w="1512"/>
            <w:shd w:fill="FBFCFE"/>
            <w:tcMar>
              <w:top w:w="70" w:type="dxa"/>
              <w:start w:w="65" w:type="dxa"/>
              <w:bottom w:w="70" w:type="dxa"/>
              <w:end w:w="65" w:type="dxa"/>
            </w:tcMar>
            <w:vAlign w:val="top"/>
          </w:tcPr>
          <w:p>
            <w:r>
              <w:rPr>
                <w:color w:val="10223F"/>
                <w:sz w:val="16"/>
              </w:rPr>
              <w:t>Option/Concentration</w:t>
            </w:r>
          </w:p>
        </w:tc>
        <w:tc>
          <w:tcPr>
            <w:tcW w:type="dxa" w:w="2981"/>
            <w:shd w:fill="FBFCFE"/>
            <w:tcMar>
              <w:top w:w="70" w:type="dxa"/>
              <w:start w:w="65" w:type="dxa"/>
              <w:bottom w:w="70" w:type="dxa"/>
              <w:end w:w="65" w:type="dxa"/>
            </w:tcMar>
            <w:vAlign w:val="top"/>
          </w:tcPr>
          <w:p>
            <w:r>
              <w:rPr>
                <w:color w:val="10223F"/>
                <w:sz w:val="16"/>
              </w:rPr>
              <w:t>Transfer-specific guidance</w:t>
            </w:r>
          </w:p>
        </w:tc>
      </w:tr>
      <w:tr>
        <w:trPr>
          <w:cantSplit w:val="true"/>
        </w:trPr>
        <w:tc>
          <w:tcPr>
            <w:tcW w:type="dxa" w:w="2189"/>
            <w:tcMar>
              <w:top w:w="70" w:type="dxa"/>
              <w:start w:w="65" w:type="dxa"/>
              <w:bottom w:w="70" w:type="dxa"/>
              <w:end w:w="65" w:type="dxa"/>
            </w:tcMar>
            <w:vAlign w:val="top"/>
          </w:tcPr>
          <w:p>
            <w:r>
              <w:rPr>
                <w:color w:val="10223F"/>
                <w:sz w:val="16"/>
              </w:rPr>
              <w:t>UC Merced</w:t>
            </w:r>
          </w:p>
        </w:tc>
        <w:tc>
          <w:tcPr>
            <w:tcW w:type="dxa" w:w="3600"/>
            <w:tcMar>
              <w:top w:w="70" w:type="dxa"/>
              <w:start w:w="65" w:type="dxa"/>
              <w:bottom w:w="70" w:type="dxa"/>
              <w:end w:w="65" w:type="dxa"/>
            </w:tcMar>
            <w:vAlign w:val="top"/>
          </w:tcPr>
          <w:p>
            <w:hyperlink r:id="rId17">
              <w:r>
                <w:rPr>
                  <w:color w:val="06265E"/>
                  <w:u w:val="single"/>
                  <w:rFonts w:ascii="Aptos" w:hAnsi="Aptos"/>
                  <w:sz w:val="20"/>
                </w:rPr>
                <w:t>Writing Studies B.A.</w:t>
              </w:r>
            </w:hyperlink>
          </w:p>
        </w:tc>
        <w:tc>
          <w:tcPr>
            <w:tcW w:type="dxa" w:w="1512"/>
            <w:tcMar>
              <w:top w:w="70" w:type="dxa"/>
              <w:start w:w="65" w:type="dxa"/>
              <w:bottom w:w="70" w:type="dxa"/>
              <w:end w:w="65" w:type="dxa"/>
            </w:tcMar>
            <w:vAlign w:val="top"/>
          </w:tcPr>
          <w:p>
            <w:r>
              <w:rPr>
                <w:color w:val="10223F"/>
                <w:sz w:val="16"/>
              </w:rPr>
              <w:t>Major</w:t>
            </w:r>
          </w:p>
        </w:tc>
        <w:tc>
          <w:tcPr>
            <w:tcW w:type="dxa" w:w="2981"/>
            <w:tcMar>
              <w:top w:w="70" w:type="dxa"/>
              <w:start w:w="65" w:type="dxa"/>
              <w:bottom w:w="70" w:type="dxa"/>
              <w:end w:w="65" w:type="dxa"/>
            </w:tcMar>
            <w:vAlign w:val="top"/>
          </w:tcPr>
          <w:p>
            <w:r>
              <w:rPr>
                <w:color w:val="10223F"/>
                <w:sz w:val="16"/>
              </w:rPr>
              <w:t>Transfer-specific guidance</w:t>
            </w:r>
          </w:p>
        </w:tc>
      </w:tr>
      <w:tr>
        <w:trPr>
          <w:cantSplit w:val="true"/>
        </w:trPr>
        <w:tc>
          <w:tcPr>
            <w:tcW w:type="dxa" w:w="2189"/>
            <w:shd w:fill="FBFCFE"/>
            <w:tcMar>
              <w:top w:w="70" w:type="dxa"/>
              <w:start w:w="65" w:type="dxa"/>
              <w:bottom w:w="70" w:type="dxa"/>
              <w:end w:w="65" w:type="dxa"/>
            </w:tcMar>
            <w:vAlign w:val="top"/>
          </w:tcPr>
          <w:p>
            <w:r>
              <w:rPr>
                <w:color w:val="10223F"/>
                <w:sz w:val="16"/>
              </w:rPr>
              <w:t>UC Riverside</w:t>
            </w:r>
          </w:p>
        </w:tc>
        <w:tc>
          <w:tcPr>
            <w:tcW w:type="dxa" w:w="3600"/>
            <w:shd w:fill="FBFCFE"/>
            <w:tcMar>
              <w:top w:w="70" w:type="dxa"/>
              <w:start w:w="65" w:type="dxa"/>
              <w:bottom w:w="70" w:type="dxa"/>
              <w:end w:w="65" w:type="dxa"/>
            </w:tcMar>
            <w:vAlign w:val="top"/>
          </w:tcPr>
          <w:p>
            <w:hyperlink r:id="rId18">
              <w:r>
                <w:rPr>
                  <w:color w:val="06265E"/>
                  <w:u w:val="single"/>
                  <w:rFonts w:ascii="Aptos" w:hAnsi="Aptos"/>
                  <w:sz w:val="20"/>
                </w:rPr>
                <w:t>B.A. in Creative Writing</w:t>
              </w:r>
            </w:hyperlink>
          </w:p>
        </w:tc>
        <w:tc>
          <w:tcPr>
            <w:tcW w:type="dxa" w:w="1512"/>
            <w:shd w:fill="FBFCFE"/>
            <w:tcMar>
              <w:top w:w="70" w:type="dxa"/>
              <w:start w:w="65" w:type="dxa"/>
              <w:bottom w:w="70" w:type="dxa"/>
              <w:end w:w="65" w:type="dxa"/>
            </w:tcMar>
            <w:vAlign w:val="top"/>
          </w:tcPr>
          <w:p>
            <w:r>
              <w:rPr>
                <w:color w:val="10223F"/>
                <w:sz w:val="16"/>
              </w:rPr>
              <w:t>Major</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UC San Diego</w:t>
            </w:r>
          </w:p>
        </w:tc>
        <w:tc>
          <w:tcPr>
            <w:tcW w:type="dxa" w:w="3600"/>
            <w:tcMar>
              <w:top w:w="70" w:type="dxa"/>
              <w:start w:w="65" w:type="dxa"/>
              <w:bottom w:w="70" w:type="dxa"/>
              <w:end w:w="65" w:type="dxa"/>
            </w:tcMar>
            <w:vAlign w:val="top"/>
          </w:tcPr>
          <w:p>
            <w:hyperlink r:id="rId19">
              <w:r>
                <w:rPr>
                  <w:color w:val="06265E"/>
                  <w:u w:val="single"/>
                  <w:rFonts w:ascii="Aptos" w:hAnsi="Aptos"/>
                  <w:sz w:val="20"/>
                </w:rPr>
                <w:t>Literary Arts B.A.</w:t>
              </w:r>
            </w:hyperlink>
          </w:p>
        </w:tc>
        <w:tc>
          <w:tcPr>
            <w:tcW w:type="dxa" w:w="1512"/>
            <w:tcMar>
              <w:top w:w="70" w:type="dxa"/>
              <w:start w:w="65" w:type="dxa"/>
              <w:bottom w:w="70" w:type="dxa"/>
              <w:end w:w="65" w:type="dxa"/>
            </w:tcMar>
            <w:vAlign w:val="top"/>
          </w:tcPr>
          <w:p>
            <w:r>
              <w:rPr>
                <w:color w:val="10223F"/>
                <w:sz w:val="16"/>
              </w:rPr>
              <w:t>Major</w:t>
            </w:r>
          </w:p>
        </w:tc>
        <w:tc>
          <w:tcPr>
            <w:tcW w:type="dxa" w:w="2981"/>
            <w:tcMar>
              <w:top w:w="70" w:type="dxa"/>
              <w:start w:w="65" w:type="dxa"/>
              <w:bottom w:w="70" w:type="dxa"/>
              <w:end w:w="65" w:type="dxa"/>
            </w:tcMar>
            <w:vAlign w:val="top"/>
          </w:tcPr>
          <w:p>
            <w:r>
              <w:rPr>
                <w:color w:val="10223F"/>
                <w:sz w:val="16"/>
              </w:rPr>
              <w:t>Transfer-specific guidance</w:t>
            </w:r>
          </w:p>
        </w:tc>
      </w:tr>
      <w:tr>
        <w:trPr>
          <w:cantSplit w:val="true"/>
        </w:trPr>
        <w:tc>
          <w:tcPr>
            <w:tcW w:type="dxa" w:w="2189"/>
            <w:shd w:fill="FBFCFE"/>
            <w:tcMar>
              <w:top w:w="70" w:type="dxa"/>
              <w:start w:w="65" w:type="dxa"/>
              <w:bottom w:w="70" w:type="dxa"/>
              <w:end w:w="65" w:type="dxa"/>
            </w:tcMar>
            <w:vAlign w:val="top"/>
          </w:tcPr>
          <w:p>
            <w:r>
              <w:rPr>
                <w:color w:val="10223F"/>
                <w:sz w:val="16"/>
              </w:rPr>
              <w:t>UC Santa Barbara</w:t>
            </w:r>
          </w:p>
        </w:tc>
        <w:tc>
          <w:tcPr>
            <w:tcW w:type="dxa" w:w="3600"/>
            <w:shd w:fill="FBFCFE"/>
            <w:tcMar>
              <w:top w:w="70" w:type="dxa"/>
              <w:start w:w="65" w:type="dxa"/>
              <w:bottom w:w="70" w:type="dxa"/>
              <w:end w:w="65" w:type="dxa"/>
            </w:tcMar>
            <w:vAlign w:val="top"/>
          </w:tcPr>
          <w:p>
            <w:hyperlink r:id="rId20">
              <w:r>
                <w:rPr>
                  <w:color w:val="06265E"/>
                  <w:u w:val="single"/>
                  <w:rFonts w:ascii="Aptos" w:hAnsi="Aptos"/>
                  <w:sz w:val="20"/>
                </w:rPr>
                <w:t>English B.A. — Las Maestras Center/Creative Writing Specialization</w:t>
              </w:r>
            </w:hyperlink>
          </w:p>
        </w:tc>
        <w:tc>
          <w:tcPr>
            <w:tcW w:type="dxa" w:w="1512"/>
            <w:shd w:fill="FBFCFE"/>
            <w:tcMar>
              <w:top w:w="70" w:type="dxa"/>
              <w:start w:w="65" w:type="dxa"/>
              <w:bottom w:w="70" w:type="dxa"/>
              <w:end w:w="65" w:type="dxa"/>
            </w:tcMar>
            <w:vAlign w:val="top"/>
          </w:tcPr>
          <w:p>
            <w:r>
              <w:rPr>
                <w:color w:val="10223F"/>
                <w:sz w:val="16"/>
              </w:rPr>
              <w:t>Specialization/Emphasis</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UC Santa Cruz</w:t>
            </w:r>
          </w:p>
        </w:tc>
        <w:tc>
          <w:tcPr>
            <w:tcW w:type="dxa" w:w="3600"/>
            <w:tcMar>
              <w:top w:w="70" w:type="dxa"/>
              <w:start w:w="65" w:type="dxa"/>
              <w:bottom w:w="70" w:type="dxa"/>
              <w:end w:w="65" w:type="dxa"/>
            </w:tcMar>
            <w:vAlign w:val="top"/>
          </w:tcPr>
          <w:p>
            <w:hyperlink r:id="rId21">
              <w:r>
                <w:rPr>
                  <w:color w:val="06265E"/>
                  <w:u w:val="single"/>
                  <w:rFonts w:ascii="Aptos" w:hAnsi="Aptos"/>
                  <w:sz w:val="20"/>
                </w:rPr>
                <w:t>Literature B.A. — Creative Writing Concentration</w:t>
              </w:r>
            </w:hyperlink>
          </w:p>
        </w:tc>
        <w:tc>
          <w:tcPr>
            <w:tcW w:type="dxa" w:w="1512"/>
            <w:tcMar>
              <w:top w:w="70" w:type="dxa"/>
              <w:start w:w="65" w:type="dxa"/>
              <w:bottom w:w="70" w:type="dxa"/>
              <w:end w:w="65" w:type="dxa"/>
            </w:tcMar>
            <w:vAlign w:val="top"/>
          </w:tcPr>
          <w:p>
            <w:r>
              <w:rPr>
                <w:color w:val="10223F"/>
                <w:sz w:val="16"/>
              </w:rPr>
              <w:t>Option/Concentration</w:t>
            </w:r>
          </w:p>
        </w:tc>
        <w:tc>
          <w:tcPr>
            <w:tcW w:type="dxa" w:w="2981"/>
            <w:tcMar>
              <w:top w:w="70" w:type="dxa"/>
              <w:start w:w="65" w:type="dxa"/>
              <w:bottom w:w="70" w:type="dxa"/>
              <w:end w:w="65" w:type="dxa"/>
            </w:tcMar>
            <w:vAlign w:val="top"/>
          </w:tcPr>
          <w:p>
            <w:r>
              <w:rPr>
                <w:color w:val="10223F"/>
                <w:sz w:val="16"/>
              </w:rPr>
              <w:t>Transfer-specific guidance</w:t>
            </w:r>
          </w:p>
        </w:tc>
      </w:tr>
    </w:tbl>
    <w:p>
      <w:pPr>
        <w:pStyle w:val="SmallNote"/>
      </w:pPr>
      <w:r>
        <w:t>Interpretive note: UCR calls its B.A. the only Creative Writing major of its kind in the UC system; that does not mean it is the only UC undergraduate route centered on creative practice. UCSD’s Literary Arts B.A. and UC Merced’s Writing Studies B.A., for example, use different degree names.</w:t>
      </w:r>
    </w:p>
    <w:p>
      <w:pPr>
        <w:pStyle w:val="Heading1"/>
      </w:pPr>
      <w:r>
        <w:t>CSU Directory: Formal Undergraduate Pathways</w:t>
      </w:r>
    </w:p>
    <w:tbl>
      <w:tblPr>
        <w:tblW w:type="auto" w:w="0"/>
        <w:jc w:val="center"/>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2541"/>
        <w:gridCol w:w="2541"/>
        <w:gridCol w:w="2541"/>
        <w:gridCol w:w="2541"/>
      </w:tblGrid>
      <w:tr>
        <w:trPr>
          <w:tblHeader w:val="true"/>
        </w:trPr>
        <w:tc>
          <w:tcPr>
            <w:tcW w:type="dxa" w:w="2189"/>
            <w:shd w:fill="06265E"/>
            <w:tcMar>
              <w:top w:w="85" w:type="dxa"/>
              <w:start w:w="70" w:type="dxa"/>
              <w:bottom w:w="85" w:type="dxa"/>
              <w:end w:w="70" w:type="dxa"/>
            </w:tcMar>
            <w:vAlign w:val="center"/>
          </w:tcPr>
          <w:p>
            <w:r>
              <w:rPr>
                <w:b/>
                <w:color w:val="FFFFFF"/>
                <w:sz w:val="17"/>
              </w:rPr>
              <w:t>University</w:t>
            </w:r>
          </w:p>
        </w:tc>
        <w:tc>
          <w:tcPr>
            <w:tcW w:type="dxa" w:w="3600"/>
            <w:shd w:fill="06265E"/>
            <w:tcMar>
              <w:top w:w="85" w:type="dxa"/>
              <w:start w:w="70" w:type="dxa"/>
              <w:bottom w:w="85" w:type="dxa"/>
              <w:end w:w="70" w:type="dxa"/>
            </w:tcMar>
            <w:vAlign w:val="center"/>
          </w:tcPr>
          <w:p>
            <w:r>
              <w:rPr>
                <w:b/>
                <w:color w:val="FFFFFF"/>
                <w:sz w:val="17"/>
              </w:rPr>
              <w:t>Pathway</w:t>
            </w:r>
          </w:p>
        </w:tc>
        <w:tc>
          <w:tcPr>
            <w:tcW w:type="dxa" w:w="1512"/>
            <w:shd w:fill="06265E"/>
            <w:tcMar>
              <w:top w:w="85" w:type="dxa"/>
              <w:start w:w="70" w:type="dxa"/>
              <w:bottom w:w="85" w:type="dxa"/>
              <w:end w:w="70" w:type="dxa"/>
            </w:tcMar>
            <w:vAlign w:val="center"/>
          </w:tcPr>
          <w:p>
            <w:r>
              <w:rPr>
                <w:b/>
                <w:color w:val="FFFFFF"/>
                <w:sz w:val="17"/>
              </w:rPr>
              <w:t>Type</w:t>
            </w:r>
          </w:p>
        </w:tc>
        <w:tc>
          <w:tcPr>
            <w:tcW w:type="dxa" w:w="2981"/>
            <w:shd w:fill="06265E"/>
            <w:tcMar>
              <w:top w:w="85" w:type="dxa"/>
              <w:start w:w="70" w:type="dxa"/>
              <w:bottom w:w="85" w:type="dxa"/>
              <w:end w:w="70" w:type="dxa"/>
            </w:tcMar>
            <w:vAlign w:val="center"/>
          </w:tcPr>
          <w:p>
            <w:r>
              <w:rPr>
                <w:b/>
                <w:color w:val="FFFFFF"/>
                <w:sz w:val="17"/>
              </w:rPr>
              <w:t>CCC/Transfer Signal</w:t>
            </w:r>
          </w:p>
        </w:tc>
      </w:tr>
      <w:tr>
        <w:trPr>
          <w:cantSplit w:val="true"/>
        </w:trPr>
        <w:tc>
          <w:tcPr>
            <w:tcW w:type="dxa" w:w="2189"/>
            <w:tcMar>
              <w:top w:w="70" w:type="dxa"/>
              <w:start w:w="65" w:type="dxa"/>
              <w:bottom w:w="70" w:type="dxa"/>
              <w:end w:w="65" w:type="dxa"/>
            </w:tcMar>
            <w:vAlign w:val="top"/>
          </w:tcPr>
          <w:p>
            <w:r>
              <w:rPr>
                <w:color w:val="10223F"/>
                <w:sz w:val="16"/>
              </w:rPr>
              <w:t>Cal Poly San Luis Obispo</w:t>
            </w:r>
          </w:p>
        </w:tc>
        <w:tc>
          <w:tcPr>
            <w:tcW w:type="dxa" w:w="3600"/>
            <w:tcMar>
              <w:top w:w="70" w:type="dxa"/>
              <w:start w:w="65" w:type="dxa"/>
              <w:bottom w:w="70" w:type="dxa"/>
              <w:end w:w="65" w:type="dxa"/>
            </w:tcMar>
            <w:vAlign w:val="top"/>
          </w:tcPr>
          <w:p>
            <w:hyperlink r:id="rId22">
              <w:r>
                <w:rPr>
                  <w:color w:val="06265E"/>
                  <w:u w:val="single"/>
                  <w:rFonts w:ascii="Aptos" w:hAnsi="Aptos"/>
                  <w:sz w:val="20"/>
                </w:rPr>
                <w:t>English B.A. — Optional Creative Writing Emphasis</w:t>
              </w:r>
            </w:hyperlink>
          </w:p>
        </w:tc>
        <w:tc>
          <w:tcPr>
            <w:tcW w:type="dxa" w:w="1512"/>
            <w:tcMar>
              <w:top w:w="70" w:type="dxa"/>
              <w:start w:w="65" w:type="dxa"/>
              <w:bottom w:w="70" w:type="dxa"/>
              <w:end w:w="65" w:type="dxa"/>
            </w:tcMar>
            <w:vAlign w:val="top"/>
          </w:tcPr>
          <w:p>
            <w:r>
              <w:rPr>
                <w:color w:val="10223F"/>
                <w:sz w:val="16"/>
              </w:rPr>
              <w:t>Specialization/Emphasis</w:t>
            </w:r>
          </w:p>
        </w:tc>
        <w:tc>
          <w:tcPr>
            <w:tcW w:type="dxa" w:w="2981"/>
            <w:tcMar>
              <w:top w:w="70" w:type="dxa"/>
              <w:start w:w="65" w:type="dxa"/>
              <w:bottom w:w="70" w:type="dxa"/>
              <w:end w:w="65" w:type="dxa"/>
            </w:tcMar>
            <w:vAlign w:val="top"/>
          </w:tcPr>
          <w:p>
            <w:r>
              <w:rPr>
                <w:color w:val="10223F"/>
                <w:sz w:val="16"/>
              </w:rPr>
              <w:t>General planning</w:t>
            </w:r>
          </w:p>
        </w:tc>
      </w:tr>
      <w:tr>
        <w:trPr>
          <w:cantSplit w:val="true"/>
        </w:trPr>
        <w:tc>
          <w:tcPr>
            <w:tcW w:type="dxa" w:w="2189"/>
            <w:shd w:fill="FBFCFE"/>
            <w:tcMar>
              <w:top w:w="70" w:type="dxa"/>
              <w:start w:w="65" w:type="dxa"/>
              <w:bottom w:w="70" w:type="dxa"/>
              <w:end w:w="65" w:type="dxa"/>
            </w:tcMar>
            <w:vAlign w:val="top"/>
          </w:tcPr>
          <w:p>
            <w:r>
              <w:rPr>
                <w:color w:val="10223F"/>
                <w:sz w:val="16"/>
              </w:rPr>
              <w:t>Cal Poly Humboldt</w:t>
            </w:r>
          </w:p>
        </w:tc>
        <w:tc>
          <w:tcPr>
            <w:tcW w:type="dxa" w:w="3600"/>
            <w:shd w:fill="FBFCFE"/>
            <w:tcMar>
              <w:top w:w="70" w:type="dxa"/>
              <w:start w:w="65" w:type="dxa"/>
              <w:bottom w:w="70" w:type="dxa"/>
              <w:end w:w="65" w:type="dxa"/>
            </w:tcMar>
            <w:vAlign w:val="top"/>
          </w:tcPr>
          <w:p>
            <w:hyperlink r:id="rId23">
              <w:r>
                <w:rPr>
                  <w:color w:val="06265E"/>
                  <w:u w:val="single"/>
                  <w:rFonts w:ascii="Aptos" w:hAnsi="Aptos"/>
                  <w:sz w:val="20"/>
                </w:rPr>
                <w:t>Writing Minor — Creative Writing &amp; Publishing Options</w:t>
              </w:r>
            </w:hyperlink>
          </w:p>
        </w:tc>
        <w:tc>
          <w:tcPr>
            <w:tcW w:type="dxa" w:w="1512"/>
            <w:shd w:fill="FBFCFE"/>
            <w:tcMar>
              <w:top w:w="70" w:type="dxa"/>
              <w:start w:w="65" w:type="dxa"/>
              <w:bottom w:w="70" w:type="dxa"/>
              <w:end w:w="65" w:type="dxa"/>
            </w:tcMar>
            <w:vAlign w:val="top"/>
          </w:tcPr>
          <w:p>
            <w:r>
              <w:rPr>
                <w:color w:val="10223F"/>
                <w:sz w:val="16"/>
              </w:rPr>
              <w:t>Minor</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CSU Channel Islands</w:t>
            </w:r>
          </w:p>
        </w:tc>
        <w:tc>
          <w:tcPr>
            <w:tcW w:type="dxa" w:w="3600"/>
            <w:tcMar>
              <w:top w:w="70" w:type="dxa"/>
              <w:start w:w="65" w:type="dxa"/>
              <w:bottom w:w="70" w:type="dxa"/>
              <w:end w:w="65" w:type="dxa"/>
            </w:tcMar>
            <w:vAlign w:val="top"/>
          </w:tcPr>
          <w:p>
            <w:hyperlink r:id="rId24">
              <w:r>
                <w:rPr>
                  <w:color w:val="06265E"/>
                  <w:u w:val="single"/>
                  <w:rFonts w:ascii="Aptos" w:hAnsi="Aptos"/>
                  <w:sz w:val="20"/>
                </w:rPr>
                <w:t>English B.A. — Emphasis in Creative Writing</w:t>
              </w:r>
            </w:hyperlink>
          </w:p>
        </w:tc>
        <w:tc>
          <w:tcPr>
            <w:tcW w:type="dxa" w:w="1512"/>
            <w:tcMar>
              <w:top w:w="70" w:type="dxa"/>
              <w:start w:w="65" w:type="dxa"/>
              <w:bottom w:w="70" w:type="dxa"/>
              <w:end w:w="65" w:type="dxa"/>
            </w:tcMar>
            <w:vAlign w:val="top"/>
          </w:tcPr>
          <w:p>
            <w:r>
              <w:rPr>
                <w:color w:val="10223F"/>
                <w:sz w:val="16"/>
              </w:rPr>
              <w:t>Specialization/Emphasis</w:t>
            </w:r>
          </w:p>
        </w:tc>
        <w:tc>
          <w:tcPr>
            <w:tcW w:type="dxa" w:w="2981"/>
            <w:tcMar>
              <w:top w:w="70" w:type="dxa"/>
              <w:start w:w="65" w:type="dxa"/>
              <w:bottom w:w="70" w:type="dxa"/>
              <w:end w:w="65" w:type="dxa"/>
            </w:tcMar>
            <w:vAlign w:val="top"/>
          </w:tcPr>
          <w:p>
            <w:r>
              <w:rPr>
                <w:color w:val="10223F"/>
                <w:sz w:val="16"/>
              </w:rPr>
              <w:t>General planning</w:t>
            </w:r>
          </w:p>
        </w:tc>
      </w:tr>
      <w:tr>
        <w:trPr>
          <w:cantSplit w:val="true"/>
        </w:trPr>
        <w:tc>
          <w:tcPr>
            <w:tcW w:type="dxa" w:w="2189"/>
            <w:shd w:fill="FBFCFE"/>
            <w:tcMar>
              <w:top w:w="70" w:type="dxa"/>
              <w:start w:w="65" w:type="dxa"/>
              <w:bottom w:w="70" w:type="dxa"/>
              <w:end w:w="65" w:type="dxa"/>
            </w:tcMar>
            <w:vAlign w:val="top"/>
          </w:tcPr>
          <w:p>
            <w:r>
              <w:rPr>
                <w:color w:val="10223F"/>
                <w:sz w:val="16"/>
              </w:rPr>
              <w:t>CSU Bakersfield</w:t>
            </w:r>
          </w:p>
        </w:tc>
        <w:tc>
          <w:tcPr>
            <w:tcW w:type="dxa" w:w="3600"/>
            <w:shd w:fill="FBFCFE"/>
            <w:tcMar>
              <w:top w:w="70" w:type="dxa"/>
              <w:start w:w="65" w:type="dxa"/>
              <w:bottom w:w="70" w:type="dxa"/>
              <w:end w:w="65" w:type="dxa"/>
            </w:tcMar>
            <w:vAlign w:val="top"/>
          </w:tcPr>
          <w:p>
            <w:hyperlink r:id="rId25">
              <w:r>
                <w:rPr>
                  <w:color w:val="06265E"/>
                  <w:u w:val="single"/>
                  <w:rFonts w:ascii="Aptos" w:hAnsi="Aptos"/>
                  <w:sz w:val="20"/>
                </w:rPr>
                <w:t>Creative Writing Minor</w:t>
              </w:r>
            </w:hyperlink>
          </w:p>
        </w:tc>
        <w:tc>
          <w:tcPr>
            <w:tcW w:type="dxa" w:w="1512"/>
            <w:shd w:fill="FBFCFE"/>
            <w:tcMar>
              <w:top w:w="70" w:type="dxa"/>
              <w:start w:w="65" w:type="dxa"/>
              <w:bottom w:w="70" w:type="dxa"/>
              <w:end w:w="65" w:type="dxa"/>
            </w:tcMar>
            <w:vAlign w:val="top"/>
          </w:tcPr>
          <w:p>
            <w:r>
              <w:rPr>
                <w:color w:val="10223F"/>
                <w:sz w:val="16"/>
              </w:rPr>
              <w:t>Minor</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CSU Chico</w:t>
            </w:r>
          </w:p>
        </w:tc>
        <w:tc>
          <w:tcPr>
            <w:tcW w:type="dxa" w:w="3600"/>
            <w:tcMar>
              <w:top w:w="70" w:type="dxa"/>
              <w:start w:w="65" w:type="dxa"/>
              <w:bottom w:w="70" w:type="dxa"/>
              <w:end w:w="65" w:type="dxa"/>
            </w:tcMar>
            <w:vAlign w:val="top"/>
          </w:tcPr>
          <w:p>
            <w:hyperlink r:id="rId26">
              <w:r>
                <w:rPr>
                  <w:color w:val="06265E"/>
                  <w:u w:val="single"/>
                  <w:rFonts w:ascii="Aptos" w:hAnsi="Aptos"/>
                  <w:sz w:val="20"/>
                </w:rPr>
                <w:t>Creative Writing Minor</w:t>
              </w:r>
            </w:hyperlink>
          </w:p>
        </w:tc>
        <w:tc>
          <w:tcPr>
            <w:tcW w:type="dxa" w:w="1512"/>
            <w:tcMar>
              <w:top w:w="70" w:type="dxa"/>
              <w:start w:w="65" w:type="dxa"/>
              <w:bottom w:w="70" w:type="dxa"/>
              <w:end w:w="65" w:type="dxa"/>
            </w:tcMar>
            <w:vAlign w:val="top"/>
          </w:tcPr>
          <w:p>
            <w:r>
              <w:rPr>
                <w:color w:val="10223F"/>
                <w:sz w:val="16"/>
              </w:rPr>
              <w:t>Minor</w:t>
            </w:r>
          </w:p>
        </w:tc>
        <w:tc>
          <w:tcPr>
            <w:tcW w:type="dxa" w:w="2981"/>
            <w:tcMar>
              <w:top w:w="70" w:type="dxa"/>
              <w:start w:w="65" w:type="dxa"/>
              <w:bottom w:w="70" w:type="dxa"/>
              <w:end w:w="65" w:type="dxa"/>
            </w:tcMar>
            <w:vAlign w:val="top"/>
          </w:tcPr>
          <w:p>
            <w:r>
              <w:rPr>
                <w:color w:val="10223F"/>
                <w:sz w:val="16"/>
              </w:rPr>
              <w:t>General planning</w:t>
            </w:r>
          </w:p>
        </w:tc>
      </w:tr>
      <w:tr>
        <w:trPr>
          <w:cantSplit w:val="true"/>
        </w:trPr>
        <w:tc>
          <w:tcPr>
            <w:tcW w:type="dxa" w:w="2189"/>
            <w:shd w:fill="FBFCFE"/>
            <w:tcMar>
              <w:top w:w="70" w:type="dxa"/>
              <w:start w:w="65" w:type="dxa"/>
              <w:bottom w:w="70" w:type="dxa"/>
              <w:end w:w="65" w:type="dxa"/>
            </w:tcMar>
            <w:vAlign w:val="top"/>
          </w:tcPr>
          <w:p>
            <w:r>
              <w:rPr>
                <w:color w:val="10223F"/>
                <w:sz w:val="16"/>
              </w:rPr>
              <w:t>CSU Dominguez Hills</w:t>
            </w:r>
          </w:p>
        </w:tc>
        <w:tc>
          <w:tcPr>
            <w:tcW w:type="dxa" w:w="3600"/>
            <w:shd w:fill="FBFCFE"/>
            <w:tcMar>
              <w:top w:w="70" w:type="dxa"/>
              <w:start w:w="65" w:type="dxa"/>
              <w:bottom w:w="70" w:type="dxa"/>
              <w:end w:w="65" w:type="dxa"/>
            </w:tcMar>
            <w:vAlign w:val="top"/>
          </w:tcPr>
          <w:p>
            <w:hyperlink r:id="rId27">
              <w:r>
                <w:rPr>
                  <w:color w:val="06265E"/>
                  <w:u w:val="single"/>
                  <w:rFonts w:ascii="Aptos" w:hAnsi="Aptos"/>
                  <w:sz w:val="20"/>
                </w:rPr>
                <w:t>Creative Writing Minor</w:t>
              </w:r>
            </w:hyperlink>
          </w:p>
        </w:tc>
        <w:tc>
          <w:tcPr>
            <w:tcW w:type="dxa" w:w="1512"/>
            <w:shd w:fill="FBFCFE"/>
            <w:tcMar>
              <w:top w:w="70" w:type="dxa"/>
              <w:start w:w="65" w:type="dxa"/>
              <w:bottom w:w="70" w:type="dxa"/>
              <w:end w:w="65" w:type="dxa"/>
            </w:tcMar>
            <w:vAlign w:val="top"/>
          </w:tcPr>
          <w:p>
            <w:r>
              <w:rPr>
                <w:color w:val="10223F"/>
                <w:sz w:val="16"/>
              </w:rPr>
              <w:t>Minor</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CSU East Bay</w:t>
            </w:r>
          </w:p>
        </w:tc>
        <w:tc>
          <w:tcPr>
            <w:tcW w:type="dxa" w:w="3600"/>
            <w:tcMar>
              <w:top w:w="70" w:type="dxa"/>
              <w:start w:w="65" w:type="dxa"/>
              <w:bottom w:w="70" w:type="dxa"/>
              <w:end w:w="65" w:type="dxa"/>
            </w:tcMar>
            <w:vAlign w:val="top"/>
          </w:tcPr>
          <w:p>
            <w:hyperlink r:id="rId10">
              <w:r>
                <w:rPr>
                  <w:color w:val="06265E"/>
                  <w:u w:val="single"/>
                  <w:rFonts w:ascii="Aptos" w:hAnsi="Aptos"/>
                  <w:sz w:val="20"/>
                </w:rPr>
                <w:t>English B.A. — Creative Writing Concentration</w:t>
              </w:r>
            </w:hyperlink>
          </w:p>
        </w:tc>
        <w:tc>
          <w:tcPr>
            <w:tcW w:type="dxa" w:w="1512"/>
            <w:tcMar>
              <w:top w:w="70" w:type="dxa"/>
              <w:start w:w="65" w:type="dxa"/>
              <w:bottom w:w="70" w:type="dxa"/>
              <w:end w:w="65" w:type="dxa"/>
            </w:tcMar>
            <w:vAlign w:val="top"/>
          </w:tcPr>
          <w:p>
            <w:r>
              <w:rPr>
                <w:color w:val="10223F"/>
                <w:sz w:val="16"/>
              </w:rPr>
              <w:t>Option/Concentration</w:t>
            </w:r>
          </w:p>
        </w:tc>
        <w:tc>
          <w:tcPr>
            <w:tcW w:type="dxa" w:w="2981"/>
            <w:tcMar>
              <w:top w:w="70" w:type="dxa"/>
              <w:start w:w="65" w:type="dxa"/>
              <w:bottom w:w="70" w:type="dxa"/>
              <w:end w:w="65" w:type="dxa"/>
            </w:tcMar>
            <w:vAlign w:val="top"/>
          </w:tcPr>
          <w:p>
            <w:r>
              <w:rPr>
                <w:color w:val="10223F"/>
                <w:sz w:val="16"/>
              </w:rPr>
              <w:t>Published CCC/ADT path</w:t>
            </w:r>
          </w:p>
        </w:tc>
      </w:tr>
      <w:tr>
        <w:trPr>
          <w:cantSplit w:val="true"/>
        </w:trPr>
        <w:tc>
          <w:tcPr>
            <w:tcW w:type="dxa" w:w="2189"/>
            <w:shd w:fill="FBFCFE"/>
            <w:tcMar>
              <w:top w:w="70" w:type="dxa"/>
              <w:start w:w="65" w:type="dxa"/>
              <w:bottom w:w="70" w:type="dxa"/>
              <w:end w:w="65" w:type="dxa"/>
            </w:tcMar>
            <w:vAlign w:val="top"/>
          </w:tcPr>
          <w:p>
            <w:r>
              <w:rPr>
                <w:color w:val="10223F"/>
                <w:sz w:val="16"/>
              </w:rPr>
              <w:t>CSU Fresno</w:t>
            </w:r>
          </w:p>
        </w:tc>
        <w:tc>
          <w:tcPr>
            <w:tcW w:type="dxa" w:w="3600"/>
            <w:shd w:fill="FBFCFE"/>
            <w:tcMar>
              <w:top w:w="70" w:type="dxa"/>
              <w:start w:w="65" w:type="dxa"/>
              <w:bottom w:w="70" w:type="dxa"/>
              <w:end w:w="65" w:type="dxa"/>
            </w:tcMar>
            <w:vAlign w:val="top"/>
          </w:tcPr>
          <w:p>
            <w:hyperlink r:id="rId28">
              <w:r>
                <w:rPr>
                  <w:color w:val="06265E"/>
                  <w:u w:val="single"/>
                  <w:rFonts w:ascii="Aptos" w:hAnsi="Aptos"/>
                  <w:sz w:val="20"/>
                </w:rPr>
                <w:t>English B.A. — Creative Writing Option</w:t>
              </w:r>
            </w:hyperlink>
          </w:p>
        </w:tc>
        <w:tc>
          <w:tcPr>
            <w:tcW w:type="dxa" w:w="1512"/>
            <w:shd w:fill="FBFCFE"/>
            <w:tcMar>
              <w:top w:w="70" w:type="dxa"/>
              <w:start w:w="65" w:type="dxa"/>
              <w:bottom w:w="70" w:type="dxa"/>
              <w:end w:w="65" w:type="dxa"/>
            </w:tcMar>
            <w:vAlign w:val="top"/>
          </w:tcPr>
          <w:p>
            <w:r>
              <w:rPr>
                <w:color w:val="10223F"/>
                <w:sz w:val="16"/>
              </w:rPr>
              <w:t>Option/Concentration</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CSU Fullerton</w:t>
            </w:r>
          </w:p>
        </w:tc>
        <w:tc>
          <w:tcPr>
            <w:tcW w:type="dxa" w:w="3600"/>
            <w:tcMar>
              <w:top w:w="70" w:type="dxa"/>
              <w:start w:w="65" w:type="dxa"/>
              <w:bottom w:w="70" w:type="dxa"/>
              <w:end w:w="65" w:type="dxa"/>
            </w:tcMar>
            <w:vAlign w:val="top"/>
          </w:tcPr>
          <w:p>
            <w:hyperlink r:id="rId29">
              <w:r>
                <w:rPr>
                  <w:color w:val="06265E"/>
                  <w:u w:val="single"/>
                  <w:rFonts w:ascii="Aptos" w:hAnsi="Aptos"/>
                  <w:sz w:val="20"/>
                </w:rPr>
                <w:t>Creative Writing Minor</w:t>
              </w:r>
            </w:hyperlink>
          </w:p>
        </w:tc>
        <w:tc>
          <w:tcPr>
            <w:tcW w:type="dxa" w:w="1512"/>
            <w:tcMar>
              <w:top w:w="70" w:type="dxa"/>
              <w:start w:w="65" w:type="dxa"/>
              <w:bottom w:w="70" w:type="dxa"/>
              <w:end w:w="65" w:type="dxa"/>
            </w:tcMar>
            <w:vAlign w:val="top"/>
          </w:tcPr>
          <w:p>
            <w:r>
              <w:rPr>
                <w:color w:val="10223F"/>
                <w:sz w:val="16"/>
              </w:rPr>
              <w:t>Minor</w:t>
            </w:r>
          </w:p>
        </w:tc>
        <w:tc>
          <w:tcPr>
            <w:tcW w:type="dxa" w:w="2981"/>
            <w:tcMar>
              <w:top w:w="70" w:type="dxa"/>
              <w:start w:w="65" w:type="dxa"/>
              <w:bottom w:w="70" w:type="dxa"/>
              <w:end w:w="65" w:type="dxa"/>
            </w:tcMar>
            <w:vAlign w:val="top"/>
          </w:tcPr>
          <w:p>
            <w:r>
              <w:rPr>
                <w:color w:val="10223F"/>
                <w:sz w:val="16"/>
              </w:rPr>
              <w:t>General planning</w:t>
            </w:r>
          </w:p>
        </w:tc>
      </w:tr>
      <w:tr>
        <w:trPr>
          <w:cantSplit w:val="true"/>
        </w:trPr>
        <w:tc>
          <w:tcPr>
            <w:tcW w:type="dxa" w:w="2189"/>
            <w:shd w:fill="FBFCFE"/>
            <w:tcMar>
              <w:top w:w="70" w:type="dxa"/>
              <w:start w:w="65" w:type="dxa"/>
              <w:bottom w:w="70" w:type="dxa"/>
              <w:end w:w="65" w:type="dxa"/>
            </w:tcMar>
            <w:vAlign w:val="top"/>
          </w:tcPr>
          <w:p>
            <w:r>
              <w:rPr>
                <w:color w:val="10223F"/>
                <w:sz w:val="16"/>
              </w:rPr>
              <w:t>CSU Long Beach</w:t>
            </w:r>
          </w:p>
        </w:tc>
        <w:tc>
          <w:tcPr>
            <w:tcW w:type="dxa" w:w="3600"/>
            <w:shd w:fill="FBFCFE"/>
            <w:tcMar>
              <w:top w:w="70" w:type="dxa"/>
              <w:start w:w="65" w:type="dxa"/>
              <w:bottom w:w="70" w:type="dxa"/>
              <w:end w:w="65" w:type="dxa"/>
            </w:tcMar>
            <w:vAlign w:val="top"/>
          </w:tcPr>
          <w:p>
            <w:hyperlink r:id="rId30">
              <w:r>
                <w:rPr>
                  <w:color w:val="06265E"/>
                  <w:u w:val="single"/>
                  <w:rFonts w:ascii="Aptos" w:hAnsi="Aptos"/>
                  <w:sz w:val="20"/>
                </w:rPr>
                <w:t>English B.A. — Creative Writing Option</w:t>
              </w:r>
            </w:hyperlink>
          </w:p>
        </w:tc>
        <w:tc>
          <w:tcPr>
            <w:tcW w:type="dxa" w:w="1512"/>
            <w:shd w:fill="FBFCFE"/>
            <w:tcMar>
              <w:top w:w="70" w:type="dxa"/>
              <w:start w:w="65" w:type="dxa"/>
              <w:bottom w:w="70" w:type="dxa"/>
              <w:end w:w="65" w:type="dxa"/>
            </w:tcMar>
            <w:vAlign w:val="top"/>
          </w:tcPr>
          <w:p>
            <w:r>
              <w:rPr>
                <w:color w:val="10223F"/>
                <w:sz w:val="16"/>
              </w:rPr>
              <w:t>Option/Concentration</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CSU Los Angeles</w:t>
            </w:r>
          </w:p>
        </w:tc>
        <w:tc>
          <w:tcPr>
            <w:tcW w:type="dxa" w:w="3600"/>
            <w:tcMar>
              <w:top w:w="70" w:type="dxa"/>
              <w:start w:w="65" w:type="dxa"/>
              <w:bottom w:w="70" w:type="dxa"/>
              <w:end w:w="65" w:type="dxa"/>
            </w:tcMar>
            <w:vAlign w:val="top"/>
          </w:tcPr>
          <w:p>
            <w:hyperlink r:id="rId31">
              <w:r>
                <w:rPr>
                  <w:color w:val="06265E"/>
                  <w:u w:val="single"/>
                  <w:rFonts w:ascii="Aptos" w:hAnsi="Aptos"/>
                  <w:sz w:val="20"/>
                </w:rPr>
                <w:t>Creative Writing Minor</w:t>
              </w:r>
            </w:hyperlink>
          </w:p>
        </w:tc>
        <w:tc>
          <w:tcPr>
            <w:tcW w:type="dxa" w:w="1512"/>
            <w:tcMar>
              <w:top w:w="70" w:type="dxa"/>
              <w:start w:w="65" w:type="dxa"/>
              <w:bottom w:w="70" w:type="dxa"/>
              <w:end w:w="65" w:type="dxa"/>
            </w:tcMar>
            <w:vAlign w:val="top"/>
          </w:tcPr>
          <w:p>
            <w:r>
              <w:rPr>
                <w:color w:val="10223F"/>
                <w:sz w:val="16"/>
              </w:rPr>
              <w:t>Minor</w:t>
            </w:r>
          </w:p>
        </w:tc>
        <w:tc>
          <w:tcPr>
            <w:tcW w:type="dxa" w:w="2981"/>
            <w:tcMar>
              <w:top w:w="70" w:type="dxa"/>
              <w:start w:w="65" w:type="dxa"/>
              <w:bottom w:w="70" w:type="dxa"/>
              <w:end w:w="65" w:type="dxa"/>
            </w:tcMar>
            <w:vAlign w:val="top"/>
          </w:tcPr>
          <w:p>
            <w:r>
              <w:rPr>
                <w:color w:val="10223F"/>
                <w:sz w:val="16"/>
              </w:rPr>
              <w:t>General planning</w:t>
            </w:r>
          </w:p>
        </w:tc>
      </w:tr>
      <w:tr>
        <w:trPr>
          <w:cantSplit w:val="true"/>
        </w:trPr>
        <w:tc>
          <w:tcPr>
            <w:tcW w:type="dxa" w:w="2189"/>
            <w:shd w:fill="FBFCFE"/>
            <w:tcMar>
              <w:top w:w="70" w:type="dxa"/>
              <w:start w:w="65" w:type="dxa"/>
              <w:bottom w:w="70" w:type="dxa"/>
              <w:end w:w="65" w:type="dxa"/>
            </w:tcMar>
            <w:vAlign w:val="top"/>
          </w:tcPr>
          <w:p>
            <w:r>
              <w:rPr>
                <w:color w:val="10223F"/>
                <w:sz w:val="16"/>
              </w:rPr>
              <w:t>CSU Monterey Bay</w:t>
            </w:r>
          </w:p>
        </w:tc>
        <w:tc>
          <w:tcPr>
            <w:tcW w:type="dxa" w:w="3600"/>
            <w:shd w:fill="FBFCFE"/>
            <w:tcMar>
              <w:top w:w="70" w:type="dxa"/>
              <w:start w:w="65" w:type="dxa"/>
              <w:bottom w:w="70" w:type="dxa"/>
              <w:end w:w="65" w:type="dxa"/>
            </w:tcMar>
            <w:vAlign w:val="top"/>
          </w:tcPr>
          <w:p>
            <w:hyperlink r:id="rId32">
              <w:r>
                <w:rPr>
                  <w:color w:val="06265E"/>
                  <w:u w:val="single"/>
                  <w:rFonts w:ascii="Aptos" w:hAnsi="Aptos"/>
                  <w:sz w:val="20"/>
                </w:rPr>
                <w:t>Humanities &amp; Communication B.A. — Creative Writing &amp; Social Action Concentration</w:t>
              </w:r>
            </w:hyperlink>
          </w:p>
        </w:tc>
        <w:tc>
          <w:tcPr>
            <w:tcW w:type="dxa" w:w="1512"/>
            <w:shd w:fill="FBFCFE"/>
            <w:tcMar>
              <w:top w:w="70" w:type="dxa"/>
              <w:start w:w="65" w:type="dxa"/>
              <w:bottom w:w="70" w:type="dxa"/>
              <w:end w:w="65" w:type="dxa"/>
            </w:tcMar>
            <w:vAlign w:val="top"/>
          </w:tcPr>
          <w:p>
            <w:r>
              <w:rPr>
                <w:color w:val="10223F"/>
                <w:sz w:val="16"/>
              </w:rPr>
              <w:t>Option/Concentration</w:t>
            </w:r>
          </w:p>
        </w:tc>
        <w:tc>
          <w:tcPr>
            <w:tcW w:type="dxa" w:w="2981"/>
            <w:shd w:fill="FBFCFE"/>
            <w:tcMar>
              <w:top w:w="70" w:type="dxa"/>
              <w:start w:w="65" w:type="dxa"/>
              <w:bottom w:w="70" w:type="dxa"/>
              <w:end w:w="65" w:type="dxa"/>
            </w:tcMar>
            <w:vAlign w:val="top"/>
          </w:tcPr>
          <w:p>
            <w:r>
              <w:rPr>
                <w:color w:val="10223F"/>
                <w:sz w:val="16"/>
              </w:rPr>
              <w:t>Published CCC/ADT path</w:t>
            </w:r>
          </w:p>
        </w:tc>
      </w:tr>
      <w:tr>
        <w:trPr>
          <w:cantSplit w:val="true"/>
        </w:trPr>
        <w:tc>
          <w:tcPr>
            <w:tcW w:type="dxa" w:w="2189"/>
            <w:tcMar>
              <w:top w:w="70" w:type="dxa"/>
              <w:start w:w="65" w:type="dxa"/>
              <w:bottom w:w="70" w:type="dxa"/>
              <w:end w:w="65" w:type="dxa"/>
            </w:tcMar>
            <w:vAlign w:val="top"/>
          </w:tcPr>
          <w:p>
            <w:r>
              <w:rPr>
                <w:color w:val="10223F"/>
                <w:sz w:val="16"/>
              </w:rPr>
              <w:t>CSU Northridge</w:t>
            </w:r>
          </w:p>
        </w:tc>
        <w:tc>
          <w:tcPr>
            <w:tcW w:type="dxa" w:w="3600"/>
            <w:tcMar>
              <w:top w:w="70" w:type="dxa"/>
              <w:start w:w="65" w:type="dxa"/>
              <w:bottom w:w="70" w:type="dxa"/>
              <w:end w:w="65" w:type="dxa"/>
            </w:tcMar>
            <w:vAlign w:val="top"/>
          </w:tcPr>
          <w:p>
            <w:hyperlink r:id="rId33">
              <w:r>
                <w:rPr>
                  <w:color w:val="06265E"/>
                  <w:u w:val="single"/>
                  <w:rFonts w:ascii="Aptos" w:hAnsi="Aptos"/>
                  <w:sz w:val="20"/>
                </w:rPr>
                <w:t>English B.A. — Creative Writing Option</w:t>
              </w:r>
            </w:hyperlink>
          </w:p>
        </w:tc>
        <w:tc>
          <w:tcPr>
            <w:tcW w:type="dxa" w:w="1512"/>
            <w:tcMar>
              <w:top w:w="70" w:type="dxa"/>
              <w:start w:w="65" w:type="dxa"/>
              <w:bottom w:w="70" w:type="dxa"/>
              <w:end w:w="65" w:type="dxa"/>
            </w:tcMar>
            <w:vAlign w:val="top"/>
          </w:tcPr>
          <w:p>
            <w:r>
              <w:rPr>
                <w:color w:val="10223F"/>
                <w:sz w:val="16"/>
              </w:rPr>
              <w:t>Option/Concentration</w:t>
            </w:r>
          </w:p>
        </w:tc>
        <w:tc>
          <w:tcPr>
            <w:tcW w:type="dxa" w:w="2981"/>
            <w:tcMar>
              <w:top w:w="70" w:type="dxa"/>
              <w:start w:w="65" w:type="dxa"/>
              <w:bottom w:w="70" w:type="dxa"/>
              <w:end w:w="65" w:type="dxa"/>
            </w:tcMar>
            <w:vAlign w:val="top"/>
          </w:tcPr>
          <w:p>
            <w:r>
              <w:rPr>
                <w:color w:val="10223F"/>
                <w:sz w:val="16"/>
              </w:rPr>
              <w:t>Published CCC/ADT path</w:t>
            </w:r>
          </w:p>
        </w:tc>
      </w:tr>
      <w:tr>
        <w:trPr>
          <w:cantSplit w:val="true"/>
        </w:trPr>
        <w:tc>
          <w:tcPr>
            <w:tcW w:type="dxa" w:w="2189"/>
            <w:shd w:fill="FBFCFE"/>
            <w:tcMar>
              <w:top w:w="70" w:type="dxa"/>
              <w:start w:w="65" w:type="dxa"/>
              <w:bottom w:w="70" w:type="dxa"/>
              <w:end w:w="65" w:type="dxa"/>
            </w:tcMar>
            <w:vAlign w:val="top"/>
          </w:tcPr>
          <w:p>
            <w:r>
              <w:rPr>
                <w:color w:val="10223F"/>
                <w:sz w:val="16"/>
              </w:rPr>
              <w:t>CSU Sacramento</w:t>
            </w:r>
          </w:p>
        </w:tc>
        <w:tc>
          <w:tcPr>
            <w:tcW w:type="dxa" w:w="3600"/>
            <w:shd w:fill="FBFCFE"/>
            <w:tcMar>
              <w:top w:w="70" w:type="dxa"/>
              <w:start w:w="65" w:type="dxa"/>
              <w:bottom w:w="70" w:type="dxa"/>
              <w:end w:w="65" w:type="dxa"/>
            </w:tcMar>
            <w:vAlign w:val="top"/>
          </w:tcPr>
          <w:p>
            <w:hyperlink r:id="rId34">
              <w:r>
                <w:rPr>
                  <w:color w:val="06265E"/>
                  <w:u w:val="single"/>
                  <w:rFonts w:ascii="Aptos" w:hAnsi="Aptos"/>
                  <w:sz w:val="20"/>
                </w:rPr>
                <w:t>Creative Writing Minor</w:t>
              </w:r>
            </w:hyperlink>
          </w:p>
        </w:tc>
        <w:tc>
          <w:tcPr>
            <w:tcW w:type="dxa" w:w="1512"/>
            <w:shd w:fill="FBFCFE"/>
            <w:tcMar>
              <w:top w:w="70" w:type="dxa"/>
              <w:start w:w="65" w:type="dxa"/>
              <w:bottom w:w="70" w:type="dxa"/>
              <w:end w:w="65" w:type="dxa"/>
            </w:tcMar>
            <w:vAlign w:val="top"/>
          </w:tcPr>
          <w:p>
            <w:r>
              <w:rPr>
                <w:color w:val="10223F"/>
                <w:sz w:val="16"/>
              </w:rPr>
              <w:t>Minor</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CSU San Bernardino</w:t>
            </w:r>
          </w:p>
        </w:tc>
        <w:tc>
          <w:tcPr>
            <w:tcW w:type="dxa" w:w="3600"/>
            <w:tcMar>
              <w:top w:w="70" w:type="dxa"/>
              <w:start w:w="65" w:type="dxa"/>
              <w:bottom w:w="70" w:type="dxa"/>
              <w:end w:w="65" w:type="dxa"/>
            </w:tcMar>
            <w:vAlign w:val="top"/>
          </w:tcPr>
          <w:p>
            <w:hyperlink r:id="rId35">
              <w:r>
                <w:rPr>
                  <w:color w:val="06265E"/>
                  <w:u w:val="single"/>
                  <w:rFonts w:ascii="Aptos" w:hAnsi="Aptos"/>
                  <w:sz w:val="20"/>
                </w:rPr>
                <w:t>English B.A. — Creative Writing Concentration</w:t>
              </w:r>
            </w:hyperlink>
          </w:p>
        </w:tc>
        <w:tc>
          <w:tcPr>
            <w:tcW w:type="dxa" w:w="1512"/>
            <w:tcMar>
              <w:top w:w="70" w:type="dxa"/>
              <w:start w:w="65" w:type="dxa"/>
              <w:bottom w:w="70" w:type="dxa"/>
              <w:end w:w="65" w:type="dxa"/>
            </w:tcMar>
            <w:vAlign w:val="top"/>
          </w:tcPr>
          <w:p>
            <w:r>
              <w:rPr>
                <w:color w:val="10223F"/>
                <w:sz w:val="16"/>
              </w:rPr>
              <w:t>Option/Concentration</w:t>
            </w:r>
          </w:p>
        </w:tc>
        <w:tc>
          <w:tcPr>
            <w:tcW w:type="dxa" w:w="2981"/>
            <w:tcMar>
              <w:top w:w="70" w:type="dxa"/>
              <w:start w:w="65" w:type="dxa"/>
              <w:bottom w:w="70" w:type="dxa"/>
              <w:end w:w="65" w:type="dxa"/>
            </w:tcMar>
            <w:vAlign w:val="top"/>
          </w:tcPr>
          <w:p>
            <w:r>
              <w:rPr>
                <w:color w:val="10223F"/>
                <w:sz w:val="16"/>
              </w:rPr>
              <w:t>General planning</w:t>
            </w:r>
          </w:p>
        </w:tc>
      </w:tr>
      <w:tr>
        <w:trPr>
          <w:cantSplit w:val="true"/>
        </w:trPr>
        <w:tc>
          <w:tcPr>
            <w:tcW w:type="dxa" w:w="2189"/>
            <w:shd w:fill="FBFCFE"/>
            <w:tcMar>
              <w:top w:w="70" w:type="dxa"/>
              <w:start w:w="65" w:type="dxa"/>
              <w:bottom w:w="70" w:type="dxa"/>
              <w:end w:w="65" w:type="dxa"/>
            </w:tcMar>
            <w:vAlign w:val="top"/>
          </w:tcPr>
          <w:p>
            <w:r>
              <w:rPr>
                <w:color w:val="10223F"/>
                <w:sz w:val="16"/>
              </w:rPr>
              <w:t>San Diego State University</w:t>
            </w:r>
          </w:p>
        </w:tc>
        <w:tc>
          <w:tcPr>
            <w:tcW w:type="dxa" w:w="3600"/>
            <w:shd w:fill="FBFCFE"/>
            <w:tcMar>
              <w:top w:w="70" w:type="dxa"/>
              <w:start w:w="65" w:type="dxa"/>
              <w:bottom w:w="70" w:type="dxa"/>
              <w:end w:w="65" w:type="dxa"/>
            </w:tcMar>
            <w:vAlign w:val="top"/>
          </w:tcPr>
          <w:p>
            <w:hyperlink r:id="rId36">
              <w:r>
                <w:rPr>
                  <w:color w:val="06265E"/>
                  <w:u w:val="single"/>
                  <w:rFonts w:ascii="Aptos" w:hAnsi="Aptos"/>
                  <w:sz w:val="20"/>
                </w:rPr>
                <w:t>Creative Writing Minor</w:t>
              </w:r>
            </w:hyperlink>
          </w:p>
        </w:tc>
        <w:tc>
          <w:tcPr>
            <w:tcW w:type="dxa" w:w="1512"/>
            <w:shd w:fill="FBFCFE"/>
            <w:tcMar>
              <w:top w:w="70" w:type="dxa"/>
              <w:start w:w="65" w:type="dxa"/>
              <w:bottom w:w="70" w:type="dxa"/>
              <w:end w:w="65" w:type="dxa"/>
            </w:tcMar>
            <w:vAlign w:val="top"/>
          </w:tcPr>
          <w:p>
            <w:r>
              <w:rPr>
                <w:color w:val="10223F"/>
                <w:sz w:val="16"/>
              </w:rPr>
              <w:t>Minor</w:t>
            </w:r>
          </w:p>
        </w:tc>
        <w:tc>
          <w:tcPr>
            <w:tcW w:type="dxa" w:w="2981"/>
            <w:shd w:fill="FBFCFE"/>
            <w:tcMar>
              <w:top w:w="70" w:type="dxa"/>
              <w:start w:w="65" w:type="dxa"/>
              <w:bottom w:w="70" w:type="dxa"/>
              <w:end w:w="65" w:type="dxa"/>
            </w:tcMar>
            <w:vAlign w:val="top"/>
          </w:tcPr>
          <w:p>
            <w:r>
              <w:rPr>
                <w:color w:val="10223F"/>
                <w:sz w:val="16"/>
              </w:rPr>
              <w:t>General planning</w:t>
            </w:r>
          </w:p>
        </w:tc>
      </w:tr>
      <w:tr>
        <w:trPr>
          <w:cantSplit w:val="true"/>
        </w:trPr>
        <w:tc>
          <w:tcPr>
            <w:tcW w:type="dxa" w:w="2189"/>
            <w:tcMar>
              <w:top w:w="70" w:type="dxa"/>
              <w:start w:w="65" w:type="dxa"/>
              <w:bottom w:w="70" w:type="dxa"/>
              <w:end w:w="65" w:type="dxa"/>
            </w:tcMar>
            <w:vAlign w:val="top"/>
          </w:tcPr>
          <w:p>
            <w:r>
              <w:rPr>
                <w:color w:val="10223F"/>
                <w:sz w:val="16"/>
              </w:rPr>
              <w:t>San Francisco State University</w:t>
            </w:r>
          </w:p>
        </w:tc>
        <w:tc>
          <w:tcPr>
            <w:tcW w:type="dxa" w:w="3600"/>
            <w:tcMar>
              <w:top w:w="70" w:type="dxa"/>
              <w:start w:w="65" w:type="dxa"/>
              <w:bottom w:w="70" w:type="dxa"/>
              <w:end w:w="65" w:type="dxa"/>
            </w:tcMar>
            <w:vAlign w:val="top"/>
          </w:tcPr>
          <w:p>
            <w:hyperlink r:id="rId37">
              <w:r>
                <w:rPr>
                  <w:color w:val="06265E"/>
                  <w:u w:val="single"/>
                  <w:rFonts w:ascii="Aptos" w:hAnsi="Aptos"/>
                  <w:sz w:val="20"/>
                </w:rPr>
                <w:t>B.A. in Creative Writing</w:t>
              </w:r>
            </w:hyperlink>
          </w:p>
        </w:tc>
        <w:tc>
          <w:tcPr>
            <w:tcW w:type="dxa" w:w="1512"/>
            <w:tcMar>
              <w:top w:w="70" w:type="dxa"/>
              <w:start w:w="65" w:type="dxa"/>
              <w:bottom w:w="70" w:type="dxa"/>
              <w:end w:w="65" w:type="dxa"/>
            </w:tcMar>
            <w:vAlign w:val="top"/>
          </w:tcPr>
          <w:p>
            <w:r>
              <w:rPr>
                <w:color w:val="10223F"/>
                <w:sz w:val="16"/>
              </w:rPr>
              <w:t>Major</w:t>
            </w:r>
          </w:p>
        </w:tc>
        <w:tc>
          <w:tcPr>
            <w:tcW w:type="dxa" w:w="2981"/>
            <w:tcMar>
              <w:top w:w="70" w:type="dxa"/>
              <w:start w:w="65" w:type="dxa"/>
              <w:bottom w:w="70" w:type="dxa"/>
              <w:end w:w="65" w:type="dxa"/>
            </w:tcMar>
            <w:vAlign w:val="top"/>
          </w:tcPr>
          <w:p>
            <w:r>
              <w:rPr>
                <w:color w:val="10223F"/>
                <w:sz w:val="16"/>
              </w:rPr>
              <w:t>Published CCC/ADT path</w:t>
            </w:r>
          </w:p>
        </w:tc>
      </w:tr>
      <w:tr>
        <w:trPr>
          <w:cantSplit w:val="true"/>
        </w:trPr>
        <w:tc>
          <w:tcPr>
            <w:tcW w:type="dxa" w:w="2189"/>
            <w:shd w:fill="FBFCFE"/>
            <w:tcMar>
              <w:top w:w="70" w:type="dxa"/>
              <w:start w:w="65" w:type="dxa"/>
              <w:bottom w:w="70" w:type="dxa"/>
              <w:end w:w="65" w:type="dxa"/>
            </w:tcMar>
            <w:vAlign w:val="top"/>
          </w:tcPr>
          <w:p>
            <w:r>
              <w:rPr>
                <w:color w:val="10223F"/>
                <w:sz w:val="16"/>
              </w:rPr>
              <w:t>San José State University</w:t>
            </w:r>
          </w:p>
        </w:tc>
        <w:tc>
          <w:tcPr>
            <w:tcW w:type="dxa" w:w="3600"/>
            <w:shd w:fill="FBFCFE"/>
            <w:tcMar>
              <w:top w:w="70" w:type="dxa"/>
              <w:start w:w="65" w:type="dxa"/>
              <w:bottom w:w="70" w:type="dxa"/>
              <w:end w:w="65" w:type="dxa"/>
            </w:tcMar>
            <w:vAlign w:val="top"/>
          </w:tcPr>
          <w:p>
            <w:hyperlink r:id="rId38">
              <w:r>
                <w:rPr>
                  <w:color w:val="06265E"/>
                  <w:u w:val="single"/>
                  <w:rFonts w:ascii="Aptos" w:hAnsi="Aptos"/>
                  <w:sz w:val="20"/>
                </w:rPr>
                <w:t>English B.A. — Creative Writing Concentration</w:t>
              </w:r>
            </w:hyperlink>
          </w:p>
        </w:tc>
        <w:tc>
          <w:tcPr>
            <w:tcW w:type="dxa" w:w="1512"/>
            <w:shd w:fill="FBFCFE"/>
            <w:tcMar>
              <w:top w:w="70" w:type="dxa"/>
              <w:start w:w="65" w:type="dxa"/>
              <w:bottom w:w="70" w:type="dxa"/>
              <w:end w:w="65" w:type="dxa"/>
            </w:tcMar>
            <w:vAlign w:val="top"/>
          </w:tcPr>
          <w:p>
            <w:r>
              <w:rPr>
                <w:color w:val="10223F"/>
                <w:sz w:val="16"/>
              </w:rPr>
              <w:t>Option/Concentration</w:t>
            </w:r>
          </w:p>
        </w:tc>
        <w:tc>
          <w:tcPr>
            <w:tcW w:type="dxa" w:w="2981"/>
            <w:shd w:fill="FBFCFE"/>
            <w:tcMar>
              <w:top w:w="70" w:type="dxa"/>
              <w:start w:w="65" w:type="dxa"/>
              <w:bottom w:w="70" w:type="dxa"/>
              <w:end w:w="65" w:type="dxa"/>
            </w:tcMar>
            <w:vAlign w:val="top"/>
          </w:tcPr>
          <w:p>
            <w:r>
              <w:rPr>
                <w:color w:val="10223F"/>
                <w:sz w:val="16"/>
              </w:rPr>
              <w:t>Transfer-specific guidance</w:t>
            </w:r>
          </w:p>
        </w:tc>
      </w:tr>
      <w:tr>
        <w:trPr>
          <w:cantSplit w:val="true"/>
        </w:trPr>
        <w:tc>
          <w:tcPr>
            <w:tcW w:type="dxa" w:w="2189"/>
            <w:tcMar>
              <w:top w:w="70" w:type="dxa"/>
              <w:start w:w="65" w:type="dxa"/>
              <w:bottom w:w="70" w:type="dxa"/>
              <w:end w:w="65" w:type="dxa"/>
            </w:tcMar>
            <w:vAlign w:val="top"/>
          </w:tcPr>
          <w:p>
            <w:r>
              <w:rPr>
                <w:color w:val="10223F"/>
                <w:sz w:val="16"/>
              </w:rPr>
              <w:t>Sonoma State University</w:t>
            </w:r>
          </w:p>
        </w:tc>
        <w:tc>
          <w:tcPr>
            <w:tcW w:type="dxa" w:w="3600"/>
            <w:tcMar>
              <w:top w:w="70" w:type="dxa"/>
              <w:start w:w="65" w:type="dxa"/>
              <w:bottom w:w="70" w:type="dxa"/>
              <w:end w:w="65" w:type="dxa"/>
            </w:tcMar>
            <w:vAlign w:val="top"/>
          </w:tcPr>
          <w:p>
            <w:hyperlink r:id="rId39">
              <w:r>
                <w:rPr>
                  <w:color w:val="06265E"/>
                  <w:u w:val="single"/>
                  <w:rFonts w:ascii="Aptos" w:hAnsi="Aptos"/>
                  <w:sz w:val="20"/>
                </w:rPr>
                <w:t>English B.A. — Creative Writing Concentration</w:t>
              </w:r>
            </w:hyperlink>
          </w:p>
        </w:tc>
        <w:tc>
          <w:tcPr>
            <w:tcW w:type="dxa" w:w="1512"/>
            <w:tcMar>
              <w:top w:w="70" w:type="dxa"/>
              <w:start w:w="65" w:type="dxa"/>
              <w:bottom w:w="70" w:type="dxa"/>
              <w:end w:w="65" w:type="dxa"/>
            </w:tcMar>
            <w:vAlign w:val="top"/>
          </w:tcPr>
          <w:p>
            <w:r>
              <w:rPr>
                <w:color w:val="10223F"/>
                <w:sz w:val="16"/>
              </w:rPr>
              <w:t>Option/Concentration</w:t>
            </w:r>
          </w:p>
        </w:tc>
        <w:tc>
          <w:tcPr>
            <w:tcW w:type="dxa" w:w="2981"/>
            <w:tcMar>
              <w:top w:w="70" w:type="dxa"/>
              <w:start w:w="65" w:type="dxa"/>
              <w:bottom w:w="70" w:type="dxa"/>
              <w:end w:w="65" w:type="dxa"/>
            </w:tcMar>
            <w:vAlign w:val="top"/>
          </w:tcPr>
          <w:p>
            <w:r>
              <w:rPr>
                <w:color w:val="10223F"/>
                <w:sz w:val="16"/>
              </w:rPr>
              <w:t>General planning</w:t>
            </w:r>
          </w:p>
        </w:tc>
      </w:tr>
    </w:tbl>
    <w:p>
      <w:pPr>
        <w:pStyle w:val="Heading1"/>
      </w:pPr>
      <w:r>
        <w:t>Course-Rich CSU Campuses Not Listed as Dedicated Pathways</w:t>
      </w:r>
    </w:p>
    <w:p>
      <w:r>
        <w:rPr>
          <w:b/>
          <w:color w:val="031B45"/>
        </w:rPr>
        <w:t xml:space="preserve">Cal Poly Pomona: </w:t>
      </w:r>
      <w:r>
        <w:t>The current English Literary Studies option includes creative writing, and the curriculum includes Creative Writing and Creative Nonfiction. The current minor list includes English and Writing Studies, but I did not verify a dedicated Creative Writing minor/concentration.</w:t>
      </w:r>
    </w:p>
    <w:p>
      <w:hyperlink r:id="rId40">
        <w:r>
          <w:rPr>
            <w:color w:val="06265E"/>
            <w:u w:val="single"/>
            <w:rFonts w:ascii="Aptos" w:hAnsi="Aptos"/>
            <w:sz w:val="20"/>
          </w:rPr>
          <w:t>Open the official university page</w:t>
        </w:r>
      </w:hyperlink>
    </w:p>
    <w:p>
      <w:r>
        <w:rPr>
          <w:b/>
          <w:color w:val="031B45"/>
        </w:rPr>
        <w:t xml:space="preserve">CSU San Marcos: </w:t>
      </w:r>
      <w:r>
        <w:t>The current Literature and Writing Studies program includes creative-writing workshops in its curriculum, including Introduction to Creative Writing and upper-division workshop courses. I did not verify a currently named Creative Writing concentration/minor distinct from the broader Literature and Writing Studies pathway.</w:t>
      </w:r>
    </w:p>
    <w:p>
      <w:hyperlink r:id="rId41">
        <w:r>
          <w:rPr>
            <w:color w:val="06265E"/>
            <w:u w:val="single"/>
            <w:rFonts w:ascii="Aptos" w:hAnsi="Aptos"/>
            <w:sz w:val="20"/>
          </w:rPr>
          <w:t>Open the official university page</w:t>
        </w:r>
      </w:hyperlink>
    </w:p>
    <w:p>
      <w:r>
        <w:rPr>
          <w:b/>
          <w:color w:val="031B45"/>
        </w:rPr>
        <w:t xml:space="preserve">Stanislaus State: </w:t>
      </w:r>
      <w:r>
        <w:t>The current English B.A. explicitly includes creative-writing electives and identifies creative writing as an area of interest, but the undergraduate degree list does not show a separately named creative-writing concentration/minor.</w:t>
      </w:r>
    </w:p>
    <w:p>
      <w:hyperlink r:id="rId42">
        <w:r>
          <w:rPr>
            <w:color w:val="06265E"/>
            <w:u w:val="single"/>
            <w:rFonts w:ascii="Aptos" w:hAnsi="Aptos"/>
            <w:sz w:val="20"/>
          </w:rPr>
          <w:t>Open the official university page</w:t>
        </w:r>
      </w:hyperlink>
    </w:p>
    <w:p>
      <w:pPr>
        <w:pStyle w:val="Heading1"/>
      </w:pPr>
      <w:r>
        <w:t>What a CCC Writer Should Compare</w:t>
      </w:r>
    </w:p>
    <w:p>
      <w:pPr>
        <w:pStyle w:val="ListBullet"/>
      </w:pPr>
      <w:r>
        <w:t>Degree shape: standalone major vs. English/Literature concentration vs. minor. A minor can be wonderful, but it will not replace choosing a primary major.</w:t>
      </w:r>
    </w:p>
    <w:p>
      <w:pPr>
        <w:pStyle w:val="ListBullet"/>
      </w:pPr>
      <w:r>
        <w:t>Genre fit: fiction, poetry, creative nonfiction, playwriting, screenwriting, literary publishing, hybrid/experimental work, or social-action writing.</w:t>
      </w:r>
    </w:p>
    <w:p>
      <w:pPr>
        <w:pStyle w:val="ListBullet"/>
      </w:pPr>
      <w:r>
        <w:t>Workshop access: some programs have application-only or selective workshop sequences.</w:t>
      </w:r>
    </w:p>
    <w:p>
      <w:pPr>
        <w:pStyle w:val="ListBullet"/>
      </w:pPr>
      <w:r>
        <w:t>Transfer mechanics: whether an AA-T in English has a published roadmap, whether transfer coursework can satisfy the pathway itself, and whether prerequisites must be taken after transfer.</w:t>
      </w:r>
    </w:p>
    <w:p>
      <w:pPr>
        <w:pStyle w:val="ListBullet"/>
      </w:pPr>
      <w:r>
        <w:t>Publishing ecosystem: literary journals, editing/publishing courses, readings, presses, and opportunities to work on student publications.</w:t>
      </w:r>
    </w:p>
    <w:p>
      <w:pPr>
        <w:pStyle w:val="ListBullet"/>
      </w:pPr>
      <w:r>
        <w:t>Time-to-degree risk: a beautiful program can still be a poor transfer fit if required workshop sequences are hard to enter or must begin after transfer.</w:t>
      </w:r>
    </w:p>
    <w:p>
      <w:pPr>
        <w:pStyle w:val="Heading1"/>
      </w:pPr>
      <w:r>
        <w:t>Method and Cautions</w:t>
      </w:r>
    </w:p>
    <w:p>
      <w:r>
        <w:rPr>
          <w:b/>
        </w:rPr>
        <w:t xml:space="preserve">Inclusion rule. </w:t>
      </w:r>
      <w:r>
        <w:t>A program is included when an official current university source identifies a formal undergraduate major, option/concentration, minor, specialization/emphasis, or closely aligned writing program with a substantial creative-writing component. A single creative-writing course is not enough.</w:t>
      </w:r>
    </w:p>
    <w:p>
      <w:r>
        <w:rPr>
          <w:b/>
        </w:rPr>
        <w:t xml:space="preserve">Transfer labels. </w:t>
      </w:r>
      <w:r>
        <w:t>“Published CCC/ADT path” means the university publishes a creative-writing-specific transfer or ADT roadmap. “Transfer-specific guidance” means the university publishes material that materially changes how a CCC transfer student should plan. “General planning” means no creative-writing-specific transfer route was verified in this pass.</w:t>
      </w:r>
    </w:p>
    <w:p>
      <w:r>
        <w:rPr>
          <w:b/>
        </w:rPr>
        <w:t xml:space="preserve">Not a guarantee. </w:t>
      </w:r>
      <w:r>
        <w:t>Roadmaps, articulation, admissions requirements, and course availability change. Students should verify the current catalog and use ASSIST for course articulation before making enrollment decisions.</w:t>
      </w:r>
    </w:p>
    <w:p>
      <w:hyperlink r:id="rId43">
        <w:r>
          <w:rPr>
            <w:color w:val="06265E"/>
            <w:u w:val="single"/>
            <w:rFonts w:ascii="Aptos" w:hAnsi="Aptos"/>
            <w:sz w:val="20"/>
          </w:rPr>
          <w:t>Open ASSIST, California’s official articulation resource</w:t>
        </w:r>
      </w:hyperlink>
    </w:p>
    <w:p>
      <w:pPr>
        <w:pStyle w:val="Heading1"/>
      </w:pPr>
      <w:r>
        <w:t>Recommendations for the CCC Writers Website</w:t>
      </w:r>
    </w:p>
    <w:p>
      <w:pPr>
        <w:pStyle w:val="ListBullet"/>
      </w:pPr>
      <w:r>
        <w:t>Keep the “transfer lens” filter. It is more useful than simply sorting CSU vs. UC.</w:t>
      </w:r>
    </w:p>
    <w:p>
      <w:pPr>
        <w:pStyle w:val="ListBullet"/>
      </w:pPr>
      <w:r>
        <w:t>Show a visible “Published CCC/ADT Path” badge only when an institution provides an actual transfer/ADT roadmap for that pathway.</w:t>
      </w:r>
    </w:p>
    <w:p>
      <w:pPr>
        <w:pStyle w:val="ListBullet"/>
      </w:pPr>
      <w:r>
        <w:t>Add short “Before You Transfer” notes for Berkeley, UCLA, UCSC, UCSD, and UC Merced so students see sequencing constraints before choosing a destination.</w:t>
      </w:r>
    </w:p>
    <w:p>
      <w:pPr>
        <w:pStyle w:val="ListBullet"/>
      </w:pPr>
      <w:r>
        <w:t>Keep “formal pathway” separate from “creative-writing courses available.” A future secondary list can surface course-rich campuses without overstating what they offer.</w:t>
      </w:r>
    </w:p>
    <w:p>
      <w:pPr>
        <w:pStyle w:val="ListBullet"/>
      </w:pPr>
      <w:r>
        <w:t>Show a last-verified date on every program card and invite faculty/students to submit corrections through the moderated community form.</w:t>
      </w:r>
    </w:p>
    <w:p>
      <w:pPr>
        <w:pStyle w:val="Heading1"/>
      </w:pPr>
      <w:r>
        <w:t>Works Cited</w:t>
      </w:r>
    </w:p>
    <w:p>
      <w:pPr>
        <w:pStyle w:val="SmallNote"/>
      </w:pPr>
      <w:r>
        <w:t>MLA-style source list. All sources are official university, department, catalog, or transfer-road-map pages. Accessed 6 Sept. 2026.</w:t>
      </w:r>
    </w:p>
    <w:p>
      <w:pPr>
        <w:spacing w:after="80"/>
        <w:ind w:left="389" w:hanging="389"/>
      </w:pPr>
      <w:r>
        <w:rPr>
          <w:sz w:val="18"/>
        </w:rPr>
        <w:t xml:space="preserve">“California Articulation and Student Transfer Information System.” </w:t>
      </w:r>
      <w:r>
        <w:rPr>
          <w:i/>
          <w:sz w:val="18"/>
        </w:rPr>
        <w:t>ASSIST</w:t>
      </w:r>
      <w:r>
        <w:rPr>
          <w:sz w:val="18"/>
        </w:rPr>
        <w:t xml:space="preserve">, </w:t>
      </w:r>
      <w:hyperlink r:id="rId43">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Optional Creative Writing Emphasis.” </w:t>
      </w:r>
      <w:r>
        <w:rPr>
          <w:i/>
          <w:sz w:val="18"/>
        </w:rPr>
        <w:t>California Polytechnic State University, San Luis Obispo</w:t>
      </w:r>
      <w:r>
        <w:rPr>
          <w:sz w:val="18"/>
        </w:rPr>
        <w:t xml:space="preserve">, </w:t>
      </w:r>
      <w:hyperlink r:id="rId22">
        <w:r>
          <w:rPr>
            <w:color w:val="06265E"/>
            <w:u w:val="single"/>
            <w:rFonts w:ascii="Aptos" w:hAnsi="Aptos"/>
            <w:sz w:val="20"/>
          </w:rPr>
          <w:t>official page</w:t>
        </w:r>
      </w:hyperlink>
      <w:r>
        <w:rPr>
          <w:sz w:val="18"/>
        </w:rPr>
        <w:t>. Accessed 6 Sept. 2026.</w:t>
      </w:r>
    </w:p>
    <w:p>
      <w:pPr>
        <w:spacing w:after="80"/>
        <w:ind w:left="389" w:hanging="389"/>
      </w:pPr>
      <w:r>
        <w:rPr>
          <w:sz w:val="18"/>
        </w:rPr>
        <w:t xml:space="preserve">“Writing Minor — Creative Writing &amp; Publishing Options.” </w:t>
      </w:r>
      <w:r>
        <w:rPr>
          <w:i/>
          <w:sz w:val="18"/>
        </w:rPr>
        <w:t>California State Polytechnic University, Humboldt</w:t>
      </w:r>
      <w:r>
        <w:rPr>
          <w:sz w:val="18"/>
        </w:rPr>
        <w:t xml:space="preserve">, </w:t>
      </w:r>
      <w:hyperlink r:id="rId23">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 Literary Studies.” </w:t>
      </w:r>
      <w:r>
        <w:rPr>
          <w:i/>
          <w:sz w:val="18"/>
        </w:rPr>
        <w:t>California State Polytechnic University, Pomona</w:t>
      </w:r>
      <w:r>
        <w:rPr>
          <w:sz w:val="18"/>
        </w:rPr>
        <w:t xml:space="preserve">, </w:t>
      </w:r>
      <w:hyperlink r:id="rId40">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Emphasis in Creative Writing.” </w:t>
      </w:r>
      <w:r>
        <w:rPr>
          <w:i/>
          <w:sz w:val="18"/>
        </w:rPr>
        <w:t>California State University Channel Islands</w:t>
      </w:r>
      <w:r>
        <w:rPr>
          <w:sz w:val="18"/>
        </w:rPr>
        <w:t xml:space="preserve">, </w:t>
      </w:r>
      <w:hyperlink r:id="rId24">
        <w:r>
          <w:rPr>
            <w:color w:val="06265E"/>
            <w:u w:val="single"/>
            <w:rFonts w:ascii="Aptos" w:hAnsi="Aptos"/>
            <w:sz w:val="20"/>
          </w:rPr>
          <w:t>official page</w:t>
        </w:r>
      </w:hyperlink>
      <w:r>
        <w:rPr>
          <w:sz w:val="18"/>
        </w:rPr>
        <w:t>. Accessed 6 Sept. 2026.</w:t>
      </w:r>
    </w:p>
    <w:p>
      <w:pPr>
        <w:spacing w:after="80"/>
        <w:ind w:left="389" w:hanging="389"/>
      </w:pPr>
      <w:r>
        <w:rPr>
          <w:sz w:val="18"/>
        </w:rPr>
        <w:t xml:space="preserve">“Department of Literature and Writing Studies.” </w:t>
      </w:r>
      <w:r>
        <w:rPr>
          <w:i/>
          <w:sz w:val="18"/>
        </w:rPr>
        <w:t>California State University San Marcos</w:t>
      </w:r>
      <w:r>
        <w:rPr>
          <w:sz w:val="18"/>
        </w:rPr>
        <w:t xml:space="preserve">, </w:t>
      </w:r>
      <w:hyperlink r:id="rId41">
        <w:r>
          <w:rPr>
            <w:color w:val="06265E"/>
            <w:u w:val="single"/>
            <w:rFonts w:ascii="Aptos" w:hAnsi="Aptos"/>
            <w:sz w:val="20"/>
          </w:rPr>
          <w:t>official page</w:t>
        </w:r>
      </w:hyperlink>
      <w:r>
        <w:rPr>
          <w:sz w:val="18"/>
        </w:rPr>
        <w:t>. Accessed 6 Sept. 2026.</w:t>
      </w:r>
    </w:p>
    <w:p>
      <w:pPr>
        <w:spacing w:after="80"/>
        <w:ind w:left="389" w:hanging="389"/>
      </w:pPr>
      <w:r>
        <w:rPr>
          <w:sz w:val="18"/>
        </w:rPr>
        <w:t xml:space="preserve">“Creative Writing Minor.” </w:t>
      </w:r>
      <w:r>
        <w:rPr>
          <w:i/>
          <w:sz w:val="18"/>
        </w:rPr>
        <w:t>California State University, Bakersfield</w:t>
      </w:r>
      <w:r>
        <w:rPr>
          <w:sz w:val="18"/>
        </w:rPr>
        <w:t xml:space="preserve">, </w:t>
      </w:r>
      <w:hyperlink r:id="rId25">
        <w:r>
          <w:rPr>
            <w:color w:val="06265E"/>
            <w:u w:val="single"/>
            <w:rFonts w:ascii="Aptos" w:hAnsi="Aptos"/>
            <w:sz w:val="20"/>
          </w:rPr>
          <w:t>official page</w:t>
        </w:r>
      </w:hyperlink>
      <w:r>
        <w:rPr>
          <w:sz w:val="18"/>
        </w:rPr>
        <w:t>. Accessed 6 Sept. 2026.</w:t>
      </w:r>
    </w:p>
    <w:p>
      <w:pPr>
        <w:spacing w:after="80"/>
        <w:ind w:left="389" w:hanging="389"/>
      </w:pPr>
      <w:r>
        <w:rPr>
          <w:sz w:val="18"/>
        </w:rPr>
        <w:t xml:space="preserve">“Creative Writing Minor.” </w:t>
      </w:r>
      <w:r>
        <w:rPr>
          <w:i/>
          <w:sz w:val="18"/>
        </w:rPr>
        <w:t>California State University, Chico</w:t>
      </w:r>
      <w:r>
        <w:rPr>
          <w:sz w:val="18"/>
        </w:rPr>
        <w:t xml:space="preserve">, </w:t>
      </w:r>
      <w:hyperlink r:id="rId26">
        <w:r>
          <w:rPr>
            <w:color w:val="06265E"/>
            <w:u w:val="single"/>
            <w:rFonts w:ascii="Aptos" w:hAnsi="Aptos"/>
            <w:sz w:val="20"/>
          </w:rPr>
          <w:t>official page</w:t>
        </w:r>
      </w:hyperlink>
      <w:r>
        <w:rPr>
          <w:sz w:val="18"/>
        </w:rPr>
        <w:t>. Accessed 6 Sept. 2026.</w:t>
      </w:r>
    </w:p>
    <w:p>
      <w:pPr>
        <w:spacing w:after="80"/>
        <w:ind w:left="389" w:hanging="389"/>
      </w:pPr>
      <w:r>
        <w:rPr>
          <w:sz w:val="18"/>
        </w:rPr>
        <w:t xml:space="preserve">“Creative Writing Minor.” </w:t>
      </w:r>
      <w:r>
        <w:rPr>
          <w:i/>
          <w:sz w:val="18"/>
        </w:rPr>
        <w:t>California State University, Dominguez Hills</w:t>
      </w:r>
      <w:r>
        <w:rPr>
          <w:sz w:val="18"/>
        </w:rPr>
        <w:t xml:space="preserve">, </w:t>
      </w:r>
      <w:hyperlink r:id="rId27">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Creative Writing Concentration.” </w:t>
      </w:r>
      <w:r>
        <w:rPr>
          <w:i/>
          <w:sz w:val="18"/>
        </w:rPr>
        <w:t>California State University, East Bay</w:t>
      </w:r>
      <w:r>
        <w:rPr>
          <w:sz w:val="18"/>
        </w:rPr>
        <w:t xml:space="preserve">, </w:t>
      </w:r>
      <w:hyperlink r:id="rId10">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Creative Writing Option.” </w:t>
      </w:r>
      <w:r>
        <w:rPr>
          <w:i/>
          <w:sz w:val="18"/>
        </w:rPr>
        <w:t>California State University, Fresno</w:t>
      </w:r>
      <w:r>
        <w:rPr>
          <w:sz w:val="18"/>
        </w:rPr>
        <w:t xml:space="preserve">, </w:t>
      </w:r>
      <w:hyperlink r:id="rId28">
        <w:r>
          <w:rPr>
            <w:color w:val="06265E"/>
            <w:u w:val="single"/>
            <w:rFonts w:ascii="Aptos" w:hAnsi="Aptos"/>
            <w:sz w:val="20"/>
          </w:rPr>
          <w:t>official page</w:t>
        </w:r>
      </w:hyperlink>
      <w:r>
        <w:rPr>
          <w:sz w:val="18"/>
        </w:rPr>
        <w:t>. Accessed 6 Sept. 2026.</w:t>
      </w:r>
    </w:p>
    <w:p>
      <w:pPr>
        <w:spacing w:after="80"/>
        <w:ind w:left="389" w:hanging="389"/>
      </w:pPr>
      <w:r>
        <w:rPr>
          <w:sz w:val="18"/>
        </w:rPr>
        <w:t xml:space="preserve">“Creative Writing Minor.” </w:t>
      </w:r>
      <w:r>
        <w:rPr>
          <w:i/>
          <w:sz w:val="18"/>
        </w:rPr>
        <w:t>California State University, Fullerton</w:t>
      </w:r>
      <w:r>
        <w:rPr>
          <w:sz w:val="18"/>
        </w:rPr>
        <w:t xml:space="preserve">, </w:t>
      </w:r>
      <w:hyperlink r:id="rId29">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Creative Writing Option.” </w:t>
      </w:r>
      <w:r>
        <w:rPr>
          <w:i/>
          <w:sz w:val="18"/>
        </w:rPr>
        <w:t>California State University, Long Beach</w:t>
      </w:r>
      <w:r>
        <w:rPr>
          <w:sz w:val="18"/>
        </w:rPr>
        <w:t xml:space="preserve">, </w:t>
      </w:r>
      <w:hyperlink r:id="rId30">
        <w:r>
          <w:rPr>
            <w:color w:val="06265E"/>
            <w:u w:val="single"/>
            <w:rFonts w:ascii="Aptos" w:hAnsi="Aptos"/>
            <w:sz w:val="20"/>
          </w:rPr>
          <w:t>official page</w:t>
        </w:r>
      </w:hyperlink>
      <w:r>
        <w:rPr>
          <w:sz w:val="18"/>
        </w:rPr>
        <w:t>. Accessed 6 Sept. 2026.</w:t>
      </w:r>
    </w:p>
    <w:p>
      <w:pPr>
        <w:spacing w:after="80"/>
        <w:ind w:left="389" w:hanging="389"/>
      </w:pPr>
      <w:r>
        <w:rPr>
          <w:sz w:val="18"/>
        </w:rPr>
        <w:t xml:space="preserve">“Creative Writing Minor.” </w:t>
      </w:r>
      <w:r>
        <w:rPr>
          <w:i/>
          <w:sz w:val="18"/>
        </w:rPr>
        <w:t>California State University, Los Angeles</w:t>
      </w:r>
      <w:r>
        <w:rPr>
          <w:sz w:val="18"/>
        </w:rPr>
        <w:t xml:space="preserve">, </w:t>
      </w:r>
      <w:hyperlink r:id="rId31">
        <w:r>
          <w:rPr>
            <w:color w:val="06265E"/>
            <w:u w:val="single"/>
            <w:rFonts w:ascii="Aptos" w:hAnsi="Aptos"/>
            <w:sz w:val="20"/>
          </w:rPr>
          <w:t>official page</w:t>
        </w:r>
      </w:hyperlink>
      <w:r>
        <w:rPr>
          <w:sz w:val="18"/>
        </w:rPr>
        <w:t>. Accessed 6 Sept. 2026.</w:t>
      </w:r>
    </w:p>
    <w:p>
      <w:pPr>
        <w:spacing w:after="80"/>
        <w:ind w:left="389" w:hanging="389"/>
      </w:pPr>
      <w:r>
        <w:rPr>
          <w:sz w:val="18"/>
        </w:rPr>
        <w:t xml:space="preserve">“Humanities &amp; Communication B.A. — Creative Writing &amp; Social Action Concentration.” </w:t>
      </w:r>
      <w:r>
        <w:rPr>
          <w:i/>
          <w:sz w:val="18"/>
        </w:rPr>
        <w:t>California State University, Monterey Bay</w:t>
      </w:r>
      <w:r>
        <w:rPr>
          <w:sz w:val="18"/>
        </w:rPr>
        <w:t xml:space="preserve">, </w:t>
      </w:r>
      <w:hyperlink r:id="rId32">
        <w:r>
          <w:rPr>
            <w:color w:val="06265E"/>
            <w:u w:val="single"/>
            <w:rFonts w:ascii="Aptos" w:hAnsi="Aptos"/>
            <w:sz w:val="20"/>
          </w:rPr>
          <w:t>official page</w:t>
        </w:r>
      </w:hyperlink>
      <w:r>
        <w:rPr>
          <w:sz w:val="18"/>
        </w:rPr>
        <w:t>. Accessed 6 Sept. 2026.</w:t>
      </w:r>
    </w:p>
    <w:p>
      <w:pPr>
        <w:spacing w:after="80"/>
        <w:ind w:left="389" w:hanging="389"/>
      </w:pPr>
      <w:r>
        <w:rPr>
          <w:sz w:val="18"/>
        </w:rPr>
        <w:t xml:space="preserve">“Transfer/ADT Guidance for Humanities &amp; Communication B.A. — Creative Writing &amp; Social Action Concentration.” </w:t>
      </w:r>
      <w:r>
        <w:rPr>
          <w:i/>
          <w:sz w:val="18"/>
        </w:rPr>
        <w:t>California State University, Monterey Bay</w:t>
      </w:r>
      <w:r>
        <w:rPr>
          <w:sz w:val="18"/>
        </w:rPr>
        <w:t xml:space="preserve">, </w:t>
      </w:r>
      <w:hyperlink r:id="rId11">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Creative Writing Option.” </w:t>
      </w:r>
      <w:r>
        <w:rPr>
          <w:i/>
          <w:sz w:val="18"/>
        </w:rPr>
        <w:t>California State University, Northridge</w:t>
      </w:r>
      <w:r>
        <w:rPr>
          <w:sz w:val="18"/>
        </w:rPr>
        <w:t xml:space="preserve">, </w:t>
      </w:r>
      <w:hyperlink r:id="rId33">
        <w:r>
          <w:rPr>
            <w:color w:val="06265E"/>
            <w:u w:val="single"/>
            <w:rFonts w:ascii="Aptos" w:hAnsi="Aptos"/>
            <w:sz w:val="20"/>
          </w:rPr>
          <w:t>official page</w:t>
        </w:r>
      </w:hyperlink>
      <w:r>
        <w:rPr>
          <w:sz w:val="18"/>
        </w:rPr>
        <w:t>. Accessed 6 Sept. 2026.</w:t>
      </w:r>
    </w:p>
    <w:p>
      <w:pPr>
        <w:spacing w:after="80"/>
        <w:ind w:left="389" w:hanging="389"/>
      </w:pPr>
      <w:r>
        <w:rPr>
          <w:sz w:val="18"/>
        </w:rPr>
        <w:t xml:space="preserve">“Transfer/ADT Guidance for English B.A. — Creative Writing Option.” </w:t>
      </w:r>
      <w:r>
        <w:rPr>
          <w:i/>
          <w:sz w:val="18"/>
        </w:rPr>
        <w:t>California State University, Northridge</w:t>
      </w:r>
      <w:r>
        <w:rPr>
          <w:sz w:val="18"/>
        </w:rPr>
        <w:t xml:space="preserve">, </w:t>
      </w:r>
      <w:hyperlink r:id="rId9">
        <w:r>
          <w:rPr>
            <w:color w:val="06265E"/>
            <w:u w:val="single"/>
            <w:rFonts w:ascii="Aptos" w:hAnsi="Aptos"/>
            <w:sz w:val="20"/>
          </w:rPr>
          <w:t>official page</w:t>
        </w:r>
      </w:hyperlink>
      <w:r>
        <w:rPr>
          <w:sz w:val="18"/>
        </w:rPr>
        <w:t>. Accessed 6 Sept. 2026.</w:t>
      </w:r>
    </w:p>
    <w:p>
      <w:pPr>
        <w:spacing w:after="80"/>
        <w:ind w:left="389" w:hanging="389"/>
      </w:pPr>
      <w:r>
        <w:rPr>
          <w:sz w:val="18"/>
        </w:rPr>
        <w:t xml:space="preserve">“Creative Writing Minor.” </w:t>
      </w:r>
      <w:r>
        <w:rPr>
          <w:i/>
          <w:sz w:val="18"/>
        </w:rPr>
        <w:t>California State University, Sacramento</w:t>
      </w:r>
      <w:r>
        <w:rPr>
          <w:sz w:val="18"/>
        </w:rPr>
        <w:t xml:space="preserve">, </w:t>
      </w:r>
      <w:hyperlink r:id="rId34">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Creative Writing Concentration.” </w:t>
      </w:r>
      <w:r>
        <w:rPr>
          <w:i/>
          <w:sz w:val="18"/>
        </w:rPr>
        <w:t>California State University, San Bernardino</w:t>
      </w:r>
      <w:r>
        <w:rPr>
          <w:sz w:val="18"/>
        </w:rPr>
        <w:t xml:space="preserve">, </w:t>
      </w:r>
      <w:hyperlink r:id="rId35">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Major.” </w:t>
      </w:r>
      <w:r>
        <w:rPr>
          <w:i/>
          <w:sz w:val="18"/>
        </w:rPr>
        <w:t>California State University, Stanislaus</w:t>
      </w:r>
      <w:r>
        <w:rPr>
          <w:sz w:val="18"/>
        </w:rPr>
        <w:t xml:space="preserve">, </w:t>
      </w:r>
      <w:hyperlink r:id="rId42">
        <w:r>
          <w:rPr>
            <w:color w:val="06265E"/>
            <w:u w:val="single"/>
            <w:rFonts w:ascii="Aptos" w:hAnsi="Aptos"/>
            <w:sz w:val="20"/>
          </w:rPr>
          <w:t>official page</w:t>
        </w:r>
      </w:hyperlink>
      <w:r>
        <w:rPr>
          <w:sz w:val="18"/>
        </w:rPr>
        <w:t>. Accessed 6 Sept. 2026.</w:t>
      </w:r>
    </w:p>
    <w:p>
      <w:pPr>
        <w:spacing w:after="80"/>
        <w:ind w:left="389" w:hanging="389"/>
      </w:pPr>
      <w:r>
        <w:rPr>
          <w:sz w:val="18"/>
        </w:rPr>
        <w:t xml:space="preserve">“Creative Writing Minor.” </w:t>
      </w:r>
      <w:r>
        <w:rPr>
          <w:i/>
          <w:sz w:val="18"/>
        </w:rPr>
        <w:t>San Diego State University</w:t>
      </w:r>
      <w:r>
        <w:rPr>
          <w:sz w:val="18"/>
        </w:rPr>
        <w:t xml:space="preserve">, </w:t>
      </w:r>
      <w:hyperlink r:id="rId36">
        <w:r>
          <w:rPr>
            <w:color w:val="06265E"/>
            <w:u w:val="single"/>
            <w:rFonts w:ascii="Aptos" w:hAnsi="Aptos"/>
            <w:sz w:val="20"/>
          </w:rPr>
          <w:t>official page</w:t>
        </w:r>
      </w:hyperlink>
      <w:r>
        <w:rPr>
          <w:sz w:val="18"/>
        </w:rPr>
        <w:t>. Accessed 6 Sept. 2026.</w:t>
      </w:r>
    </w:p>
    <w:p>
      <w:pPr>
        <w:spacing w:after="80"/>
        <w:ind w:left="389" w:hanging="389"/>
      </w:pPr>
      <w:r>
        <w:rPr>
          <w:sz w:val="18"/>
        </w:rPr>
        <w:t xml:space="preserve">“B.A. in Creative Writing.” </w:t>
      </w:r>
      <w:r>
        <w:rPr>
          <w:i/>
          <w:sz w:val="18"/>
        </w:rPr>
        <w:t>San Francisco State University</w:t>
      </w:r>
      <w:r>
        <w:rPr>
          <w:sz w:val="18"/>
        </w:rPr>
        <w:t xml:space="preserve">, </w:t>
      </w:r>
      <w:hyperlink r:id="rId37">
        <w:r>
          <w:rPr>
            <w:color w:val="06265E"/>
            <w:u w:val="single"/>
            <w:rFonts w:ascii="Aptos" w:hAnsi="Aptos"/>
            <w:sz w:val="20"/>
          </w:rPr>
          <w:t>official page</w:t>
        </w:r>
      </w:hyperlink>
      <w:r>
        <w:rPr>
          <w:sz w:val="18"/>
        </w:rPr>
        <w:t>. Accessed 6 Sept. 2026.</w:t>
      </w:r>
    </w:p>
    <w:p>
      <w:pPr>
        <w:spacing w:after="80"/>
        <w:ind w:left="389" w:hanging="389"/>
      </w:pPr>
      <w:r>
        <w:rPr>
          <w:sz w:val="18"/>
        </w:rPr>
        <w:t xml:space="preserve">“Transfer/ADT Guidance for B.A. in Creative Writing.” </w:t>
      </w:r>
      <w:r>
        <w:rPr>
          <w:i/>
          <w:sz w:val="18"/>
        </w:rPr>
        <w:t>San Francisco State University</w:t>
      </w:r>
      <w:r>
        <w:rPr>
          <w:sz w:val="18"/>
        </w:rPr>
        <w:t xml:space="preserve">, </w:t>
      </w:r>
      <w:hyperlink r:id="rId12">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Creative Writing Concentration.” </w:t>
      </w:r>
      <w:r>
        <w:rPr>
          <w:i/>
          <w:sz w:val="18"/>
        </w:rPr>
        <w:t>San José State University</w:t>
      </w:r>
      <w:r>
        <w:rPr>
          <w:sz w:val="18"/>
        </w:rPr>
        <w:t xml:space="preserve">, </w:t>
      </w:r>
      <w:hyperlink r:id="rId38">
        <w:r>
          <w:rPr>
            <w:color w:val="06265E"/>
            <w:u w:val="single"/>
            <w:rFonts w:ascii="Aptos" w:hAnsi="Aptos"/>
            <w:sz w:val="20"/>
          </w:rPr>
          <w:t>official page</w:t>
        </w:r>
      </w:hyperlink>
      <w:r>
        <w:rPr>
          <w:sz w:val="18"/>
        </w:rPr>
        <w:t>. Accessed 6 Sept. 2026.</w:t>
      </w:r>
    </w:p>
    <w:p>
      <w:pPr>
        <w:spacing w:after="80"/>
        <w:ind w:left="389" w:hanging="389"/>
      </w:pPr>
      <w:r>
        <w:rPr>
          <w:sz w:val="18"/>
        </w:rPr>
        <w:t xml:space="preserve">“Transfer/ADT Guidance for English B.A. — Creative Writing Concentration.” </w:t>
      </w:r>
      <w:r>
        <w:rPr>
          <w:i/>
          <w:sz w:val="18"/>
        </w:rPr>
        <w:t>San José State University</w:t>
      </w:r>
      <w:r>
        <w:rPr>
          <w:sz w:val="18"/>
        </w:rPr>
        <w:t xml:space="preserve">, </w:t>
      </w:r>
      <w:hyperlink r:id="rId44">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Creative Writing Concentration.” </w:t>
      </w:r>
      <w:r>
        <w:rPr>
          <w:i/>
          <w:sz w:val="18"/>
        </w:rPr>
        <w:t>Sonoma State University</w:t>
      </w:r>
      <w:r>
        <w:rPr>
          <w:sz w:val="18"/>
        </w:rPr>
        <w:t xml:space="preserve">, </w:t>
      </w:r>
      <w:hyperlink r:id="rId39">
        <w:r>
          <w:rPr>
            <w:color w:val="06265E"/>
            <w:u w:val="single"/>
            <w:rFonts w:ascii="Aptos" w:hAnsi="Aptos"/>
            <w:sz w:val="20"/>
          </w:rPr>
          <w:t>official page</w:t>
        </w:r>
      </w:hyperlink>
      <w:r>
        <w:rPr>
          <w:sz w:val="18"/>
        </w:rPr>
        <w:t>. Accessed 6 Sept. 2026.</w:t>
      </w:r>
    </w:p>
    <w:p>
      <w:pPr>
        <w:spacing w:after="80"/>
        <w:ind w:left="389" w:hanging="389"/>
      </w:pPr>
      <w:r>
        <w:rPr>
          <w:sz w:val="18"/>
        </w:rPr>
        <w:t xml:space="preserve">“Creative Writing Minor.” </w:t>
      </w:r>
      <w:r>
        <w:rPr>
          <w:i/>
          <w:sz w:val="18"/>
        </w:rPr>
        <w:t>University of California, Berkeley</w:t>
      </w:r>
      <w:r>
        <w:rPr>
          <w:sz w:val="18"/>
        </w:rPr>
        <w:t xml:space="preserve">, </w:t>
      </w:r>
      <w:hyperlink r:id="rId13">
        <w:r>
          <w:rPr>
            <w:color w:val="06265E"/>
            <w:u w:val="single"/>
            <w:rFonts w:ascii="Aptos" w:hAnsi="Aptos"/>
            <w:sz w:val="20"/>
          </w:rPr>
          <w:t>official page</w:t>
        </w:r>
      </w:hyperlink>
      <w:r>
        <w:rPr>
          <w:sz w:val="18"/>
        </w:rPr>
        <w:t>. Accessed 6 Sept. 2026.</w:t>
      </w:r>
    </w:p>
    <w:p>
      <w:pPr>
        <w:spacing w:after="80"/>
        <w:ind w:left="389" w:hanging="389"/>
      </w:pPr>
      <w:r>
        <w:rPr>
          <w:sz w:val="18"/>
        </w:rPr>
        <w:t xml:space="preserve">“Transfer/ADT Guidance for Creative Writing Minor.” </w:t>
      </w:r>
      <w:r>
        <w:rPr>
          <w:i/>
          <w:sz w:val="18"/>
        </w:rPr>
        <w:t>University of California, Berkeley</w:t>
      </w:r>
      <w:r>
        <w:rPr>
          <w:sz w:val="18"/>
        </w:rPr>
        <w:t xml:space="preserve">, </w:t>
      </w:r>
      <w:hyperlink r:id="rId45">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Creative Writing Emphasis.” </w:t>
      </w:r>
      <w:r>
        <w:rPr>
          <w:i/>
          <w:sz w:val="18"/>
        </w:rPr>
        <w:t>University of California, Davis</w:t>
      </w:r>
      <w:r>
        <w:rPr>
          <w:sz w:val="18"/>
        </w:rPr>
        <w:t xml:space="preserve">, </w:t>
      </w:r>
      <w:hyperlink r:id="rId14">
        <w:r>
          <w:rPr>
            <w:color w:val="06265E"/>
            <w:u w:val="single"/>
            <w:rFonts w:ascii="Aptos" w:hAnsi="Aptos"/>
            <w:sz w:val="20"/>
          </w:rPr>
          <w:t>official page</w:t>
        </w:r>
      </w:hyperlink>
      <w:r>
        <w:rPr>
          <w:sz w:val="18"/>
        </w:rPr>
        <w:t>. Accessed 6 Sept. 2026.</w:t>
      </w:r>
    </w:p>
    <w:p>
      <w:pPr>
        <w:spacing w:after="80"/>
        <w:ind w:left="389" w:hanging="389"/>
      </w:pPr>
      <w:r>
        <w:rPr>
          <w:sz w:val="18"/>
        </w:rPr>
        <w:t xml:space="preserve">“Creative Writing Minor.” </w:t>
      </w:r>
      <w:r>
        <w:rPr>
          <w:i/>
          <w:sz w:val="18"/>
        </w:rPr>
        <w:t>University of California, Irvine</w:t>
      </w:r>
      <w:r>
        <w:rPr>
          <w:sz w:val="18"/>
        </w:rPr>
        <w:t xml:space="preserve">, </w:t>
      </w:r>
      <w:hyperlink r:id="rId15">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Creative Writing Concentration.” </w:t>
      </w:r>
      <w:r>
        <w:rPr>
          <w:i/>
          <w:sz w:val="18"/>
        </w:rPr>
        <w:t>University of California, Los Angeles</w:t>
      </w:r>
      <w:r>
        <w:rPr>
          <w:sz w:val="18"/>
        </w:rPr>
        <w:t xml:space="preserve">, </w:t>
      </w:r>
      <w:hyperlink r:id="rId16">
        <w:r>
          <w:rPr>
            <w:color w:val="06265E"/>
            <w:u w:val="single"/>
            <w:rFonts w:ascii="Aptos" w:hAnsi="Aptos"/>
            <w:sz w:val="20"/>
          </w:rPr>
          <w:t>official page</w:t>
        </w:r>
      </w:hyperlink>
      <w:r>
        <w:rPr>
          <w:sz w:val="18"/>
        </w:rPr>
        <w:t>. Accessed 6 Sept. 2026.</w:t>
      </w:r>
    </w:p>
    <w:p>
      <w:pPr>
        <w:spacing w:after="80"/>
        <w:ind w:left="389" w:hanging="389"/>
      </w:pPr>
      <w:r>
        <w:rPr>
          <w:sz w:val="18"/>
        </w:rPr>
        <w:t xml:space="preserve">“Transfer/ADT Guidance for English B.A. — Creative Writing Concentration.” </w:t>
      </w:r>
      <w:r>
        <w:rPr>
          <w:i/>
          <w:sz w:val="18"/>
        </w:rPr>
        <w:t>University of California, Los Angeles</w:t>
      </w:r>
      <w:r>
        <w:rPr>
          <w:sz w:val="18"/>
        </w:rPr>
        <w:t xml:space="preserve">, </w:t>
      </w:r>
      <w:hyperlink r:id="rId46">
        <w:r>
          <w:rPr>
            <w:color w:val="06265E"/>
            <w:u w:val="single"/>
            <w:rFonts w:ascii="Aptos" w:hAnsi="Aptos"/>
            <w:sz w:val="20"/>
          </w:rPr>
          <w:t>official page</w:t>
        </w:r>
      </w:hyperlink>
      <w:r>
        <w:rPr>
          <w:sz w:val="18"/>
        </w:rPr>
        <w:t>. Accessed 6 Sept. 2026.</w:t>
      </w:r>
    </w:p>
    <w:p>
      <w:pPr>
        <w:spacing w:after="80"/>
        <w:ind w:left="389" w:hanging="389"/>
      </w:pPr>
      <w:r>
        <w:rPr>
          <w:sz w:val="18"/>
        </w:rPr>
        <w:t xml:space="preserve">“Writing Studies B.A..” </w:t>
      </w:r>
      <w:r>
        <w:rPr>
          <w:i/>
          <w:sz w:val="18"/>
        </w:rPr>
        <w:t>University of California, Merced</w:t>
      </w:r>
      <w:r>
        <w:rPr>
          <w:sz w:val="18"/>
        </w:rPr>
        <w:t xml:space="preserve">, </w:t>
      </w:r>
      <w:hyperlink r:id="rId17">
        <w:r>
          <w:rPr>
            <w:color w:val="06265E"/>
            <w:u w:val="single"/>
            <w:rFonts w:ascii="Aptos" w:hAnsi="Aptos"/>
            <w:sz w:val="20"/>
          </w:rPr>
          <w:t>official page</w:t>
        </w:r>
      </w:hyperlink>
      <w:r>
        <w:rPr>
          <w:sz w:val="18"/>
        </w:rPr>
        <w:t>. Accessed 6 Sept. 2026.</w:t>
      </w:r>
    </w:p>
    <w:p>
      <w:pPr>
        <w:spacing w:after="80"/>
        <w:ind w:left="389" w:hanging="389"/>
      </w:pPr>
      <w:r>
        <w:rPr>
          <w:sz w:val="18"/>
        </w:rPr>
        <w:t xml:space="preserve">“B.A. in Creative Writing.” </w:t>
      </w:r>
      <w:r>
        <w:rPr>
          <w:i/>
          <w:sz w:val="18"/>
        </w:rPr>
        <w:t>University of California, Riverside</w:t>
      </w:r>
      <w:r>
        <w:rPr>
          <w:sz w:val="18"/>
        </w:rPr>
        <w:t xml:space="preserve">, </w:t>
      </w:r>
      <w:hyperlink r:id="rId18">
        <w:r>
          <w:rPr>
            <w:color w:val="06265E"/>
            <w:u w:val="single"/>
            <w:rFonts w:ascii="Aptos" w:hAnsi="Aptos"/>
            <w:sz w:val="20"/>
          </w:rPr>
          <w:t>official page</w:t>
        </w:r>
      </w:hyperlink>
      <w:r>
        <w:rPr>
          <w:sz w:val="18"/>
        </w:rPr>
        <w:t>. Accessed 6 Sept. 2026.</w:t>
      </w:r>
    </w:p>
    <w:p>
      <w:pPr>
        <w:spacing w:after="80"/>
        <w:ind w:left="389" w:hanging="389"/>
      </w:pPr>
      <w:r>
        <w:rPr>
          <w:sz w:val="18"/>
        </w:rPr>
        <w:t xml:space="preserve">“Literary Arts B.A..” </w:t>
      </w:r>
      <w:r>
        <w:rPr>
          <w:i/>
          <w:sz w:val="18"/>
        </w:rPr>
        <w:t>University of California, San Diego</w:t>
      </w:r>
      <w:r>
        <w:rPr>
          <w:sz w:val="18"/>
        </w:rPr>
        <w:t xml:space="preserve">, </w:t>
      </w:r>
      <w:hyperlink r:id="rId19">
        <w:r>
          <w:rPr>
            <w:color w:val="06265E"/>
            <w:u w:val="single"/>
            <w:rFonts w:ascii="Aptos" w:hAnsi="Aptos"/>
            <w:sz w:val="20"/>
          </w:rPr>
          <w:t>official page</w:t>
        </w:r>
      </w:hyperlink>
      <w:r>
        <w:rPr>
          <w:sz w:val="18"/>
        </w:rPr>
        <w:t>. Accessed 6 Sept. 2026.</w:t>
      </w:r>
    </w:p>
    <w:p>
      <w:pPr>
        <w:spacing w:after="80"/>
        <w:ind w:left="389" w:hanging="389"/>
      </w:pPr>
      <w:r>
        <w:rPr>
          <w:sz w:val="18"/>
        </w:rPr>
        <w:t xml:space="preserve">“Transfer/ADT Guidance for Literary Arts B.A..” </w:t>
      </w:r>
      <w:r>
        <w:rPr>
          <w:i/>
          <w:sz w:val="18"/>
        </w:rPr>
        <w:t>University of California, San Diego</w:t>
      </w:r>
      <w:r>
        <w:rPr>
          <w:sz w:val="18"/>
        </w:rPr>
        <w:t xml:space="preserve">, </w:t>
      </w:r>
      <w:hyperlink r:id="rId47">
        <w:r>
          <w:rPr>
            <w:color w:val="06265E"/>
            <w:u w:val="single"/>
            <w:rFonts w:ascii="Aptos" w:hAnsi="Aptos"/>
            <w:sz w:val="20"/>
          </w:rPr>
          <w:t>official page</w:t>
        </w:r>
      </w:hyperlink>
      <w:r>
        <w:rPr>
          <w:sz w:val="18"/>
        </w:rPr>
        <w:t>. Accessed 6 Sept. 2026.</w:t>
      </w:r>
    </w:p>
    <w:p>
      <w:pPr>
        <w:spacing w:after="80"/>
        <w:ind w:left="389" w:hanging="389"/>
      </w:pPr>
      <w:r>
        <w:rPr>
          <w:sz w:val="18"/>
        </w:rPr>
        <w:t xml:space="preserve">“English B.A. — Las Maestras Center/Creative Writing Specialization.” </w:t>
      </w:r>
      <w:r>
        <w:rPr>
          <w:i/>
          <w:sz w:val="18"/>
        </w:rPr>
        <w:t>University of California, Santa Barbara</w:t>
      </w:r>
      <w:r>
        <w:rPr>
          <w:sz w:val="18"/>
        </w:rPr>
        <w:t xml:space="preserve">, </w:t>
      </w:r>
      <w:hyperlink r:id="rId20">
        <w:r>
          <w:rPr>
            <w:color w:val="06265E"/>
            <w:u w:val="single"/>
            <w:rFonts w:ascii="Aptos" w:hAnsi="Aptos"/>
            <w:sz w:val="20"/>
          </w:rPr>
          <w:t>official page</w:t>
        </w:r>
      </w:hyperlink>
      <w:r>
        <w:rPr>
          <w:sz w:val="18"/>
        </w:rPr>
        <w:t>. Accessed 6 Sept. 2026.</w:t>
      </w:r>
    </w:p>
    <w:p>
      <w:pPr>
        <w:spacing w:after="80"/>
        <w:ind w:left="389" w:hanging="389"/>
      </w:pPr>
      <w:r>
        <w:rPr>
          <w:sz w:val="18"/>
        </w:rPr>
        <w:t xml:space="preserve">“Literature B.A. — Creative Writing Concentration.” </w:t>
      </w:r>
      <w:r>
        <w:rPr>
          <w:i/>
          <w:sz w:val="18"/>
        </w:rPr>
        <w:t>University of California, Santa Cruz</w:t>
      </w:r>
      <w:r>
        <w:rPr>
          <w:sz w:val="18"/>
        </w:rPr>
        <w:t xml:space="preserve">, </w:t>
      </w:r>
      <w:hyperlink r:id="rId21">
        <w:r>
          <w:rPr>
            <w:color w:val="06265E"/>
            <w:u w:val="single"/>
            <w:rFonts w:ascii="Aptos" w:hAnsi="Aptos"/>
            <w:sz w:val="20"/>
          </w:rPr>
          <w:t>official page</w:t>
        </w:r>
      </w:hyperlink>
      <w:r>
        <w:rPr>
          <w:sz w:val="18"/>
        </w:rPr>
        <w:t>. Accessed 6 Sept. 2026.</w:t>
      </w:r>
    </w:p>
    <w:sectPr w:rsidR="00FC693F" w:rsidRPr="0006063C" w:rsidSect="00034616">
      <w:footerReference w:type="default" r:id="rId48"/>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A"/>
        <w:sz w:val="16"/>
      </w:rPr>
      <w:t xml:space="preserve">CCC Writers · CSU/UC Pathways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022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Georgia" w:hAnsi="Georgia"/>
      <w:b/>
      <w:bCs/>
      <w:color w:val="031B45"/>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031B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31B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31B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ECB632"/>
      <w:sz w:val="18"/>
    </w:rPr>
  </w:style>
  <w:style w:type="paragraph" w:customStyle="1" w:styleId="Deck">
    <w:name w:val="Deck"/>
    <w:pPr>
      <w:spacing w:after="80"/>
    </w:pPr>
    <w:rPr>
      <w:rFonts w:ascii="Aptos" w:hAnsi="Aptos"/>
      <w:b w:val="0"/>
      <w:color w:val="52657A"/>
      <w:sz w:val="24"/>
    </w:rPr>
  </w:style>
  <w:style w:type="paragraph" w:customStyle="1" w:styleId="SmallNote">
    <w:name w:val="Small Note"/>
    <w:pPr>
      <w:spacing w:after="80"/>
    </w:pPr>
    <w:rPr>
      <w:rFonts w:ascii="Aptos" w:hAnsi="Aptos"/>
      <w:b w:val="0"/>
      <w:color w:val="5265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talog.csun.edu/resource/transfer-road-map/engl/" TargetMode="External"/><Relationship Id="rId10" Type="http://schemas.openxmlformats.org/officeDocument/2006/relationships/hyperlink" Target="https://www.csueastbay.edu/aps/roadmaps/index.html" TargetMode="External"/><Relationship Id="rId11" Type="http://schemas.openxmlformats.org/officeDocument/2006/relationships/hyperlink" Target="https://csumb.edu/academics/academic-resources/advising/career-path-planning/degree-pathways/transfer/2024-2025-transfer-pathways/" TargetMode="External"/><Relationship Id="rId12" Type="http://schemas.openxmlformats.org/officeDocument/2006/relationships/hyperlink" Target="https://bulletin.sfsu.edu/colleges/liberal-creative-arts/creative-writing/ba-creative-writing/adt-roadmap/" TargetMode="External"/><Relationship Id="rId13" Type="http://schemas.openxmlformats.org/officeDocument/2006/relationships/hyperlink" Target="https://creative.berkeley.edu/" TargetMode="External"/><Relationship Id="rId14" Type="http://schemas.openxmlformats.org/officeDocument/2006/relationships/hyperlink" Target="https://english.ucdavis.edu/major-requirements-guide-faq" TargetMode="External"/><Relationship Id="rId15" Type="http://schemas.openxmlformats.org/officeDocument/2006/relationships/hyperlink" Target="https://catalogue.uci.edu/schoolofhumanities/departmentofenglish/creativewriting_minor/" TargetMode="External"/><Relationship Id="rId16" Type="http://schemas.openxmlformats.org/officeDocument/2006/relationships/hyperlink" Target="https://english.ucla.edu/undergraduate-programs-english-major/overview/" TargetMode="External"/><Relationship Id="rId17" Type="http://schemas.openxmlformats.org/officeDocument/2006/relationships/hyperlink" Target="https://writingstudies.ucmerced.edu/node/401" TargetMode="External"/><Relationship Id="rId18" Type="http://schemas.openxmlformats.org/officeDocument/2006/relationships/hyperlink" Target="https://creativewriting.ucr.edu/undergraduate" TargetMode="External"/><Relationship Id="rId19" Type="http://schemas.openxmlformats.org/officeDocument/2006/relationships/hyperlink" Target="https://literature.ucsd.edu/ugrad/majors/index.html" TargetMode="External"/><Relationship Id="rId20" Type="http://schemas.openxmlformats.org/officeDocument/2006/relationships/hyperlink" Target="https://www.english.ucsb.edu/undergraduate/for-majors/major-specializations/" TargetMode="External"/><Relationship Id="rId21" Type="http://schemas.openxmlformats.org/officeDocument/2006/relationships/hyperlink" Target="https://catalog.ucsc.edu/current/general-catalog/academic-units/humanities-division/literature/literature-ba" TargetMode="External"/><Relationship Id="rId22" Type="http://schemas.openxmlformats.org/officeDocument/2006/relationships/hyperlink" Target="https://catalog.calpoly.edu/collegesandprograms/collegeofliberalarts/english/baenglish/" TargetMode="External"/><Relationship Id="rId23" Type="http://schemas.openxmlformats.org/officeDocument/2006/relationships/hyperlink" Target="https://www.humboldt.edu/academics/programs/writing-minor" TargetMode="External"/><Relationship Id="rId24" Type="http://schemas.openxmlformats.org/officeDocument/2006/relationships/hyperlink" Target="https://english.csuci.edu/current/degrees.htm" TargetMode="External"/><Relationship Id="rId25" Type="http://schemas.openxmlformats.org/officeDocument/2006/relationships/hyperlink" Target="https://catalog.csub.edu/academic-degrees-programs/undergraduate-minors/creative-writing-minor/" TargetMode="External"/><Relationship Id="rId26" Type="http://schemas.openxmlformats.org/officeDocument/2006/relationships/hyperlink" Target="https://catalog.csuchico.edu/colleges-departments/college-humanities-fine-arts/english/creative-writing-minor/" TargetMode="External"/><Relationship Id="rId27" Type="http://schemas.openxmlformats.org/officeDocument/2006/relationships/hyperlink" Target="https://catalog.csudh.edu/academics/english/creative-writing-minor/" TargetMode="External"/><Relationship Id="rId28" Type="http://schemas.openxmlformats.org/officeDocument/2006/relationships/hyperlink" Target="https://cah.fresnostate.edu/english/academics/ba-english.html" TargetMode="External"/><Relationship Id="rId29" Type="http://schemas.openxmlformats.org/officeDocument/2006/relationships/hyperlink" Target="https://english.fullerton.edu/academics/creativewriting_minor.aspx" TargetMode="External"/><Relationship Id="rId30" Type="http://schemas.openxmlformats.org/officeDocument/2006/relationships/hyperlink" Target="https://www.csulb.edu/college-of-liberal-arts/english/bachelor-of-arts-ba" TargetMode="External"/><Relationship Id="rId31" Type="http://schemas.openxmlformats.org/officeDocument/2006/relationships/hyperlink" Target="https://www.calstatela.edu/al/english/undergraduate" TargetMode="External"/><Relationship Id="rId32" Type="http://schemas.openxmlformats.org/officeDocument/2006/relationships/hyperlink" Target="https://csumb.edu/academics/programs-degrees/humanities-and-communication/" TargetMode="External"/><Relationship Id="rId33" Type="http://schemas.openxmlformats.org/officeDocument/2006/relationships/hyperlink" Target="https://catalog.csun.edu/academics/engl/programs/ba-english-ii/creative-writing-option/" TargetMode="External"/><Relationship Id="rId34" Type="http://schemas.openxmlformats.org/officeDocument/2006/relationships/hyperlink" Target="https://catalog.csus.edu/colleges/arts-letters/english/-minor-in-creative-writing/" TargetMode="External"/><Relationship Id="rId35" Type="http://schemas.openxmlformats.org/officeDocument/2006/relationships/hyperlink" Target="https://catalog.csusb.edu/colleges-schools-departments/arts-letters/english/english-ba/" TargetMode="External"/><Relationship Id="rId36" Type="http://schemas.openxmlformats.org/officeDocument/2006/relationships/hyperlink" Target="https://literature.sdsu.edu/undergraduate/minors" TargetMode="External"/><Relationship Id="rId37" Type="http://schemas.openxmlformats.org/officeDocument/2006/relationships/hyperlink" Target="https://creativewriting.sfsu.edu/" TargetMode="External"/><Relationship Id="rId38" Type="http://schemas.openxmlformats.org/officeDocument/2006/relationships/hyperlink" Target="https://www.sjsu.edu/english/undergraduate/degree-plans/major-creative-writing.php" TargetMode="External"/><Relationship Id="rId39" Type="http://schemas.openxmlformats.org/officeDocument/2006/relationships/hyperlink" Target="https://english.sonoma.edu/programs/bachelor-arts/creative-writing-concentration" TargetMode="External"/><Relationship Id="rId40" Type="http://schemas.openxmlformats.org/officeDocument/2006/relationships/hyperlink" Target="https://www.cpp.edu/programs/class/eml/english-literary-studies.shtml" TargetMode="External"/><Relationship Id="rId41" Type="http://schemas.openxmlformats.org/officeDocument/2006/relationships/hyperlink" Target="https://www.csusm.edu/ltwr/index.html" TargetMode="External"/><Relationship Id="rId42" Type="http://schemas.openxmlformats.org/officeDocument/2006/relationships/hyperlink" Target="https://www.csustan.edu/english/english-major" TargetMode="External"/><Relationship Id="rId43" Type="http://schemas.openxmlformats.org/officeDocument/2006/relationships/hyperlink" Target="https://assist.org/" TargetMode="External"/><Relationship Id="rId44" Type="http://schemas.openxmlformats.org/officeDocument/2006/relationships/hyperlink" Target="https://catalog.sjsu.edu/preview_program.php?catoid=23&amp;poid=18820&amp;returnto=8460" TargetMode="External"/><Relationship Id="rId45" Type="http://schemas.openxmlformats.org/officeDocument/2006/relationships/hyperlink" Target="https://creative.berkeley.edu/admission-to-cal/" TargetMode="External"/><Relationship Id="rId46" Type="http://schemas.openxmlformats.org/officeDocument/2006/relationships/hyperlink" Target="https://english.ucla.edu/undergraduate-support-for-transfer-students/" TargetMode="External"/><Relationship Id="rId47" Type="http://schemas.openxmlformats.org/officeDocument/2006/relationships/hyperlink" Target="https://literature.ucsd.edu/courses/courseofferings/2026-2027-courses-by-reqs.html" TargetMode="External"/><Relationship Id="rId4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CCC Writers: CSU and UC Creative Writing Pathways</dc:title>
  <dc:subject>Transfer-first research brief for California Community College creative writers</dc:subject>
  <dc:creator>python-docx</dc:creator>
  <cp:keywords>California Community Colleges, CSU, UC, creative writing, transfer, AA-T, ADT</cp:keywords>
  <dc:description>generated by python-docx</dc:description>
  <cp:lastModifiedBy/>
  <cp:revision>1</cp:revision>
  <dcterms:created xsi:type="dcterms:W3CDTF">2013-12-23T23:15:00Z</dcterms:created>
  <dcterms:modified xsi:type="dcterms:W3CDTF">2013-12-23T23:15:00Z</dcterms:modified>
  <cp:category/>
</cp:coreProperties>
</file>