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Professional Supplement Consulting Services</w:t>
      </w:r>
    </w:p>
    <w:p>
      <w:pPr>
        <w:pStyle w:val="Subtitle"/>
      </w:pPr>
      <w:r>
        <w:t xml:space="preserve">Comprehensive Overview for Healthcare Practices</w:t>
      </w:r>
    </w:p>
    <w:p>
      <w:pPr>
        <w:spacing w:after="280"/>
        <w:jc w:val="center"/>
      </w:pPr>
      <w:r>
        <w:rPr>
          <w:b/>
          <w:bCs/>
          <w:color w:val="2C5F7D"/>
          <w:sz w:val="26"/>
          <w:szCs w:val="26"/>
        </w:rPr>
        <w:t xml:space="preserve">Peg Kennedy, PhD, RN, FNP-BC</w:t>
      </w:r>
      <w:r>
        <w:rPr>
          <w:sz w:val="22"/>
          <w:szCs w:val="22"/>
        </w:rPr>
        <w:t xml:space="preserve">
dr.peg.wellness@gmail.com | Metro Detroit Area</w:t>
      </w:r>
    </w:p>
    <w:p>
      <w:pPr>
        <w:pStyle w:val="SectionHead"/>
      </w:pPr>
      <w:r>
        <w:t xml:space="preserve">About the Service</w:t>
      </w:r>
    </w:p>
    <w:p>
      <w:pPr>
        <w:spacing w:after="140"/>
      </w:pPr>
      <w:r>
        <w:t xml:space="preserve">Professional supplement consulting designed to integrate seamlessly with primary care practices. I provide evidence-based supplement recommendations using pharmaceutical-grade products, comprehensive medication-supplement interaction screening, and ongoing communication with referring providers.</w:t>
      </w:r>
    </w:p>
    <w:p>
      <w:pPr>
        <w:spacing w:after="200"/>
      </w:pPr>
      <w:r>
        <w:rPr>
          <w:b/>
          <w:bCs/>
        </w:rPr>
        <w:t xml:space="preserve">Credentials: </w:t>
      </w:r>
      <w:r>
        <w:t xml:space="preserve">PhD in Nursing, Registered Nurse (RN), Family Nurse Practitioner Board Certified (FNP-BC). Experienced nurse educator with years of clinical experience and specialized focus on supplement science, patient education, and wellness optimization.</w:t>
      </w:r>
    </w:p>
    <w:p>
      <w:pPr>
        <w:pStyle w:val="SectionHead"/>
      </w:pPr>
      <w:r>
        <w:t xml:space="preserve">The Problem We Solve</w:t>
      </w:r>
    </w:p>
    <w:p>
      <w:pPr>
        <w:pStyle w:val="ListParagraph"/>
        <w:numPr>
          <w:ilvl w:val="0"/>
          <w:numId w:val="2"/>
        </w:numPr>
      </w:pPr>
      <w:r>
        <w:t xml:space="preserve">Patients frequently ask about supplements, consuming 15-20 minutes of valuable appointment time</w:t>
      </w:r>
    </w:p>
    <w:p>
      <w:pPr>
        <w:pStyle w:val="ListParagraph"/>
        <w:numPr>
          <w:ilvl w:val="0"/>
          <w:numId w:val="2"/>
        </w:numPr>
      </w:pPr>
      <w:r>
        <w:t xml:space="preserve">Providers want to recommend supplements but lack time to research quality products and educate patients</w:t>
      </w:r>
    </w:p>
    <w:p>
      <w:pPr>
        <w:pStyle w:val="ListParagraph"/>
        <w:numPr>
          <w:ilvl w:val="0"/>
          <w:numId w:val="2"/>
        </w:numPr>
      </w:pPr>
      <w:r>
        <w:t xml:space="preserve">Providers lack time to stay current on supplement research and evaluate product quality</w:t>
      </w:r>
    </w:p>
    <w:p>
      <w:pPr>
        <w:pStyle w:val="ListParagraph"/>
        <w:numPr>
          <w:ilvl w:val="0"/>
          <w:numId w:val="2"/>
        </w:numPr>
      </w:pPr>
      <w:r>
        <w:t xml:space="preserve">Patients purchase low-quality drugstore supplements with poor bioavailability and questionable efficacy</w:t>
      </w:r>
    </w:p>
    <w:p>
      <w:pPr>
        <w:pStyle w:val="ListParagraph"/>
        <w:numPr>
          <w:ilvl w:val="0"/>
          <w:numId w:val="2"/>
        </w:numPr>
      </w:pPr>
      <w:r>
        <w:t xml:space="preserve">Medication-supplement interactions go undetected</w:t>
      </w:r>
    </w:p>
    <w:p>
      <w:pPr>
        <w:pStyle w:val="ListParagraph"/>
        <w:numPr>
          <w:ilvl w:val="0"/>
          <w:numId w:val="2"/>
        </w:numPr>
      </w:pPr>
      <w:r>
        <w:t xml:space="preserve">Providers lose oversight when patients seek supplement advice elsewhere</w:t>
      </w:r>
    </w:p>
    <w:p>
      <w:pPr>
        <w:pStyle w:val="SectionHead"/>
      </w:pPr>
      <w:r>
        <w:t xml:space="preserve">Service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C5F7D" w:sz="1"/>
              <w:left w:val="single" w:color="2C5F7D" w:sz="1"/>
              <w:bottom w:val="single" w:color="2C5F7D" w:sz="1"/>
              <w:right w:val="single" w:color="2C5F7D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Initial Consultation</w:t>
            </w:r>
          </w:p>
        </w:tc>
        <w:tc>
          <w:tcPr>
            <w:tcW w:type="dxa" w:w="3120"/>
            <w:tcBorders>
              <w:top w:val="single" w:color="2C5F7D" w:sz="1"/>
              <w:left w:val="single" w:color="2C5F7D" w:sz="1"/>
              <w:bottom w:val="single" w:color="2C5F7D" w:sz="1"/>
              <w:right w:val="single" w:color="2C5F7D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Follow-Up</w:t>
            </w:r>
          </w:p>
        </w:tc>
        <w:tc>
          <w:tcPr>
            <w:tcW w:type="dxa" w:w="3120"/>
            <w:tcBorders>
              <w:top w:val="single" w:color="2C5F7D" w:sz="1"/>
              <w:left w:val="single" w:color="2C5F7D" w:sz="1"/>
              <w:bottom w:val="single" w:color="2C5F7D" w:sz="1"/>
              <w:right w:val="single" w:color="2C5F7D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Mini-Consultation</w:t>
            </w:r>
          </w:p>
        </w:tc>
      </w:tr>
      <w:tr>
        <w:tc>
          <w:tcPr>
            <w:tcW w:type="dxa" w:w="3120"/>
            <w:tcBorders>
              <w:top w:val="single" w:color="2C5F7D" w:sz="1"/>
              <w:left w:val="single" w:color="2C5F7D" w:sz="1"/>
              <w:bottom w:val="single" w:color="2C5F7D" w:sz="1"/>
              <w:right w:val="single" w:color="2C5F7D" w:sz="1"/>
            </w:tcBorders>
          </w:tcPr>
          <w:p>
            <w:r>
              <w:rPr>
                <w:b/>
                <w:bCs/>
              </w:rPr>
              <w:t xml:space="preserve">Duration: </w:t>
            </w:r>
            <w:r>
              <w:t xml:space="preserve">45-60 minutes</w:t>
            </w:r>
          </w:p>
          <w:p>
            <w:r>
              <w:rPr>
                <w:b/>
                <w:bCs/>
              </w:rPr>
              <w:t xml:space="preserve">Investment: </w:t>
            </w:r>
            <w:r>
              <w:t xml:space="preserve">$100-150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Includes:</w:t>
            </w:r>
          </w:p>
          <w:p>
            <w:r>
              <w:t xml:space="preserve">• Comprehensive health history</w:t>
            </w:r>
          </w:p>
          <w:p>
            <w:r>
              <w:t xml:space="preserve">• Complete medication review</w:t>
            </w:r>
          </w:p>
          <w:p>
            <w:r>
              <w:t xml:space="preserve">• Supplement interaction analysis</w:t>
            </w:r>
          </w:p>
          <w:p>
            <w:r>
              <w:t xml:space="preserve">• Personalized protocol development</w:t>
            </w:r>
          </w:p>
          <w:p>
            <w:r>
              <w:t xml:space="preserve">• Patient education</w:t>
            </w:r>
          </w:p>
          <w:p>
            <w:r>
              <w:t xml:space="preserve">• Detailed written report to provider</w:t>
            </w:r>
          </w:p>
        </w:tc>
        <w:tc>
          <w:tcPr>
            <w:tcW w:type="dxa" w:w="3120"/>
            <w:tcBorders>
              <w:top w:val="single" w:color="2C5F7D" w:sz="1"/>
              <w:left w:val="single" w:color="2C5F7D" w:sz="1"/>
              <w:bottom w:val="single" w:color="2C5F7D" w:sz="1"/>
              <w:right w:val="single" w:color="2C5F7D" w:sz="1"/>
            </w:tcBorders>
          </w:tcPr>
          <w:p>
            <w:r>
              <w:rPr>
                <w:b/>
                <w:bCs/>
              </w:rPr>
              <w:t xml:space="preserve">Duration: </w:t>
            </w:r>
            <w:r>
              <w:t xml:space="preserve">30 minutes</w:t>
            </w:r>
          </w:p>
          <w:p>
            <w:r>
              <w:rPr>
                <w:b/>
                <w:bCs/>
              </w:rPr>
              <w:t xml:space="preserve">Investment: </w:t>
            </w:r>
            <w:r>
              <w:t xml:space="preserve">$100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Includes:</w:t>
            </w:r>
          </w:p>
          <w:p>
            <w:r>
              <w:t xml:space="preserve">• Progress assessment</w:t>
            </w:r>
          </w:p>
          <w:p>
            <w:r>
              <w:t xml:space="preserve">• Protocol adjustments</w:t>
            </w:r>
          </w:p>
          <w:p>
            <w:r>
              <w:t xml:space="preserve">• Ongoing education</w:t>
            </w:r>
          </w:p>
          <w:p>
            <w:r>
              <w:t xml:space="preserve">• Updated provider report</w:t>
            </w:r>
          </w:p>
        </w:tc>
        <w:tc>
          <w:tcPr>
            <w:tcW w:type="dxa" w:w="3120"/>
            <w:tcBorders>
              <w:top w:val="single" w:color="2C5F7D" w:sz="1"/>
              <w:left w:val="single" w:color="2C5F7D" w:sz="1"/>
              <w:bottom w:val="single" w:color="2C5F7D" w:sz="1"/>
              <w:right w:val="single" w:color="2C5F7D" w:sz="1"/>
            </w:tcBorders>
          </w:tcPr>
          <w:p>
            <w:r>
              <w:rPr>
                <w:b/>
                <w:bCs/>
              </w:rPr>
              <w:t xml:space="preserve">Duration: </w:t>
            </w:r>
            <w:r>
              <w:t xml:space="preserve">15 minutes</w:t>
            </w:r>
          </w:p>
          <w:p>
            <w:r>
              <w:rPr>
                <w:b/>
                <w:bCs/>
              </w:rPr>
              <w:t xml:space="preserve">Investment: </w:t>
            </w:r>
            <w:r>
              <w:t xml:space="preserve">$50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Includes:</w:t>
            </w:r>
          </w:p>
          <w:p>
            <w:r>
              <w:t xml:space="preserve">• Quick supplement questions</w:t>
            </w:r>
          </w:p>
          <w:p>
            <w:r>
              <w:t xml:space="preserve">• Simple recommendations</w:t>
            </w:r>
          </w:p>
          <w:p>
            <w:r>
              <w:t xml:space="preserve">• Brief interaction review</w:t>
            </w:r>
          </w:p>
          <w:p>
            <w:r>
              <w:t xml:space="preserve">• Focused guidance</w:t>
            </w:r>
          </w:p>
        </w:tc>
      </w:tr>
    </w:tbl>
    <w:p>
      <w:pPr>
        <w:pStyle w:val="SubHead"/>
        <w:spacing w:before="240"/>
      </w:pPr>
      <w:r>
        <w:t xml:space="preserve">Pharmaceutical-Grade Product Access</w:t>
      </w:r>
    </w:p>
    <w:p>
      <w:pPr>
        <w:spacing w:before="240"/>
      </w:pPr>
      <w:r>
        <w:t xml:space="preserve">Patients receive access to three premier physician-grade supplement companies through personalized online dispensaries: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Designs for Health</w:t>
      </w:r>
      <w:r>
        <w:t xml:space="preserve"> – Science-based formulations with rigorous quality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Metagenics</w:t>
      </w:r>
      <w:r>
        <w:t xml:space="preserve"> – Trusted by healthcare practitioners for over 35 years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Orthomolecular</w:t>
      </w:r>
      <w:r>
        <w:t xml:space="preserve"> – Premium orthomolecular formulations with proven efficacy</w:t>
      </w:r>
    </w:p>
    <w:p>
      <w:pPr>
        <w:pStyle w:val="SubHead"/>
        <w:spacing w:before="240"/>
      </w:pPr>
      <w:r>
        <w:t xml:space="preserve">Why Physician-Grade Supplements Matter</w:t>
      </w:r>
    </w:p>
    <w:p>
      <w:pPr>
        <w:spacing w:after="120"/>
      </w:pPr>
      <w:r>
        <w:t xml:space="preserve">Research demonstrates significant differences between professional-grade and retail supplements that directly impact patient outcomes: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Superior Bioavailability: </w:t>
      </w:r>
      <w:r>
        <w:t xml:space="preserve">Professional formulations use active, methylated forms (e.g., methylfolate vs. folic acid, methylcobalamin vs. cyanocobalamin) that are immediately usable by the body, resulting in significantly higher absorption rates and clinical efficacy.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Rigorous Third-Party Testing: </w:t>
      </w:r>
      <w:r>
        <w:t xml:space="preserve">Designs for Health, Metagenics, and Orthomolecular conduct batch testing for heavy metals, microbial contamination, and potency verification. Retail brands often lack independent verification, with studies showing up to 25% of over-the-counter supplements don't contain labeled ingredients.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Unnecessary Fillers or Allergens: </w:t>
      </w:r>
      <w:r>
        <w:t xml:space="preserve">Professional-grade products are formulated without common allergens, artificial colors, or problematic excipients that can reduce absorption or trigger sensitivities.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Research-Backed Dosing: </w:t>
      </w:r>
      <w:r>
        <w:t xml:space="preserve">Formulations based on clinical research with therapeutic doses, not minimum requirements. Retail supplements often contain subtherapeutic amounts that fail to produce clinical benefit.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Accountability: </w:t>
      </w:r>
      <w:r>
        <w:t xml:space="preserve">These companies are held to higher standards by healthcare practitioners and maintain transparent supply chains, GMP certification, and detailed certificates of analysis.</w:t>
      </w:r>
    </w:p>
    <w:p>
      <w:pPr>
        <w:spacing w:before="120" w:after="200"/>
      </w:pPr>
      <w:r>
        <w:rPr>
          <w:b/>
          <w:bCs/>
        </w:rPr>
        <w:t xml:space="preserve">Clinical Impact: </w:t>
      </w:r>
      <w:r>
        <w:t xml:space="preserve">When patients use quality supplements with proper guidance, providers see better outcomes, fewer adverse reactions, and increased patient satisfaction compared to trial-and-error with retail products.</w:t>
      </w:r>
    </w:p>
    <w:p>
      <w:pPr>
        <w:pStyle w:val="SectionHead"/>
      </w:pPr>
      <w:r>
        <w:t xml:space="preserve">Benefits for Your Practice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Expert Patient Education: </w:t>
      </w:r>
      <w:r>
        <w:t xml:space="preserve">As an experienced nurse educator, I provide clear, evidence-based education about supplement benefits, risks, and interactions, empowering patients to make informed decisions.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Zero Administrative Burden: </w:t>
      </w:r>
      <w:r>
        <w:t xml:space="preserve">Patients pay directly for consultations and purchase supplements independently. No billing, coding, or administrative tasks for your staff.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Communication: </w:t>
      </w:r>
      <w:r>
        <w:t xml:space="preserve">Detailed written reports sent after every consultation, keeping you fully informed of recommendations and patient progress.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Enhanced Patient Satisfaction: </w:t>
      </w:r>
      <w:r>
        <w:t xml:space="preserve">Patients receive expert guidance they're seeking, strengthening their connection to your practice.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Safety Assurance: </w:t>
      </w:r>
      <w:r>
        <w:t xml:space="preserve">Every recommendation includes thorough medication-supplement interaction screening for patient safety.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Savings: </w:t>
      </w:r>
      <w:r>
        <w:t xml:space="preserve">Reclaim 15-20 minutes per patient visit previously spent on supplement discussions.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Maintained Oversight: </w:t>
      </w:r>
      <w:r>
        <w:t xml:space="preserve">You remain the primary care provider with full visibility into supplement protocols.</w:t>
      </w:r>
    </w:p>
    <w:p>
      <w:pPr>
        <w:pStyle w:val="SectionHead"/>
      </w:pPr>
      <w:r>
        <w:t xml:space="preserve">Simple Referral Process</w:t>
      </w:r>
    </w:p>
    <w:p>
      <w:pPr>
        <w:pStyle w:val="ListParagraph"/>
        <w:numPr>
          <w:ilvl w:val="0"/>
          <w:numId w:val="4"/>
        </w:numPr>
      </w:pPr>
      <w:r>
        <w:t xml:space="preserve">When patients ask about supplements OR when you want to recommend supplements, provide my contact information or have staff email referral</w:t>
      </w:r>
    </w:p>
    <w:p>
      <w:pPr>
        <w:pStyle w:val="ListParagraph"/>
        <w:numPr>
          <w:ilvl w:val="0"/>
          <w:numId w:val="4"/>
        </w:numPr>
      </w:pPr>
      <w:r>
        <w:t xml:space="preserve">Patient schedules consultation directly with me (no coordination needed from your office)</w:t>
      </w:r>
    </w:p>
    <w:p>
      <w:pPr>
        <w:pStyle w:val="ListParagraph"/>
        <w:numPr>
          <w:ilvl w:val="0"/>
          <w:numId w:val="4"/>
        </w:numPr>
      </w:pPr>
      <w:r>
        <w:t xml:space="preserve">I conduct comprehensive assessment and develop personalized protocol</w:t>
      </w:r>
    </w:p>
    <w:p>
      <w:pPr>
        <w:pStyle w:val="ListParagraph"/>
        <w:numPr>
          <w:ilvl w:val="0"/>
          <w:numId w:val="4"/>
        </w:numPr>
      </w:pPr>
      <w:r>
        <w:t xml:space="preserve">Detailed report sent to you via secure email within 48 hours</w:t>
      </w:r>
    </w:p>
    <w:p>
      <w:pPr>
        <w:pStyle w:val="ListParagraph"/>
        <w:numPr>
          <w:ilvl w:val="0"/>
          <w:numId w:val="4"/>
        </w:numPr>
      </w:pPr>
      <w:r>
        <w:t xml:space="preserve">Patient orders supplements through personalized online dispensary</w:t>
      </w:r>
    </w:p>
    <w:p>
      <w:pPr>
        <w:pStyle w:val="ListParagraph"/>
        <w:numPr>
          <w:ilvl w:val="0"/>
          <w:numId w:val="4"/>
        </w:numPr>
      </w:pPr>
      <w:r>
        <w:t xml:space="preserve">Ongoing updates provided as patient continues care</w:t>
      </w:r>
    </w:p>
    <w:p>
      <w:pPr>
        <w:pStyle w:val="SectionHead"/>
      </w:pPr>
      <w:r>
        <w:t xml:space="preserve">Specialty Focus Areas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Pediatrics: </w:t>
      </w:r>
      <w:r>
        <w:t xml:space="preserve">Age-appropriate supplement protocols, immune support, nutritional gaps, ADHD/focus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Family Medicine: </w:t>
      </w:r>
      <w:r>
        <w:t xml:space="preserve">Whole-family wellness optimization, preventive care enhancement, cardiometabolic health</w:t>
      </w:r>
    </w:p>
    <w:p>
      <w:pPr>
        <w:pStyle w:val="SectionHead"/>
        <w:spacing w:before="280"/>
      </w:pPr>
      <w:r>
        <w:t xml:space="preserve">Condition-Specific Protocol Consultations</w:t>
      </w:r>
    </w:p>
    <w:p>
      <w:pPr>
        <w:spacing w:after="120"/>
      </w:pPr>
      <w:r>
        <w:t xml:space="preserve">For providers managing specific health conditions, I offer targeted protocol consultations using evidence-based Designs for Health clinical protocols. These in-depth consultations develop comprehensive supplement strategies tailored to the condition: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Immune Support &amp; Respiratory Health</w:t>
      </w:r>
      <w:r>
        <w:t xml:space="preserve"> – Protocols for recurrent infections, seasonal support, immune optimization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Digestive Health &amp; Gut Restoration</w:t>
      </w:r>
      <w:r>
        <w:t xml:space="preserve"> – IBS, dysbiosis, gut-brain axis, elimination diet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Cardiometabolic Optimization</w:t>
      </w:r>
      <w:r>
        <w:t xml:space="preserve"> – Blood sugar balance, lipid management, metabolic syndrome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Women's Health</w:t>
      </w:r>
      <w:r>
        <w:t xml:space="preserve"> – Hormonal balance, PCOS, perimenopause/menopause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Sleep &amp; Stress Management</w:t>
      </w:r>
      <w:r>
        <w:t xml:space="preserve"> – HPA axis support, sleep optimization, anxiety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ADHD &amp; Cognitive Support</w:t>
      </w:r>
      <w:r>
        <w:t xml:space="preserve"> – Focus enhancement, neurotransmitter support, pediatric and adult</w:t>
      </w:r>
    </w:p>
    <w:p>
      <w:pPr>
        <w:spacing w:before="120"/>
      </w:pPr>
      <w:r>
        <w:rPr>
          <w:b/>
          <w:bCs/>
        </w:rPr>
        <w:t xml:space="preserve">Protocol Consultation Fee: </w:t>
      </w:r>
      <w:r>
        <w:t xml:space="preserve">$175-200 (includes comprehensive protocol development, patient education materials, and detailed provider report)</w:t>
      </w:r>
    </w:p>
    <w:p>
      <w:pPr>
        <w:spacing w:before="320" w:after="100"/>
        <w:jc w:val="center"/>
      </w:pPr>
      <w:r>
        <w:rPr>
          <w:b/>
          <w:bCs/>
          <w:color w:val="2C5F7D"/>
          <w:sz w:val="28"/>
          <w:szCs w:val="28"/>
        </w:rPr>
        <w:t xml:space="preserve">Ready to Discuss Partnership Opportunities?</w:t>
      </w:r>
    </w:p>
    <w:p>
      <w:pPr>
        <w:jc w:val="center"/>
      </w:pPr>
      <w:r>
        <w:rPr>
          <w:sz w:val="24"/>
          <w:szCs w:val="24"/>
        </w:rPr>
        <w:t xml:space="preserve">Contact: </w:t>
      </w:r>
      <w:r>
        <w:rPr>
          <w:b/>
          <w:bCs/>
          <w:color w:val="2C5F7D"/>
          <w:sz w:val="24"/>
          <w:szCs w:val="24"/>
        </w:rPr>
        <w:t xml:space="preserve">dr.peg.wellness@gmail.com</w:t>
      </w:r>
    </w:p>
    <w:p>
      <w:pPr>
        <w:spacing w:before="40"/>
        <w:jc w:val="center"/>
      </w:pPr>
      <w:r>
        <w:rPr>
          <w:i/>
          <w:iCs/>
          <w:sz w:val="20"/>
          <w:szCs w:val="20"/>
        </w:rPr>
        <w:t xml:space="preserve">Serving Primary Care Practices Throughout Metro Detroit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Arial" w:cs="Arial" w:eastAsia="Arial" w:hAnsi="Arial"/>
      <w:b/>
      <w:bCs/>
      <w:color w:val="2C5F7D"/>
      <w:sz w:val="52"/>
      <w:szCs w:val="5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A4A4A"/>
      <w:sz w:val="28"/>
      <w:szCs w:val="28"/>
    </w:rPr>
  </w:style>
  <w:style w:type="paragraph" w:styleId="SectionHead">
    <w:name w:val="Section Head"/>
    <w:basedOn w:val="Normal"/>
    <w:pPr>
      <w:spacing w:before="280" w:after="140"/>
    </w:pPr>
    <w:rPr>
      <w:rFonts w:ascii="Arial" w:cs="Arial" w:eastAsia="Arial" w:hAnsi="Arial"/>
      <w:b/>
      <w:bCs/>
      <w:color w:val="2C5F7D"/>
      <w:sz w:val="30"/>
      <w:szCs w:val="30"/>
    </w:rPr>
  </w:style>
  <w:style w:type="paragraph" w:styleId="SubHead">
    <w:name w:val="SubHead"/>
    <w:basedOn w:val="Normal"/>
    <w:pPr>
      <w:spacing w:before="180" w:after="100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2025-11-19T00:40:14.371Z</dcterms:created>
  <dcterms:modified xsi:type="dcterms:W3CDTF">2025-11-19T00:40:14.372Z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