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265CE6" w14:textId="77777777" w:rsidR="00EE4C30" w:rsidRDefault="00087F86">
      <w:pPr>
        <w:pStyle w:val="Subtitle"/>
        <w:jc w:val="left"/>
        <w:rPr>
          <w:sz w:val="32"/>
          <w:szCs w:val="32"/>
        </w:rPr>
      </w:pPr>
      <w:r>
        <w:rPr>
          <w:sz w:val="32"/>
          <w:szCs w:val="32"/>
        </w:rPr>
        <w:t>The Healthcare Utility of Diagnostic Whole-Genome Sequencing</w:t>
      </w:r>
    </w:p>
    <w:p w14:paraId="75C6B7B2" w14:textId="77777777" w:rsidR="00EE4C30" w:rsidRDefault="00EE4C30">
      <w:pPr>
        <w:pStyle w:val="Body"/>
      </w:pPr>
    </w:p>
    <w:p w14:paraId="63822731" w14:textId="77777777" w:rsidR="00EE4C30" w:rsidRDefault="00087F86">
      <w:pPr>
        <w:pStyle w:val="Body"/>
        <w:spacing w:line="288" w:lineRule="auto"/>
        <w:ind w:firstLine="0"/>
        <w:rPr>
          <w:rFonts w:ascii="Palatino" w:hAnsi="Palatino"/>
        </w:rPr>
      </w:pPr>
      <w:r>
        <w:rPr>
          <w:rFonts w:ascii="Helvetica" w:hAnsi="Helvetica"/>
          <w:b/>
          <w:bCs/>
        </w:rPr>
        <w:t>Problem Statement</w:t>
      </w:r>
      <w:r>
        <w:t xml:space="preserve">: </w:t>
      </w:r>
      <w:r>
        <w:rPr>
          <w:rFonts w:ascii="Palatino" w:hAnsi="Palatino"/>
        </w:rPr>
        <w:t>WGS is now incredibly affordable, yet not transparent in its utility to human life and healthcare.</w:t>
      </w:r>
    </w:p>
    <w:p w14:paraId="132662A3" w14:textId="77777777" w:rsidR="00AA7AB8" w:rsidRDefault="00AA7AB8">
      <w:pPr>
        <w:pStyle w:val="Body"/>
        <w:spacing w:line="288" w:lineRule="auto"/>
        <w:ind w:firstLine="0"/>
      </w:pPr>
    </w:p>
    <w:p w14:paraId="42A2C6E7" w14:textId="77777777" w:rsidR="00EE4C30" w:rsidRDefault="00087F86">
      <w:pPr>
        <w:pStyle w:val="Body"/>
        <w:spacing w:line="288" w:lineRule="auto"/>
        <w:ind w:firstLine="0"/>
        <w:rPr>
          <w:rFonts w:ascii="Palatino" w:hAnsi="Palatino"/>
        </w:rPr>
      </w:pPr>
      <w:r>
        <w:rPr>
          <w:rFonts w:ascii="Helvetica" w:hAnsi="Helvetica"/>
          <w:b/>
          <w:bCs/>
        </w:rPr>
        <w:t>Goal</w:t>
      </w:r>
      <w:r>
        <w:t xml:space="preserve">: </w:t>
      </w:r>
      <w:r>
        <w:rPr>
          <w:rFonts w:ascii="Palatino" w:hAnsi="Palatino"/>
        </w:rPr>
        <w:t xml:space="preserve">One can formulate reasonable models </w:t>
      </w:r>
      <w:r w:rsidR="00AA7AB8">
        <w:rPr>
          <w:rFonts w:ascii="Palatino" w:hAnsi="Palatino"/>
        </w:rPr>
        <w:t>that</w:t>
      </w:r>
      <w:r>
        <w:rPr>
          <w:rFonts w:ascii="Palatino" w:hAnsi="Palatino"/>
        </w:rPr>
        <w:t xml:space="preserve"> investigate if WGS has </w:t>
      </w:r>
      <w:r>
        <w:rPr>
          <w:rFonts w:ascii="Palatino" w:hAnsi="Palatino"/>
        </w:rPr>
        <w:t>utility and at what price points.</w:t>
      </w:r>
    </w:p>
    <w:p w14:paraId="79B574E4" w14:textId="77777777" w:rsidR="00AA7AB8" w:rsidRDefault="00AA7AB8">
      <w:pPr>
        <w:pStyle w:val="Body"/>
        <w:spacing w:line="288" w:lineRule="auto"/>
        <w:ind w:firstLine="0"/>
        <w:rPr>
          <w:rFonts w:ascii="Palatino" w:eastAsia="Palatino" w:hAnsi="Palatino" w:cs="Palatino"/>
        </w:rPr>
      </w:pPr>
    </w:p>
    <w:p w14:paraId="41523B06" w14:textId="77777777" w:rsidR="00EE4C30" w:rsidRDefault="00087F86">
      <w:pPr>
        <w:pStyle w:val="Body"/>
        <w:spacing w:line="288" w:lineRule="auto"/>
        <w:ind w:firstLine="0"/>
        <w:rPr>
          <w:rFonts w:ascii="Palatino" w:eastAsia="Palatino" w:hAnsi="Palatino" w:cs="Palatino"/>
        </w:rPr>
      </w:pPr>
      <w:r>
        <w:rPr>
          <w:rFonts w:ascii="Helvetica" w:hAnsi="Helvetica"/>
          <w:b/>
          <w:bCs/>
        </w:rPr>
        <w:t>Simplifying assumptions</w:t>
      </w:r>
      <w:r>
        <w:rPr>
          <w:rFonts w:ascii="Palatino" w:hAnsi="Palatino"/>
        </w:rPr>
        <w:t>:</w:t>
      </w:r>
    </w:p>
    <w:p w14:paraId="0AAF3A1D" w14:textId="77777777" w:rsidR="00EE4C30" w:rsidRDefault="00087F86">
      <w:pPr>
        <w:pStyle w:val="Body"/>
        <w:numPr>
          <w:ilvl w:val="1"/>
          <w:numId w:val="1"/>
        </w:numPr>
        <w:spacing w:line="288" w:lineRule="auto"/>
        <w:rPr>
          <w:rFonts w:ascii="Palatino" w:eastAsia="Palatino" w:hAnsi="Palatino" w:cs="Palatino"/>
        </w:rPr>
      </w:pPr>
      <w:r>
        <w:rPr>
          <w:rFonts w:ascii="Palatino" w:hAnsi="Palatino"/>
        </w:rPr>
        <w:t>Mendelian phenotypes.  Phenotypes caused by independent, high penetrance loci.  Accommodations f</w:t>
      </w:r>
      <w:bookmarkStart w:id="0" w:name="_GoBack"/>
      <w:bookmarkEnd w:id="0"/>
      <w:r>
        <w:rPr>
          <w:rFonts w:ascii="Palatino" w:hAnsi="Palatino"/>
        </w:rPr>
        <w:t>or autosomal recessive, autosomal dominant, and x-linked recessive loci.</w:t>
      </w:r>
    </w:p>
    <w:p w14:paraId="7F551158" w14:textId="77777777" w:rsidR="00EE4C30" w:rsidRDefault="00087F86">
      <w:pPr>
        <w:pStyle w:val="Body"/>
        <w:numPr>
          <w:ilvl w:val="1"/>
          <w:numId w:val="1"/>
        </w:numPr>
        <w:spacing w:line="288" w:lineRule="auto"/>
        <w:rPr>
          <w:rFonts w:ascii="Palatino" w:eastAsia="Palatino" w:hAnsi="Palatino" w:cs="Palatino"/>
        </w:rPr>
      </w:pPr>
      <w:r>
        <w:rPr>
          <w:rFonts w:ascii="Palatino" w:hAnsi="Palatino"/>
        </w:rPr>
        <w:t>People are drawn from a repr</w:t>
      </w:r>
      <w:r>
        <w:rPr>
          <w:rFonts w:ascii="Palatino" w:hAnsi="Palatino"/>
        </w:rPr>
        <w:t>esentative average population.</w:t>
      </w:r>
    </w:p>
    <w:p w14:paraId="7D87609D" w14:textId="77777777" w:rsidR="00EE4C30" w:rsidRDefault="00087F86">
      <w:pPr>
        <w:pStyle w:val="Body"/>
        <w:numPr>
          <w:ilvl w:val="1"/>
          <w:numId w:val="1"/>
        </w:numPr>
        <w:spacing w:line="288" w:lineRule="auto"/>
        <w:rPr>
          <w:rFonts w:ascii="Palatino" w:eastAsia="Palatino" w:hAnsi="Palatino" w:cs="Palatino"/>
        </w:rPr>
      </w:pPr>
      <w:r>
        <w:rPr>
          <w:rFonts w:ascii="Palatino" w:hAnsi="Palatino"/>
        </w:rPr>
        <w:t>Genes that are already known (known severity, penetrance, expressivity).</w:t>
      </w:r>
    </w:p>
    <w:p w14:paraId="4D926CC8" w14:textId="77777777" w:rsidR="00EE4C30" w:rsidRDefault="00087F86">
      <w:pPr>
        <w:pStyle w:val="Body"/>
        <w:numPr>
          <w:ilvl w:val="1"/>
          <w:numId w:val="1"/>
        </w:numPr>
        <w:spacing w:line="288" w:lineRule="auto"/>
        <w:rPr>
          <w:rFonts w:ascii="Palatino" w:eastAsia="Palatino" w:hAnsi="Palatino" w:cs="Palatino"/>
        </w:rPr>
      </w:pPr>
      <w:r>
        <w:rPr>
          <w:rFonts w:ascii="Palatino" w:hAnsi="Palatino"/>
        </w:rPr>
        <w:t>Age-related onset of disease is explicitly modeled.</w:t>
      </w:r>
    </w:p>
    <w:p w14:paraId="05641757" w14:textId="77777777" w:rsidR="00EE4C30" w:rsidRDefault="00087F86">
      <w:pPr>
        <w:pStyle w:val="Body"/>
        <w:numPr>
          <w:ilvl w:val="1"/>
          <w:numId w:val="1"/>
        </w:numPr>
        <w:spacing w:line="288" w:lineRule="auto"/>
        <w:rPr>
          <w:rFonts w:ascii="Palatino" w:eastAsia="Palatino" w:hAnsi="Palatino" w:cs="Palatino"/>
        </w:rPr>
      </w:pPr>
      <w:r>
        <w:rPr>
          <w:rFonts w:ascii="Palatino" w:hAnsi="Palatino"/>
        </w:rPr>
        <w:t>Cost of medical treatment is proportional to severity of disease.</w:t>
      </w:r>
    </w:p>
    <w:p w14:paraId="6BE0208C" w14:textId="77777777" w:rsidR="00EE4C30" w:rsidRPr="00AA7AB8" w:rsidRDefault="00087F86">
      <w:pPr>
        <w:pStyle w:val="Body"/>
        <w:numPr>
          <w:ilvl w:val="1"/>
          <w:numId w:val="1"/>
        </w:numPr>
        <w:spacing w:line="288" w:lineRule="auto"/>
        <w:rPr>
          <w:rFonts w:ascii="Palatino" w:eastAsia="Palatino" w:hAnsi="Palatino" w:cs="Palatino"/>
        </w:rPr>
      </w:pPr>
      <w:r>
        <w:rPr>
          <w:rFonts w:ascii="Palatino" w:hAnsi="Palatino"/>
        </w:rPr>
        <w:t xml:space="preserve">Non-invasive diagnostic tests are </w:t>
      </w:r>
      <w:r>
        <w:rPr>
          <w:rFonts w:ascii="Palatino" w:hAnsi="Palatino"/>
        </w:rPr>
        <w:t>preferred to invasive diagnostic tests.</w:t>
      </w:r>
    </w:p>
    <w:p w14:paraId="104D80B1" w14:textId="77777777" w:rsidR="00AA7AB8" w:rsidRDefault="00AA7AB8" w:rsidP="00AA7AB8">
      <w:pPr>
        <w:pStyle w:val="Body"/>
        <w:spacing w:line="288" w:lineRule="auto"/>
        <w:ind w:left="648" w:firstLine="0"/>
        <w:rPr>
          <w:rFonts w:ascii="Palatino" w:eastAsia="Palatino" w:hAnsi="Palatino" w:cs="Palatino"/>
        </w:rPr>
      </w:pPr>
    </w:p>
    <w:p w14:paraId="084EB416" w14:textId="77777777" w:rsidR="00EE4C30" w:rsidRDefault="00087F86">
      <w:pPr>
        <w:pStyle w:val="Body"/>
        <w:spacing w:line="288" w:lineRule="auto"/>
        <w:ind w:firstLine="0"/>
        <w:rPr>
          <w:rFonts w:ascii="Palatino" w:eastAsia="Palatino" w:hAnsi="Palatino" w:cs="Palatino"/>
        </w:rPr>
      </w:pPr>
      <w:r>
        <w:rPr>
          <w:rFonts w:ascii="Helvetica" w:hAnsi="Helvetica"/>
          <w:b/>
          <w:bCs/>
        </w:rPr>
        <w:t>Relaxing the assumptions</w:t>
      </w:r>
      <w:r>
        <w:rPr>
          <w:rFonts w:ascii="Palatino" w:hAnsi="Palatino"/>
        </w:rPr>
        <w:t>:</w:t>
      </w:r>
    </w:p>
    <w:p w14:paraId="4E5F62CB" w14:textId="77777777" w:rsidR="00EE4C30" w:rsidRDefault="00087F86">
      <w:pPr>
        <w:pStyle w:val="Body"/>
        <w:numPr>
          <w:ilvl w:val="1"/>
          <w:numId w:val="1"/>
        </w:numPr>
        <w:spacing w:line="288" w:lineRule="auto"/>
        <w:rPr>
          <w:rFonts w:ascii="Palatino" w:eastAsia="Palatino" w:hAnsi="Palatino" w:cs="Palatino"/>
        </w:rPr>
      </w:pPr>
      <w:r>
        <w:rPr>
          <w:rFonts w:ascii="Palatino" w:hAnsi="Palatino"/>
        </w:rPr>
        <w:t>Consider semi-Mendelian phenotypes: maintain independence assumption, allow for variable penetrance and expressivity.</w:t>
      </w:r>
    </w:p>
    <w:p w14:paraId="3C5DE56E" w14:textId="77777777" w:rsidR="00EE4C30" w:rsidRDefault="00087F86">
      <w:pPr>
        <w:pStyle w:val="Body"/>
        <w:numPr>
          <w:ilvl w:val="1"/>
          <w:numId w:val="1"/>
        </w:numPr>
        <w:spacing w:line="288" w:lineRule="auto"/>
        <w:rPr>
          <w:rFonts w:ascii="Palatino" w:eastAsia="Palatino" w:hAnsi="Palatino" w:cs="Palatino"/>
        </w:rPr>
      </w:pPr>
      <w:r>
        <w:rPr>
          <w:rFonts w:ascii="Palatino" w:hAnsi="Palatino"/>
        </w:rPr>
        <w:t>Consider local populations enriched or under-enriched for disease allele</w:t>
      </w:r>
      <w:r>
        <w:rPr>
          <w:rFonts w:ascii="Palatino" w:hAnsi="Palatino"/>
        </w:rPr>
        <w:t>s.</w:t>
      </w:r>
    </w:p>
    <w:p w14:paraId="79378513" w14:textId="77777777" w:rsidR="00EE4C30" w:rsidRDefault="00087F86">
      <w:pPr>
        <w:pStyle w:val="Body"/>
        <w:numPr>
          <w:ilvl w:val="1"/>
          <w:numId w:val="1"/>
        </w:numPr>
        <w:spacing w:line="288" w:lineRule="auto"/>
        <w:rPr>
          <w:rFonts w:ascii="Palatino" w:eastAsia="Palatino" w:hAnsi="Palatino" w:cs="Palatino"/>
        </w:rPr>
      </w:pPr>
      <w:r>
        <w:rPr>
          <w:rFonts w:ascii="Palatino" w:hAnsi="Palatino"/>
        </w:rPr>
        <w:t>Consider model of increasing information about genes over time (modified exponential or S-curve)</w:t>
      </w:r>
    </w:p>
    <w:p w14:paraId="61F91B1E" w14:textId="77777777" w:rsidR="00EE4C30" w:rsidRPr="00AA7AB8" w:rsidRDefault="00087F86">
      <w:pPr>
        <w:pStyle w:val="Body"/>
        <w:numPr>
          <w:ilvl w:val="1"/>
          <w:numId w:val="1"/>
        </w:numPr>
        <w:spacing w:line="288" w:lineRule="auto"/>
        <w:rPr>
          <w:rFonts w:ascii="Palatino" w:eastAsia="Palatino" w:hAnsi="Palatino" w:cs="Palatino"/>
        </w:rPr>
      </w:pPr>
      <w:r>
        <w:rPr>
          <w:rFonts w:ascii="Palatino" w:hAnsi="Palatino"/>
        </w:rPr>
        <w:t>Consider effects of age-related expressivity</w:t>
      </w:r>
    </w:p>
    <w:p w14:paraId="2C92396C" w14:textId="77777777" w:rsidR="00AA7AB8" w:rsidRDefault="00AA7AB8" w:rsidP="00AA7AB8">
      <w:pPr>
        <w:pStyle w:val="Body"/>
        <w:spacing w:line="288" w:lineRule="auto"/>
        <w:ind w:left="648" w:firstLine="0"/>
        <w:rPr>
          <w:rFonts w:ascii="Palatino" w:eastAsia="Palatino" w:hAnsi="Palatino" w:cs="Palatino"/>
        </w:rPr>
      </w:pPr>
    </w:p>
    <w:p w14:paraId="00B1B0D1" w14:textId="77777777" w:rsidR="00EE4C30" w:rsidRDefault="00087F86">
      <w:pPr>
        <w:pStyle w:val="Body"/>
        <w:spacing w:line="288" w:lineRule="auto"/>
        <w:ind w:firstLine="0"/>
        <w:rPr>
          <w:rFonts w:ascii="Palatino" w:hAnsi="Palatino"/>
        </w:rPr>
      </w:pPr>
      <w:r>
        <w:rPr>
          <w:rFonts w:ascii="Helvetica" w:hAnsi="Helvetica"/>
          <w:b/>
          <w:bCs/>
        </w:rPr>
        <w:t>Methodology</w:t>
      </w:r>
      <w:r>
        <w:rPr>
          <w:rFonts w:ascii="Palatino" w:hAnsi="Palatino"/>
        </w:rPr>
        <w:t>: a set of assumed curves, integro-differential equations, solved by quadrature or numerical simulat</w:t>
      </w:r>
      <w:r>
        <w:rPr>
          <w:rFonts w:ascii="Palatino" w:hAnsi="Palatino"/>
        </w:rPr>
        <w:t>ion.</w:t>
      </w:r>
      <w:r w:rsidR="00AA7AB8">
        <w:rPr>
          <w:rFonts w:ascii="Palatino" w:hAnsi="Palatino"/>
        </w:rPr>
        <w:t xml:space="preserve">  See e.g. Murphy&amp;Topel (2005), </w:t>
      </w:r>
      <w:hyperlink r:id="rId8" w:history="1">
        <w:r w:rsidR="00AA7AB8" w:rsidRPr="00AA7AB8">
          <w:rPr>
            <w:rStyle w:val="Hyperlink"/>
            <w:rFonts w:ascii="Palatino" w:hAnsi="Palatino"/>
          </w:rPr>
          <w:t>http://www.nber.org/papers/w11405</w:t>
        </w:r>
      </w:hyperlink>
    </w:p>
    <w:p w14:paraId="3BD8E777" w14:textId="77777777" w:rsidR="00AA7AB8" w:rsidRDefault="00AA7AB8">
      <w:pPr>
        <w:pStyle w:val="Body"/>
        <w:spacing w:line="288" w:lineRule="auto"/>
        <w:ind w:firstLine="0"/>
        <w:rPr>
          <w:rFonts w:ascii="Palatino" w:eastAsia="Palatino" w:hAnsi="Palatino" w:cs="Palatino"/>
        </w:rPr>
      </w:pPr>
    </w:p>
    <w:p w14:paraId="0B349A26" w14:textId="77777777" w:rsidR="00EE4C30" w:rsidRDefault="00087F86">
      <w:pPr>
        <w:pStyle w:val="Body"/>
        <w:spacing w:line="288" w:lineRule="auto"/>
        <w:ind w:firstLine="0"/>
        <w:rPr>
          <w:rFonts w:ascii="Palatino" w:hAnsi="Palatino"/>
        </w:rPr>
      </w:pPr>
      <w:r>
        <w:rPr>
          <w:rFonts w:ascii="Helvetica" w:hAnsi="Helvetica"/>
          <w:b/>
          <w:bCs/>
        </w:rPr>
        <w:t>Big Question</w:t>
      </w:r>
      <w:r>
        <w:rPr>
          <w:rFonts w:ascii="Palatino" w:hAnsi="Palatino"/>
        </w:rPr>
        <w:t>: What year did/does WGS (alternatively WES) become a rational financial choice?</w:t>
      </w:r>
    </w:p>
    <w:p w14:paraId="7C0A618B" w14:textId="77777777" w:rsidR="00AA7AB8" w:rsidRDefault="00AA7AB8">
      <w:pPr>
        <w:pStyle w:val="Body"/>
        <w:spacing w:line="288" w:lineRule="auto"/>
        <w:ind w:firstLine="0"/>
        <w:rPr>
          <w:rFonts w:ascii="Palatino" w:eastAsia="Palatino" w:hAnsi="Palatino" w:cs="Palatino"/>
        </w:rPr>
      </w:pPr>
    </w:p>
    <w:p w14:paraId="354D051D" w14:textId="77777777" w:rsidR="00EE4C30" w:rsidRDefault="00087F86">
      <w:pPr>
        <w:pStyle w:val="Body"/>
        <w:spacing w:line="288" w:lineRule="auto"/>
        <w:ind w:firstLine="0"/>
      </w:pPr>
      <w:r>
        <w:rPr>
          <w:rFonts w:ascii="Helvetica" w:hAnsi="Helvetica"/>
          <w:b/>
          <w:bCs/>
        </w:rPr>
        <w:t>Differences from Previous Work</w:t>
      </w:r>
      <w:r>
        <w:rPr>
          <w:rFonts w:ascii="Palatino" w:hAnsi="Palatino"/>
        </w:rPr>
        <w:t>:  Previous work on the utility of WGS has addressed utility from the patient</w:t>
      </w:r>
      <w:r>
        <w:rPr>
          <w:rFonts w:ascii="Palatino" w:hAnsi="Palatino"/>
        </w:rPr>
        <w:t>’</w:t>
      </w:r>
      <w:r>
        <w:rPr>
          <w:rFonts w:ascii="Palatino" w:hAnsi="Palatino"/>
        </w:rPr>
        <w:t xml:space="preserve">s point of view [Lupo </w:t>
      </w:r>
      <w:r>
        <w:rPr>
          <w:rFonts w:ascii="Palatino" w:hAnsi="Palatino"/>
          <w:i/>
          <w:iCs/>
        </w:rPr>
        <w:t>et al (</w:t>
      </w:r>
      <w:r>
        <w:rPr>
          <w:rFonts w:ascii="Palatino" w:hAnsi="Palatino"/>
        </w:rPr>
        <w:t xml:space="preserve">2016), Sanderson </w:t>
      </w:r>
      <w:r>
        <w:rPr>
          <w:rFonts w:ascii="Palatino" w:hAnsi="Palatino"/>
          <w:i/>
          <w:iCs/>
        </w:rPr>
        <w:t>et a</w:t>
      </w:r>
      <w:r>
        <w:rPr>
          <w:rFonts w:ascii="Palatino" w:hAnsi="Palatino"/>
          <w:i/>
          <w:iCs/>
        </w:rPr>
        <w:t>l</w:t>
      </w:r>
      <w:r>
        <w:rPr>
          <w:rFonts w:ascii="Palatino" w:hAnsi="Palatino"/>
        </w:rPr>
        <w:t xml:space="preserve"> (2016)] or has focused on semi-quantitive arguments based on empirical experience [van El </w:t>
      </w:r>
      <w:r>
        <w:rPr>
          <w:rFonts w:ascii="Palatino" w:hAnsi="Palatino"/>
          <w:i/>
          <w:iCs/>
        </w:rPr>
        <w:t>et al (</w:t>
      </w:r>
      <w:r>
        <w:rPr>
          <w:rFonts w:ascii="Palatino" w:hAnsi="Palatino"/>
        </w:rPr>
        <w:t xml:space="preserve">2013); Berg, Khoury, Evans (2011); Christensen </w:t>
      </w:r>
      <w:r>
        <w:rPr>
          <w:rFonts w:ascii="Palatino" w:hAnsi="Palatino"/>
          <w:i/>
          <w:iCs/>
        </w:rPr>
        <w:t>et al</w:t>
      </w:r>
      <w:r>
        <w:rPr>
          <w:rFonts w:ascii="Palatino" w:hAnsi="Palatino"/>
        </w:rPr>
        <w:t xml:space="preserve"> (2015), Sanderson, Schadt (2016)].  This paper complements the existing literature by exploring alternat</w:t>
      </w:r>
      <w:r>
        <w:rPr>
          <w:rFonts w:ascii="Palatino" w:hAnsi="Palatino"/>
        </w:rPr>
        <w:t>ive models where WGS or WES make more or less economic sense as the future unfolds.</w:t>
      </w:r>
    </w:p>
    <w:sectPr w:rsidR="00EE4C30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E3BACE" w14:textId="77777777" w:rsidR="00000000" w:rsidRDefault="00087F86">
      <w:r>
        <w:separator/>
      </w:r>
    </w:p>
  </w:endnote>
  <w:endnote w:type="continuationSeparator" w:id="0">
    <w:p w14:paraId="3F04232A" w14:textId="77777777" w:rsidR="00000000" w:rsidRDefault="00087F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Baskerville">
    <w:panose1 w:val="02020502070401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Palatin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Baskerville SemiBold">
    <w:panose1 w:val="02020702070400020203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157713" w14:textId="77777777" w:rsidR="00EE4C30" w:rsidRDefault="00087F86">
    <w:pPr>
      <w:pStyle w:val="HeaderFooter"/>
      <w:tabs>
        <w:tab w:val="clear" w:pos="9020"/>
        <w:tab w:val="center" w:pos="4680"/>
        <w:tab w:val="right" w:pos="9360"/>
      </w:tabs>
    </w:pPr>
    <w:r>
      <w:t>UTILITY OF WGS</w:t>
    </w: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C9E780" w14:textId="77777777" w:rsidR="00000000" w:rsidRDefault="00087F86">
      <w:r>
        <w:separator/>
      </w:r>
    </w:p>
  </w:footnote>
  <w:footnote w:type="continuationSeparator" w:id="0">
    <w:p w14:paraId="553D33EC" w14:textId="77777777" w:rsidR="00000000" w:rsidRDefault="00087F8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51F701" w14:textId="77777777" w:rsidR="00EE4C30" w:rsidRDefault="00EE4C30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F72298"/>
    <w:multiLevelType w:val="hybridMultilevel"/>
    <w:tmpl w:val="A8C872EC"/>
    <w:lvl w:ilvl="0" w:tplc="5CD4C404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84AA56A">
      <w:start w:val="1"/>
      <w:numFmt w:val="bullet"/>
      <w:lvlText w:val="•"/>
      <w:lvlJc w:val="left"/>
      <w:pPr>
        <w:ind w:left="648" w:hanging="28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094F4E4">
      <w:start w:val="1"/>
      <w:numFmt w:val="bullet"/>
      <w:lvlText w:val="•"/>
      <w:lvlJc w:val="left"/>
      <w:pPr>
        <w:ind w:left="1008" w:hanging="28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9886D86">
      <w:start w:val="1"/>
      <w:numFmt w:val="bullet"/>
      <w:lvlText w:val="•"/>
      <w:lvlJc w:val="left"/>
      <w:pPr>
        <w:ind w:left="1368" w:hanging="28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00225D8">
      <w:start w:val="1"/>
      <w:numFmt w:val="bullet"/>
      <w:lvlText w:val="•"/>
      <w:lvlJc w:val="left"/>
      <w:pPr>
        <w:ind w:left="1728" w:hanging="28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66AB9EE">
      <w:start w:val="1"/>
      <w:numFmt w:val="bullet"/>
      <w:lvlText w:val="•"/>
      <w:lvlJc w:val="left"/>
      <w:pPr>
        <w:ind w:left="2088" w:hanging="28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4726A0A">
      <w:start w:val="1"/>
      <w:numFmt w:val="bullet"/>
      <w:lvlText w:val="•"/>
      <w:lvlJc w:val="left"/>
      <w:pPr>
        <w:ind w:left="2448" w:hanging="28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C585E28">
      <w:start w:val="1"/>
      <w:numFmt w:val="bullet"/>
      <w:lvlText w:val="•"/>
      <w:lvlJc w:val="left"/>
      <w:pPr>
        <w:ind w:left="2808" w:hanging="28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0543F36">
      <w:start w:val="1"/>
      <w:numFmt w:val="bullet"/>
      <w:lvlText w:val="•"/>
      <w:lvlJc w:val="left"/>
      <w:pPr>
        <w:ind w:left="3168" w:hanging="28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E4C30"/>
    <w:rsid w:val="00087F86"/>
    <w:rsid w:val="00AA7AB8"/>
    <w:rsid w:val="00EE4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F755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keepNext/>
      <w:tabs>
        <w:tab w:val="right" w:pos="9020"/>
      </w:tabs>
    </w:pPr>
    <w:rPr>
      <w:rFonts w:ascii="Baskerville" w:hAnsi="Baskerville" w:cs="Arial Unicode MS"/>
      <w:caps/>
      <w:color w:val="000000"/>
    </w:rPr>
  </w:style>
  <w:style w:type="paragraph" w:styleId="Subtitle">
    <w:name w:val="Subtitle"/>
    <w:next w:val="Body2"/>
    <w:pPr>
      <w:jc w:val="center"/>
    </w:pPr>
    <w:rPr>
      <w:rFonts w:ascii="Baskerville" w:hAnsi="Baskerville" w:cs="Arial Unicode MS"/>
      <w:color w:val="DC5921"/>
      <w:spacing w:val="6"/>
      <w:sz w:val="64"/>
      <w:szCs w:val="64"/>
    </w:rPr>
  </w:style>
  <w:style w:type="paragraph" w:customStyle="1" w:styleId="Body2">
    <w:name w:val="Body 2"/>
    <w:pPr>
      <w:spacing w:after="80" w:line="288" w:lineRule="auto"/>
    </w:pPr>
    <w:rPr>
      <w:rFonts w:ascii="Baskerville" w:hAnsi="Baskerville" w:cs="Arial Unicode MS"/>
      <w:color w:val="434343"/>
      <w:sz w:val="24"/>
      <w:szCs w:val="24"/>
    </w:rPr>
  </w:style>
  <w:style w:type="paragraph" w:customStyle="1" w:styleId="Body">
    <w:name w:val="Body"/>
    <w:pPr>
      <w:spacing w:line="360" w:lineRule="auto"/>
      <w:ind w:firstLine="540"/>
    </w:pPr>
    <w:rPr>
      <w:rFonts w:ascii="Baskerville" w:eastAsia="Baskerville" w:hAnsi="Baskerville" w:cs="Baskerville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keepNext/>
      <w:tabs>
        <w:tab w:val="right" w:pos="9020"/>
      </w:tabs>
    </w:pPr>
    <w:rPr>
      <w:rFonts w:ascii="Baskerville" w:hAnsi="Baskerville" w:cs="Arial Unicode MS"/>
      <w:caps/>
      <w:color w:val="000000"/>
    </w:rPr>
  </w:style>
  <w:style w:type="paragraph" w:styleId="Subtitle">
    <w:name w:val="Subtitle"/>
    <w:next w:val="Body2"/>
    <w:pPr>
      <w:jc w:val="center"/>
    </w:pPr>
    <w:rPr>
      <w:rFonts w:ascii="Baskerville" w:hAnsi="Baskerville" w:cs="Arial Unicode MS"/>
      <w:color w:val="DC5921"/>
      <w:spacing w:val="6"/>
      <w:sz w:val="64"/>
      <w:szCs w:val="64"/>
    </w:rPr>
  </w:style>
  <w:style w:type="paragraph" w:customStyle="1" w:styleId="Body2">
    <w:name w:val="Body 2"/>
    <w:pPr>
      <w:spacing w:after="80" w:line="288" w:lineRule="auto"/>
    </w:pPr>
    <w:rPr>
      <w:rFonts w:ascii="Baskerville" w:hAnsi="Baskerville" w:cs="Arial Unicode MS"/>
      <w:color w:val="434343"/>
      <w:sz w:val="24"/>
      <w:szCs w:val="24"/>
    </w:rPr>
  </w:style>
  <w:style w:type="paragraph" w:customStyle="1" w:styleId="Body">
    <w:name w:val="Body"/>
    <w:pPr>
      <w:spacing w:line="360" w:lineRule="auto"/>
      <w:ind w:firstLine="540"/>
    </w:pPr>
    <w:rPr>
      <w:rFonts w:ascii="Baskerville" w:eastAsia="Baskerville" w:hAnsi="Baskerville" w:cs="Baskerville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nber.org/papers/w11405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04_Essay">
  <a:themeElements>
    <a:clrScheme name="04_Essay">
      <a:dk1>
        <a:srgbClr val="000000"/>
      </a:dk1>
      <a:lt1>
        <a:srgbClr val="FFFFFF"/>
      </a:lt1>
      <a:dk2>
        <a:srgbClr val="444444"/>
      </a:dk2>
      <a:lt2>
        <a:srgbClr val="AAAAAA"/>
      </a:lt2>
      <a:accent1>
        <a:srgbClr val="A6BACF"/>
      </a:accent1>
      <a:accent2>
        <a:srgbClr val="98A68D"/>
      </a:accent2>
      <a:accent3>
        <a:srgbClr val="E2C07E"/>
      </a:accent3>
      <a:accent4>
        <a:srgbClr val="EA8B60"/>
      </a:accent4>
      <a:accent5>
        <a:srgbClr val="B93E40"/>
      </a:accent5>
      <a:accent6>
        <a:srgbClr val="807898"/>
      </a:accent6>
      <a:hlink>
        <a:srgbClr val="0000FF"/>
      </a:hlink>
      <a:folHlink>
        <a:srgbClr val="FF00FF"/>
      </a:folHlink>
    </a:clrScheme>
    <a:fontScheme name="04_Essay">
      <a:majorFont>
        <a:latin typeface="Baskerville"/>
        <a:ea typeface="Baskerville"/>
        <a:cs typeface="Baskerville"/>
      </a:majorFont>
      <a:minorFont>
        <a:latin typeface="Baskerville SemiBold"/>
        <a:ea typeface="Baskerville SemiBold"/>
        <a:cs typeface="Baskerville SemiBold"/>
      </a:minorFont>
    </a:fontScheme>
    <a:fmtScheme name="04_Essay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2">
            <a:hueOff val="304431"/>
            <a:satOff val="14136"/>
            <a:lumOff val="-27777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AAAAAA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4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444444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297</Words>
  <Characters>1695</Characters>
  <Application>Microsoft Macintosh Word</Application>
  <DocSecurity>0</DocSecurity>
  <Lines>14</Lines>
  <Paragraphs>3</Paragraphs>
  <ScaleCrop>false</ScaleCrop>
  <Company>InVitae</Company>
  <LinksUpToDate>false</LinksUpToDate>
  <CharactersWithSpaces>1989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Jon Sorenson</cp:lastModifiedBy>
  <cp:revision>2</cp:revision>
  <dcterms:created xsi:type="dcterms:W3CDTF">2017-01-24T16:14:00Z</dcterms:created>
  <dcterms:modified xsi:type="dcterms:W3CDTF">2017-01-24T16:14:00Z</dcterms:modified>
</cp:coreProperties>
</file>