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2675" w14:textId="77777777" w:rsidR="002A2813" w:rsidRPr="002A2813" w:rsidRDefault="002A2813" w:rsidP="002A2813">
      <w:pPr>
        <w:rPr>
          <w:b/>
          <w:bCs/>
        </w:rPr>
      </w:pPr>
      <w:r w:rsidRPr="002A2813">
        <w:rPr>
          <w:b/>
          <w:bCs/>
        </w:rPr>
        <w:t>The Best Logic: A Two-Stage Sequential Flowchart</w:t>
      </w:r>
    </w:p>
    <w:p w14:paraId="39D845B3" w14:textId="77777777" w:rsidR="002A2813" w:rsidRPr="002A2813" w:rsidRDefault="002A2813" w:rsidP="002A2813">
      <w:r w:rsidRPr="002A2813">
        <w:t>The most logical way to combine these two decision trees into a single, coherent image is to treat them as two sequential stages of a single process:</w:t>
      </w:r>
    </w:p>
    <w:p w14:paraId="38F6ACC9" w14:textId="77777777" w:rsidR="002A2813" w:rsidRPr="002A2813" w:rsidRDefault="002A2813" w:rsidP="002A2813">
      <w:pPr>
        <w:numPr>
          <w:ilvl w:val="0"/>
          <w:numId w:val="2"/>
        </w:numPr>
      </w:pPr>
      <w:r w:rsidRPr="002A2813">
        <w:t>Stage 1: Chart Selection. The visualization would start with "What is your primary goal?" and guide the user through the first decision tree to arrive at a specific chart type (e.g., Horizontal Bar Chart, Line Chart, Scatterplot). This stage answers the question, "What chart should I use?"</w:t>
      </w:r>
    </w:p>
    <w:p w14:paraId="6A4F5CCE" w14:textId="77777777" w:rsidR="002A2813" w:rsidRPr="002A2813" w:rsidRDefault="002A2813" w:rsidP="002A2813">
      <w:pPr>
        <w:numPr>
          <w:ilvl w:val="0"/>
          <w:numId w:val="2"/>
        </w:numPr>
      </w:pPr>
      <w:r w:rsidRPr="002A2813">
        <w:t xml:space="preserve">Stage 2: Audience Adaptation. The </w:t>
      </w:r>
      <w:proofErr w:type="gramStart"/>
      <w:r w:rsidRPr="002A2813">
        <w:t>outputs</w:t>
      </w:r>
      <w:proofErr w:type="gramEnd"/>
      <w:r w:rsidRPr="002A2813">
        <w:t xml:space="preserve"> from Stage 1 (the recommended chart types) would then flow into the second decision tree. This stage would start with "Who is your primary audience?" and provide specific design principles and best practices based on that audience (e.g., Data/Technical Team, Executive Leadership). This stage answers the question, "How should I design it for my audience?"</w:t>
      </w:r>
    </w:p>
    <w:p w14:paraId="01A8371D" w14:textId="77777777" w:rsidR="002A2813" w:rsidRPr="002A2813" w:rsidRDefault="002A2813" w:rsidP="002A2813">
      <w:r w:rsidRPr="002A2813">
        <w:t>This two-stage approach directly mirrors a data professional's workflow: first, you choose the right chart for the data and task, and second, you refine its design for the intended audience.</w:t>
      </w:r>
    </w:p>
    <w:p w14:paraId="2D56F2B5" w14:textId="77777777" w:rsidR="002A2813" w:rsidRPr="002A2813" w:rsidRDefault="002A2813" w:rsidP="002A2813">
      <w:pPr>
        <w:rPr>
          <w:b/>
          <w:bCs/>
        </w:rPr>
      </w:pPr>
      <w:r w:rsidRPr="002A2813">
        <w:rPr>
          <w:b/>
          <w:bCs/>
        </w:rPr>
        <w:t>The Trade-offs</w:t>
      </w:r>
    </w:p>
    <w:p w14:paraId="7BA9D2CF" w14:textId="77777777" w:rsidR="002A2813" w:rsidRPr="002A2813" w:rsidRDefault="002A2813" w:rsidP="002A2813">
      <w:r w:rsidRPr="002A2813">
        <w:t>While this approach is the most logical, it comes with several trade-offs that need to be managed in the final visualization.</w:t>
      </w:r>
    </w:p>
    <w:tbl>
      <w:tblPr>
        <w:tblW w:w="9450" w:type="dxa"/>
        <w:tblCellMar>
          <w:top w:w="15" w:type="dxa"/>
          <w:left w:w="15" w:type="dxa"/>
          <w:bottom w:w="15" w:type="dxa"/>
          <w:right w:w="15" w:type="dxa"/>
        </w:tblCellMar>
        <w:tblLook w:val="04A0" w:firstRow="1" w:lastRow="0" w:firstColumn="1" w:lastColumn="0" w:noHBand="0" w:noVBand="1"/>
      </w:tblPr>
      <w:tblGrid>
        <w:gridCol w:w="1608"/>
        <w:gridCol w:w="4062"/>
        <w:gridCol w:w="3780"/>
      </w:tblGrid>
      <w:tr w:rsidR="002A2813" w:rsidRPr="002A2813" w14:paraId="14421F36" w14:textId="77777777" w:rsidTr="002A2813">
        <w:tc>
          <w:tcPr>
            <w:tcW w:w="0" w:type="auto"/>
            <w:tcBorders>
              <w:bottom w:val="single" w:sz="6" w:space="0" w:color="E1E3E1"/>
            </w:tcBorders>
            <w:tcMar>
              <w:top w:w="120" w:type="dxa"/>
              <w:left w:w="120" w:type="dxa"/>
              <w:bottom w:w="120" w:type="dxa"/>
              <w:right w:w="120" w:type="dxa"/>
            </w:tcMar>
            <w:hideMark/>
          </w:tcPr>
          <w:p w14:paraId="3D09385D" w14:textId="77777777" w:rsidR="002A2813" w:rsidRPr="002A2813" w:rsidRDefault="002A2813" w:rsidP="002A2813">
            <w:r w:rsidRPr="002A2813">
              <w:t>Trade-off</w:t>
            </w:r>
          </w:p>
        </w:tc>
        <w:tc>
          <w:tcPr>
            <w:tcW w:w="4062" w:type="dxa"/>
            <w:tcBorders>
              <w:bottom w:val="single" w:sz="6" w:space="0" w:color="E1E3E1"/>
            </w:tcBorders>
            <w:tcMar>
              <w:top w:w="120" w:type="dxa"/>
              <w:left w:w="120" w:type="dxa"/>
              <w:bottom w:w="120" w:type="dxa"/>
              <w:right w:w="120" w:type="dxa"/>
            </w:tcMar>
            <w:hideMark/>
          </w:tcPr>
          <w:p w14:paraId="25C40BE6" w14:textId="77777777" w:rsidR="002A2813" w:rsidRPr="002A2813" w:rsidRDefault="002A2813" w:rsidP="002A2813">
            <w:r w:rsidRPr="002A2813">
              <w:t>Description</w:t>
            </w:r>
          </w:p>
        </w:tc>
        <w:tc>
          <w:tcPr>
            <w:tcW w:w="3780" w:type="dxa"/>
            <w:tcBorders>
              <w:bottom w:val="single" w:sz="6" w:space="0" w:color="E1E3E1"/>
            </w:tcBorders>
            <w:tcMar>
              <w:top w:w="120" w:type="dxa"/>
              <w:left w:w="120" w:type="dxa"/>
              <w:bottom w:w="120" w:type="dxa"/>
              <w:right w:w="120" w:type="dxa"/>
            </w:tcMar>
            <w:hideMark/>
          </w:tcPr>
          <w:p w14:paraId="6D092E4D" w14:textId="77777777" w:rsidR="002A2813" w:rsidRPr="002A2813" w:rsidRDefault="002A2813" w:rsidP="002A2813">
            <w:r w:rsidRPr="002A2813">
              <w:t>How to Mitigate</w:t>
            </w:r>
          </w:p>
        </w:tc>
      </w:tr>
      <w:tr w:rsidR="002A2813" w:rsidRPr="002A2813" w14:paraId="4536F448" w14:textId="77777777" w:rsidTr="002A2813">
        <w:tc>
          <w:tcPr>
            <w:tcW w:w="0" w:type="auto"/>
            <w:tcBorders>
              <w:bottom w:val="single" w:sz="6" w:space="0" w:color="E1E3E1"/>
            </w:tcBorders>
            <w:tcMar>
              <w:top w:w="120" w:type="dxa"/>
              <w:left w:w="120" w:type="dxa"/>
              <w:bottom w:w="120" w:type="dxa"/>
              <w:right w:w="120" w:type="dxa"/>
            </w:tcMar>
            <w:hideMark/>
          </w:tcPr>
          <w:p w14:paraId="47B408FF" w14:textId="77777777" w:rsidR="002A2813" w:rsidRPr="002A2813" w:rsidRDefault="002A2813" w:rsidP="002A2813">
            <w:r w:rsidRPr="002A2813">
              <w:t>Complexity &amp; Visual Clutter</w:t>
            </w:r>
          </w:p>
        </w:tc>
        <w:tc>
          <w:tcPr>
            <w:tcW w:w="4062" w:type="dxa"/>
            <w:tcBorders>
              <w:bottom w:val="single" w:sz="6" w:space="0" w:color="E1E3E1"/>
            </w:tcBorders>
            <w:tcMar>
              <w:top w:w="120" w:type="dxa"/>
              <w:left w:w="120" w:type="dxa"/>
              <w:bottom w:w="120" w:type="dxa"/>
              <w:right w:w="120" w:type="dxa"/>
            </w:tcMar>
            <w:hideMark/>
          </w:tcPr>
          <w:p w14:paraId="60CA092F" w14:textId="77777777" w:rsidR="002A2813" w:rsidRPr="002A2813" w:rsidRDefault="002A2813" w:rsidP="002A2813">
            <w:r w:rsidRPr="002A2813">
              <w:t>Combining two detailed trees into one flowchart can create a large, dense, and potentially overwhelming image. The sheer number of branches and text-based recommendations (especially in Tree 2) is the biggest challenge.</w:t>
            </w:r>
          </w:p>
        </w:tc>
        <w:tc>
          <w:tcPr>
            <w:tcW w:w="3780" w:type="dxa"/>
            <w:tcBorders>
              <w:bottom w:val="single" w:sz="6" w:space="0" w:color="E1E3E1"/>
            </w:tcBorders>
            <w:tcMar>
              <w:top w:w="120" w:type="dxa"/>
              <w:left w:w="120" w:type="dxa"/>
              <w:bottom w:w="120" w:type="dxa"/>
              <w:right w:w="120" w:type="dxa"/>
            </w:tcMar>
            <w:hideMark/>
          </w:tcPr>
          <w:p w14:paraId="41CF3527" w14:textId="77777777" w:rsidR="002A2813" w:rsidRPr="002A2813" w:rsidRDefault="002A2813" w:rsidP="002A2813">
            <w:r w:rsidRPr="002A2813">
              <w:t>We will need to be strategic with layout, using clear visual hierarchy, color-coding, and spacing to separate the two stages. Text from the document will be condensed into concise phrases suitable for a flowchart.</w:t>
            </w:r>
          </w:p>
        </w:tc>
      </w:tr>
      <w:tr w:rsidR="002A2813" w:rsidRPr="002A2813" w14:paraId="3FE4CE9B" w14:textId="77777777" w:rsidTr="002A2813">
        <w:tc>
          <w:tcPr>
            <w:tcW w:w="0" w:type="auto"/>
            <w:tcBorders>
              <w:bottom w:val="single" w:sz="6" w:space="0" w:color="E1E3E1"/>
            </w:tcBorders>
            <w:tcMar>
              <w:top w:w="120" w:type="dxa"/>
              <w:left w:w="120" w:type="dxa"/>
              <w:bottom w:w="120" w:type="dxa"/>
              <w:right w:w="120" w:type="dxa"/>
            </w:tcMar>
            <w:hideMark/>
          </w:tcPr>
          <w:p w14:paraId="68464333" w14:textId="77777777" w:rsidR="002A2813" w:rsidRPr="002A2813" w:rsidRDefault="002A2813" w:rsidP="002A2813">
            <w:r w:rsidRPr="002A2813">
              <w:t>Structure Mismatch</w:t>
            </w:r>
          </w:p>
        </w:tc>
        <w:tc>
          <w:tcPr>
            <w:tcW w:w="4062" w:type="dxa"/>
            <w:tcBorders>
              <w:bottom w:val="single" w:sz="6" w:space="0" w:color="E1E3E1"/>
            </w:tcBorders>
            <w:tcMar>
              <w:top w:w="120" w:type="dxa"/>
              <w:left w:w="120" w:type="dxa"/>
              <w:bottom w:w="120" w:type="dxa"/>
              <w:right w:w="120" w:type="dxa"/>
            </w:tcMar>
            <w:hideMark/>
          </w:tcPr>
          <w:p w14:paraId="6A8CDB95" w14:textId="77777777" w:rsidR="002A2813" w:rsidRPr="002A2813" w:rsidRDefault="002A2813" w:rsidP="002A2813">
            <w:r w:rsidRPr="002A2813">
              <w:t xml:space="preserve">The two trees have different structures. Tree 1 is a classic, branching decision tree. Tree 2 is more of a "lookup guide," providing a </w:t>
            </w:r>
            <w:r w:rsidRPr="002A2813">
              <w:lastRenderedPageBreak/>
              <w:t>list of characteristics for each audience rather than further questions. Forcing Tree 2 into a branching format might feel unnatural.</w:t>
            </w:r>
          </w:p>
        </w:tc>
        <w:tc>
          <w:tcPr>
            <w:tcW w:w="3780" w:type="dxa"/>
            <w:tcBorders>
              <w:bottom w:val="single" w:sz="6" w:space="0" w:color="E1E3E1"/>
            </w:tcBorders>
            <w:tcMar>
              <w:top w:w="120" w:type="dxa"/>
              <w:left w:w="120" w:type="dxa"/>
              <w:bottom w:w="120" w:type="dxa"/>
              <w:right w:w="120" w:type="dxa"/>
            </w:tcMar>
            <w:hideMark/>
          </w:tcPr>
          <w:p w14:paraId="38D0DE16" w14:textId="77777777" w:rsidR="002A2813" w:rsidRPr="002A2813" w:rsidRDefault="002A2813" w:rsidP="002A2813">
            <w:r w:rsidRPr="002A2813">
              <w:lastRenderedPageBreak/>
              <w:t xml:space="preserve">Instead of making Tree 2 a set of decision branches, we can represent each audience profile as a distinct "card" or "guideline </w:t>
            </w:r>
            <w:r w:rsidRPr="002A2813">
              <w:lastRenderedPageBreak/>
              <w:t>box." After a user is guided through Stage 1, they would be directed to the relevant audience card in Stage 2.</w:t>
            </w:r>
          </w:p>
        </w:tc>
      </w:tr>
      <w:tr w:rsidR="002A2813" w:rsidRPr="002A2813" w14:paraId="2A808B3F" w14:textId="77777777" w:rsidTr="002A2813">
        <w:tc>
          <w:tcPr>
            <w:tcW w:w="0" w:type="auto"/>
            <w:tcBorders>
              <w:bottom w:val="single" w:sz="6" w:space="0" w:color="E1E3E1"/>
            </w:tcBorders>
            <w:tcMar>
              <w:top w:w="120" w:type="dxa"/>
              <w:left w:w="120" w:type="dxa"/>
              <w:bottom w:w="120" w:type="dxa"/>
              <w:right w:w="120" w:type="dxa"/>
            </w:tcMar>
            <w:hideMark/>
          </w:tcPr>
          <w:p w14:paraId="47D6D744" w14:textId="77777777" w:rsidR="002A2813" w:rsidRPr="002A2813" w:rsidRDefault="002A2813" w:rsidP="002A2813">
            <w:r w:rsidRPr="002A2813">
              <w:lastRenderedPageBreak/>
              <w:t>Loss of Detail</w:t>
            </w:r>
          </w:p>
        </w:tc>
        <w:tc>
          <w:tcPr>
            <w:tcW w:w="4062" w:type="dxa"/>
            <w:tcBorders>
              <w:bottom w:val="single" w:sz="6" w:space="0" w:color="E1E3E1"/>
            </w:tcBorders>
            <w:tcMar>
              <w:top w:w="120" w:type="dxa"/>
              <w:left w:w="120" w:type="dxa"/>
              <w:bottom w:w="120" w:type="dxa"/>
              <w:right w:w="120" w:type="dxa"/>
            </w:tcMar>
            <w:hideMark/>
          </w:tcPr>
          <w:p w14:paraId="180D2612" w14:textId="77777777" w:rsidR="002A2813" w:rsidRPr="002A2813" w:rsidRDefault="002A2813" w:rsidP="002A2813">
            <w:r w:rsidRPr="002A2813">
              <w:t>To maintain readability in a visual format, we cannot include every word from the original document. The detailed explanations and nuances (e.g., "with cautions about area bias") might need to be summarized or represented by icons.</w:t>
            </w:r>
          </w:p>
        </w:tc>
        <w:tc>
          <w:tcPr>
            <w:tcW w:w="3780" w:type="dxa"/>
            <w:tcBorders>
              <w:bottom w:val="single" w:sz="6" w:space="0" w:color="E1E3E1"/>
            </w:tcBorders>
            <w:tcMar>
              <w:top w:w="120" w:type="dxa"/>
              <w:left w:w="120" w:type="dxa"/>
              <w:bottom w:w="120" w:type="dxa"/>
              <w:right w:w="120" w:type="dxa"/>
            </w:tcMar>
            <w:hideMark/>
          </w:tcPr>
          <w:p w14:paraId="4B7A3643" w14:textId="77777777" w:rsidR="002A2813" w:rsidRPr="002A2813" w:rsidRDefault="002A2813" w:rsidP="002A2813">
            <w:r w:rsidRPr="002A2813">
              <w:t xml:space="preserve">The visualization will focus on capturing the core logic and key recommendations. The goal is to create a high-level visual guide that complements the detailed text in the full report, not </w:t>
            </w:r>
            <w:proofErr w:type="gramStart"/>
            <w:r w:rsidRPr="002A2813">
              <w:t>replace</w:t>
            </w:r>
            <w:proofErr w:type="gramEnd"/>
            <w:r w:rsidRPr="002A2813">
              <w:t xml:space="preserve"> it entirely.</w:t>
            </w:r>
          </w:p>
        </w:tc>
      </w:tr>
      <w:tr w:rsidR="002A2813" w:rsidRPr="002A2813" w14:paraId="5664E3E6" w14:textId="77777777" w:rsidTr="002A2813">
        <w:tc>
          <w:tcPr>
            <w:tcW w:w="0" w:type="auto"/>
            <w:tcBorders>
              <w:bottom w:val="nil"/>
            </w:tcBorders>
            <w:tcMar>
              <w:top w:w="120" w:type="dxa"/>
              <w:left w:w="120" w:type="dxa"/>
              <w:bottom w:w="120" w:type="dxa"/>
              <w:right w:w="120" w:type="dxa"/>
            </w:tcMar>
            <w:hideMark/>
          </w:tcPr>
          <w:p w14:paraId="206AC0BD" w14:textId="77777777" w:rsidR="002A2813" w:rsidRPr="002A2813" w:rsidRDefault="002A2813" w:rsidP="002A2813">
            <w:r w:rsidRPr="002A2813">
              <w:t>Physical Layout (Aspect Ratio)</w:t>
            </w:r>
          </w:p>
        </w:tc>
        <w:tc>
          <w:tcPr>
            <w:tcW w:w="4062" w:type="dxa"/>
            <w:tcBorders>
              <w:bottom w:val="nil"/>
            </w:tcBorders>
            <w:tcMar>
              <w:top w:w="120" w:type="dxa"/>
              <w:left w:w="120" w:type="dxa"/>
              <w:bottom w:w="120" w:type="dxa"/>
              <w:right w:w="120" w:type="dxa"/>
            </w:tcMar>
            <w:hideMark/>
          </w:tcPr>
          <w:p w14:paraId="3A70C5C3" w14:textId="77777777" w:rsidR="002A2813" w:rsidRPr="002A2813" w:rsidRDefault="002A2813" w:rsidP="002A2813">
            <w:r w:rsidRPr="002A2813">
              <w:t>A top-to-bottom sequential flowchart will naturally be very tall and narrow. This "portrait" orientation might not fit well in a standard "landscape" presentation slide (16:9 ratio) without becoming too small to read.</w:t>
            </w:r>
          </w:p>
        </w:tc>
        <w:tc>
          <w:tcPr>
            <w:tcW w:w="3780" w:type="dxa"/>
            <w:tcBorders>
              <w:bottom w:val="nil"/>
            </w:tcBorders>
            <w:tcMar>
              <w:top w:w="120" w:type="dxa"/>
              <w:left w:w="120" w:type="dxa"/>
              <w:bottom w:w="120" w:type="dxa"/>
              <w:right w:w="120" w:type="dxa"/>
            </w:tcMar>
            <w:hideMark/>
          </w:tcPr>
          <w:p w14:paraId="135F9F09" w14:textId="77777777" w:rsidR="002A2813" w:rsidRPr="002A2813" w:rsidRDefault="002A2813" w:rsidP="002A2813">
            <w:r w:rsidRPr="002A2813">
              <w:t>We can design the flow from left to right, which is more compatible with a landscape layout. Stage 1 would occupy the left side of the image, flowing into Stage 2 on the right.</w:t>
            </w:r>
          </w:p>
        </w:tc>
      </w:tr>
    </w:tbl>
    <w:p w14:paraId="7787E144" w14:textId="77777777" w:rsidR="002A2813" w:rsidRPr="002A2813" w:rsidRDefault="002A2813" w:rsidP="002A2813">
      <w:r w:rsidRPr="002A2813">
        <w:t> </w:t>
      </w:r>
    </w:p>
    <w:p w14:paraId="32D9F16E" w14:textId="77777777" w:rsidR="002A2813" w:rsidRPr="002A2813" w:rsidRDefault="002A2813" w:rsidP="002A2813">
      <w:r w:rsidRPr="002A2813">
        <w:t>In summary, the best logic is a two-stage flowchart that guides the user from goal to chart type and then to audience-specific design rules. The main challenge is balancing the completeness of the information with the clarity and readability of the final visual, which we can manage through careful design and summarization.</w:t>
      </w:r>
    </w:p>
    <w:p w14:paraId="08C0DD8A" w14:textId="59DCD012" w:rsidR="002A2813" w:rsidRDefault="002A2813">
      <w:r>
        <w:br w:type="page"/>
      </w:r>
    </w:p>
    <w:p w14:paraId="44DD9E53" w14:textId="77777777" w:rsidR="002A2813" w:rsidRPr="002A2813" w:rsidRDefault="002A2813" w:rsidP="002A2813">
      <w:pPr>
        <w:rPr>
          <w:b/>
          <w:bCs/>
        </w:rPr>
      </w:pPr>
      <w:r w:rsidRPr="002A2813">
        <w:rPr>
          <w:b/>
          <w:bCs/>
        </w:rPr>
        <w:lastRenderedPageBreak/>
        <w:t>The Logic: A Recommendation Matrix</w:t>
      </w:r>
    </w:p>
    <w:p w14:paraId="050FA171" w14:textId="77777777" w:rsidR="002A2813" w:rsidRPr="002A2813" w:rsidRDefault="002A2813" w:rsidP="002A2813">
      <w:r w:rsidRPr="002A2813">
        <w:t>Visualizing the content as a matrix would transform the two-step decision process into a single, consolidated reference grid. The logic is to create a lookup table where the user can find the appropriate recommendation by locating the intersection of their goal and their audience.</w:t>
      </w:r>
    </w:p>
    <w:p w14:paraId="43B11616" w14:textId="77777777" w:rsidR="002A2813" w:rsidRPr="002A2813" w:rsidRDefault="002A2813" w:rsidP="002A2813">
      <w:pPr>
        <w:numPr>
          <w:ilvl w:val="0"/>
          <w:numId w:val="3"/>
        </w:numPr>
      </w:pPr>
      <w:r w:rsidRPr="002A2813">
        <w:t>Rows (The "What"): The rows of the matrix would represent the primary data visualization goals identified in Decision Tree 1. Each row would correspond to a specific task, such as "Compare values across categories," "Show change over time," or "Show a part-to-whole relationship."</w:t>
      </w:r>
    </w:p>
    <w:p w14:paraId="7BA92002" w14:textId="77777777" w:rsidR="002A2813" w:rsidRPr="002A2813" w:rsidRDefault="002A2813" w:rsidP="002A2813">
      <w:pPr>
        <w:numPr>
          <w:ilvl w:val="0"/>
          <w:numId w:val="3"/>
        </w:numPr>
      </w:pPr>
      <w:r w:rsidRPr="002A2813">
        <w:t>Columns (The "Who"): The columns would represent the different audience types from Decision Tree 2: "Data/Technical Team," "Program Managers," "Executive Leadership," and "Public/Legislative Audience."</w:t>
      </w:r>
    </w:p>
    <w:p w14:paraId="223DDAA6" w14:textId="77777777" w:rsidR="002A2813" w:rsidRPr="002A2813" w:rsidRDefault="002A2813" w:rsidP="002A2813">
      <w:pPr>
        <w:numPr>
          <w:ilvl w:val="0"/>
          <w:numId w:val="3"/>
        </w:numPr>
      </w:pPr>
      <w:r w:rsidRPr="002A2813">
        <w:t>Cells (The Recommendation): Each cell at the intersection of a row and a column would contain a synthesized recommendation. It would state the recommended chart type from Tree 1, tailored with the specific design considerations and constraints for that audience from Tree 2.</w:t>
      </w:r>
    </w:p>
    <w:p w14:paraId="39F9D7C4" w14:textId="77777777" w:rsidR="002A2813" w:rsidRPr="002A2813" w:rsidRDefault="002A2813" w:rsidP="002A2813">
      <w:r w:rsidRPr="002A2813">
        <w:t>For example, the cell at the intersection of the "Show change over time" row and the "Executive Leadership" column would recommend using a simple Line Chart, leading with a "Big Idea" title, and showing only a few critical metrics.</w:t>
      </w:r>
    </w:p>
    <w:p w14:paraId="40D73C4A" w14:textId="77777777" w:rsidR="002A2813" w:rsidRPr="002A2813" w:rsidRDefault="002A2813" w:rsidP="002A2813">
      <w:pPr>
        <w:rPr>
          <w:b/>
          <w:bCs/>
        </w:rPr>
      </w:pPr>
      <w:r w:rsidRPr="002A2813">
        <w:rPr>
          <w:b/>
          <w:bCs/>
        </w:rPr>
        <w:t>The Trade-offs</w:t>
      </w:r>
    </w:p>
    <w:p w14:paraId="1C30C4AB" w14:textId="77777777" w:rsidR="002A2813" w:rsidRPr="002A2813" w:rsidRDefault="002A2813" w:rsidP="002A2813">
      <w:r w:rsidRPr="002A2813">
        <w:t>This matrix-based approach offers a dense, all-in-one view but comes with a different set of trade-offs compared to the flowchart.</w:t>
      </w:r>
    </w:p>
    <w:tbl>
      <w:tblPr>
        <w:tblW w:w="9630" w:type="dxa"/>
        <w:tblCellMar>
          <w:top w:w="15" w:type="dxa"/>
          <w:left w:w="15" w:type="dxa"/>
          <w:bottom w:w="15" w:type="dxa"/>
          <w:right w:w="15" w:type="dxa"/>
        </w:tblCellMar>
        <w:tblLook w:val="04A0" w:firstRow="1" w:lastRow="0" w:firstColumn="1" w:lastColumn="0" w:noHBand="0" w:noVBand="1"/>
      </w:tblPr>
      <w:tblGrid>
        <w:gridCol w:w="1617"/>
        <w:gridCol w:w="4053"/>
        <w:gridCol w:w="3960"/>
      </w:tblGrid>
      <w:tr w:rsidR="002A2813" w:rsidRPr="002A2813" w14:paraId="4A45FDD9" w14:textId="77777777" w:rsidTr="002A2813">
        <w:tc>
          <w:tcPr>
            <w:tcW w:w="0" w:type="auto"/>
            <w:tcBorders>
              <w:bottom w:val="single" w:sz="6" w:space="0" w:color="E1E3E1"/>
            </w:tcBorders>
            <w:tcMar>
              <w:top w:w="120" w:type="dxa"/>
              <w:left w:w="120" w:type="dxa"/>
              <w:bottom w:w="120" w:type="dxa"/>
              <w:right w:w="120" w:type="dxa"/>
            </w:tcMar>
            <w:hideMark/>
          </w:tcPr>
          <w:p w14:paraId="15F5892C" w14:textId="77777777" w:rsidR="002A2813" w:rsidRPr="002A2813" w:rsidRDefault="002A2813" w:rsidP="002A2813">
            <w:r w:rsidRPr="002A2813">
              <w:t>Trade-off</w:t>
            </w:r>
          </w:p>
        </w:tc>
        <w:tc>
          <w:tcPr>
            <w:tcW w:w="4053" w:type="dxa"/>
            <w:tcBorders>
              <w:bottom w:val="single" w:sz="6" w:space="0" w:color="E1E3E1"/>
            </w:tcBorders>
            <w:tcMar>
              <w:top w:w="120" w:type="dxa"/>
              <w:left w:w="120" w:type="dxa"/>
              <w:bottom w:w="120" w:type="dxa"/>
              <w:right w:w="120" w:type="dxa"/>
            </w:tcMar>
            <w:hideMark/>
          </w:tcPr>
          <w:p w14:paraId="079C278B" w14:textId="77777777" w:rsidR="002A2813" w:rsidRPr="002A2813" w:rsidRDefault="002A2813" w:rsidP="002A2813">
            <w:r w:rsidRPr="002A2813">
              <w:t>Description</w:t>
            </w:r>
          </w:p>
        </w:tc>
        <w:tc>
          <w:tcPr>
            <w:tcW w:w="3960" w:type="dxa"/>
            <w:tcBorders>
              <w:bottom w:val="single" w:sz="6" w:space="0" w:color="E1E3E1"/>
            </w:tcBorders>
            <w:tcMar>
              <w:top w:w="120" w:type="dxa"/>
              <w:left w:w="120" w:type="dxa"/>
              <w:bottom w:w="120" w:type="dxa"/>
              <w:right w:w="120" w:type="dxa"/>
            </w:tcMar>
            <w:hideMark/>
          </w:tcPr>
          <w:p w14:paraId="0CA5A8B6" w14:textId="77777777" w:rsidR="002A2813" w:rsidRPr="002A2813" w:rsidRDefault="002A2813" w:rsidP="002A2813">
            <w:r w:rsidRPr="002A2813">
              <w:t>How to Mitigate</w:t>
            </w:r>
          </w:p>
        </w:tc>
      </w:tr>
      <w:tr w:rsidR="002A2813" w:rsidRPr="002A2813" w14:paraId="61B89349" w14:textId="77777777" w:rsidTr="002A2813">
        <w:tc>
          <w:tcPr>
            <w:tcW w:w="0" w:type="auto"/>
            <w:tcBorders>
              <w:bottom w:val="single" w:sz="6" w:space="0" w:color="E1E3E1"/>
            </w:tcBorders>
            <w:tcMar>
              <w:top w:w="120" w:type="dxa"/>
              <w:left w:w="120" w:type="dxa"/>
              <w:bottom w:w="120" w:type="dxa"/>
              <w:right w:w="120" w:type="dxa"/>
            </w:tcMar>
            <w:hideMark/>
          </w:tcPr>
          <w:p w14:paraId="7A283C5B" w14:textId="77777777" w:rsidR="002A2813" w:rsidRPr="002A2813" w:rsidRDefault="002A2813" w:rsidP="002A2813">
            <w:r w:rsidRPr="002A2813">
              <w:t>Loss of Decision Path Nuance</w:t>
            </w:r>
          </w:p>
        </w:tc>
        <w:tc>
          <w:tcPr>
            <w:tcW w:w="4053" w:type="dxa"/>
            <w:tcBorders>
              <w:bottom w:val="single" w:sz="6" w:space="0" w:color="E1E3E1"/>
            </w:tcBorders>
            <w:tcMar>
              <w:top w:w="120" w:type="dxa"/>
              <w:left w:w="120" w:type="dxa"/>
              <w:bottom w:w="120" w:type="dxa"/>
              <w:right w:w="120" w:type="dxa"/>
            </w:tcMar>
            <w:hideMark/>
          </w:tcPr>
          <w:p w14:paraId="74A056AE" w14:textId="77777777" w:rsidR="002A2813" w:rsidRPr="002A2813" w:rsidRDefault="002A2813" w:rsidP="002A2813">
            <w:r w:rsidRPr="002A2813">
              <w:t>Decision Tree 1 contains sub-branches (e.g., for "Compare values," it offers three different chart types based on the data's characteristics). A simple matrix row for "Compare values" would flatten this logic, losing the "if-then" nuance of the original tree.</w:t>
            </w:r>
          </w:p>
        </w:tc>
        <w:tc>
          <w:tcPr>
            <w:tcW w:w="3960" w:type="dxa"/>
            <w:tcBorders>
              <w:bottom w:val="single" w:sz="6" w:space="0" w:color="E1E3E1"/>
            </w:tcBorders>
            <w:tcMar>
              <w:top w:w="120" w:type="dxa"/>
              <w:left w:w="120" w:type="dxa"/>
              <w:bottom w:w="120" w:type="dxa"/>
              <w:right w:w="120" w:type="dxa"/>
            </w:tcMar>
            <w:hideMark/>
          </w:tcPr>
          <w:p w14:paraId="462A5981" w14:textId="77777777" w:rsidR="002A2813" w:rsidRPr="002A2813" w:rsidRDefault="002A2813" w:rsidP="002A2813">
            <w:r w:rsidRPr="002A2813">
              <w:t>We can create more granular rows (e.g., separate rows for "Compare positive values" and "Compare many categories") or use footnotes and annotations within the cells. However, this increases the matrix's size and complexity.</w:t>
            </w:r>
          </w:p>
        </w:tc>
      </w:tr>
      <w:tr w:rsidR="002A2813" w:rsidRPr="002A2813" w14:paraId="382448E8" w14:textId="77777777" w:rsidTr="002A2813">
        <w:tc>
          <w:tcPr>
            <w:tcW w:w="0" w:type="auto"/>
            <w:tcBorders>
              <w:bottom w:val="single" w:sz="6" w:space="0" w:color="E1E3E1"/>
            </w:tcBorders>
            <w:tcMar>
              <w:top w:w="120" w:type="dxa"/>
              <w:left w:w="120" w:type="dxa"/>
              <w:bottom w:w="120" w:type="dxa"/>
              <w:right w:w="120" w:type="dxa"/>
            </w:tcMar>
            <w:hideMark/>
          </w:tcPr>
          <w:p w14:paraId="00F7472B" w14:textId="77777777" w:rsidR="002A2813" w:rsidRPr="002A2813" w:rsidRDefault="002A2813" w:rsidP="002A2813">
            <w:r w:rsidRPr="002A2813">
              <w:lastRenderedPageBreak/>
              <w:t>Information Repetition</w:t>
            </w:r>
          </w:p>
        </w:tc>
        <w:tc>
          <w:tcPr>
            <w:tcW w:w="4053" w:type="dxa"/>
            <w:tcBorders>
              <w:bottom w:val="single" w:sz="6" w:space="0" w:color="E1E3E1"/>
            </w:tcBorders>
            <w:tcMar>
              <w:top w:w="120" w:type="dxa"/>
              <w:left w:w="120" w:type="dxa"/>
              <w:bottom w:w="120" w:type="dxa"/>
              <w:right w:w="120" w:type="dxa"/>
            </w:tcMar>
            <w:hideMark/>
          </w:tcPr>
          <w:p w14:paraId="2971E276" w14:textId="77777777" w:rsidR="002A2813" w:rsidRPr="002A2813" w:rsidRDefault="002A2813" w:rsidP="002A2813">
            <w:r w:rsidRPr="002A2813">
              <w:t>The design principles in Decision Tree 2 are often general to an audience, regardless of the chart. For example, "Maximum accessibility compliance" applies to all charts for a Public/Legislative audience. Placing this text in every cell of that column would be highly repetitive.</w:t>
            </w:r>
          </w:p>
        </w:tc>
        <w:tc>
          <w:tcPr>
            <w:tcW w:w="3960" w:type="dxa"/>
            <w:tcBorders>
              <w:bottom w:val="single" w:sz="6" w:space="0" w:color="E1E3E1"/>
            </w:tcBorders>
            <w:tcMar>
              <w:top w:w="120" w:type="dxa"/>
              <w:left w:w="120" w:type="dxa"/>
              <w:bottom w:w="120" w:type="dxa"/>
              <w:right w:w="120" w:type="dxa"/>
            </w:tcMar>
            <w:hideMark/>
          </w:tcPr>
          <w:p w14:paraId="1109984C" w14:textId="77777777" w:rsidR="002A2813" w:rsidRPr="002A2813" w:rsidRDefault="002A2813" w:rsidP="002A2813">
            <w:r w:rsidRPr="002A2813">
              <w:t xml:space="preserve">The general, overarching principles for each audience can be placed in the column headers. The cells would then only contain the specific chart type and any unique, chart-relevant advice, thus reducing redundancy and improving </w:t>
            </w:r>
            <w:proofErr w:type="spellStart"/>
            <w:r w:rsidRPr="002A2813">
              <w:t>scannability</w:t>
            </w:r>
            <w:proofErr w:type="spellEnd"/>
            <w:r w:rsidRPr="002A2813">
              <w:t>.</w:t>
            </w:r>
          </w:p>
        </w:tc>
      </w:tr>
      <w:tr w:rsidR="002A2813" w:rsidRPr="002A2813" w14:paraId="35921CC6" w14:textId="77777777" w:rsidTr="002A2813">
        <w:tc>
          <w:tcPr>
            <w:tcW w:w="0" w:type="auto"/>
            <w:tcBorders>
              <w:bottom w:val="single" w:sz="6" w:space="0" w:color="E1E3E1"/>
            </w:tcBorders>
            <w:tcMar>
              <w:top w:w="120" w:type="dxa"/>
              <w:left w:w="120" w:type="dxa"/>
              <w:bottom w:w="120" w:type="dxa"/>
              <w:right w:w="120" w:type="dxa"/>
            </w:tcMar>
            <w:hideMark/>
          </w:tcPr>
          <w:p w14:paraId="630DAB55" w14:textId="77777777" w:rsidR="002A2813" w:rsidRPr="002A2813" w:rsidRDefault="002A2813" w:rsidP="002A2813">
            <w:r w:rsidRPr="002A2813">
              <w:t>Less Intuitive for Novices</w:t>
            </w:r>
          </w:p>
        </w:tc>
        <w:tc>
          <w:tcPr>
            <w:tcW w:w="4053" w:type="dxa"/>
            <w:tcBorders>
              <w:bottom w:val="single" w:sz="6" w:space="0" w:color="E1E3E1"/>
            </w:tcBorders>
            <w:tcMar>
              <w:top w:w="120" w:type="dxa"/>
              <w:left w:w="120" w:type="dxa"/>
              <w:bottom w:w="120" w:type="dxa"/>
              <w:right w:w="120" w:type="dxa"/>
            </w:tcMar>
            <w:hideMark/>
          </w:tcPr>
          <w:p w14:paraId="1E72C322" w14:textId="77777777" w:rsidR="002A2813" w:rsidRPr="002A2813" w:rsidRDefault="002A2813" w:rsidP="002A2813">
            <w:r w:rsidRPr="002A2813">
              <w:t>A flowchart guides a user through a process step-by-step, which is very intuitive. A matrix requires the user to know both their goal and audience upfront and perform a lookup. It acts more as a reference guide than a decision-making tool, which may be less helpful for users who are unsure of their needs.</w:t>
            </w:r>
          </w:p>
        </w:tc>
        <w:tc>
          <w:tcPr>
            <w:tcW w:w="3960" w:type="dxa"/>
            <w:tcBorders>
              <w:bottom w:val="single" w:sz="6" w:space="0" w:color="E1E3E1"/>
            </w:tcBorders>
            <w:tcMar>
              <w:top w:w="120" w:type="dxa"/>
              <w:left w:w="120" w:type="dxa"/>
              <w:bottom w:w="120" w:type="dxa"/>
              <w:right w:w="120" w:type="dxa"/>
            </w:tcMar>
            <w:hideMark/>
          </w:tcPr>
          <w:p w14:paraId="33B4AE5E" w14:textId="77777777" w:rsidR="002A2813" w:rsidRPr="002A2813" w:rsidRDefault="002A2813" w:rsidP="002A2813">
            <w:r w:rsidRPr="002A2813">
              <w:t>We can include a clear "How to use this matrix" guide at the top. Strong visual cues, such as clear grid lines, alternating row colors, and distinct icons, can help guide the user's eye from the row and column headers to the correct intersecting cell.</w:t>
            </w:r>
          </w:p>
        </w:tc>
      </w:tr>
      <w:tr w:rsidR="002A2813" w:rsidRPr="002A2813" w14:paraId="70C6A2DC" w14:textId="77777777" w:rsidTr="002A2813">
        <w:tc>
          <w:tcPr>
            <w:tcW w:w="0" w:type="auto"/>
            <w:tcBorders>
              <w:bottom w:val="nil"/>
            </w:tcBorders>
            <w:tcMar>
              <w:top w:w="120" w:type="dxa"/>
              <w:left w:w="120" w:type="dxa"/>
              <w:bottom w:w="120" w:type="dxa"/>
              <w:right w:w="120" w:type="dxa"/>
            </w:tcMar>
            <w:hideMark/>
          </w:tcPr>
          <w:p w14:paraId="41669C7D" w14:textId="77777777" w:rsidR="002A2813" w:rsidRPr="002A2813" w:rsidRDefault="002A2813" w:rsidP="002A2813">
            <w:r w:rsidRPr="002A2813">
              <w:t>High Information Density</w:t>
            </w:r>
          </w:p>
        </w:tc>
        <w:tc>
          <w:tcPr>
            <w:tcW w:w="4053" w:type="dxa"/>
            <w:tcBorders>
              <w:bottom w:val="nil"/>
            </w:tcBorders>
            <w:tcMar>
              <w:top w:w="120" w:type="dxa"/>
              <w:left w:w="120" w:type="dxa"/>
              <w:bottom w:w="120" w:type="dxa"/>
              <w:right w:w="120" w:type="dxa"/>
            </w:tcMar>
            <w:hideMark/>
          </w:tcPr>
          <w:p w14:paraId="188E48F8" w14:textId="77777777" w:rsidR="002A2813" w:rsidRPr="002A2813" w:rsidRDefault="002A2813" w:rsidP="002A2813">
            <w:r w:rsidRPr="002A2813">
              <w:t>By its nature, a matrix combining two detailed trees will have cells packed with information. This can result in a visually dense and potentially cluttered graphic where the key takeaways are difficult to extract quickly.</w:t>
            </w:r>
          </w:p>
        </w:tc>
        <w:tc>
          <w:tcPr>
            <w:tcW w:w="3960" w:type="dxa"/>
            <w:tcBorders>
              <w:bottom w:val="nil"/>
            </w:tcBorders>
            <w:tcMar>
              <w:top w:w="120" w:type="dxa"/>
              <w:left w:w="120" w:type="dxa"/>
              <w:bottom w:w="120" w:type="dxa"/>
              <w:right w:w="120" w:type="dxa"/>
            </w:tcMar>
            <w:hideMark/>
          </w:tcPr>
          <w:p w14:paraId="2592189A" w14:textId="77777777" w:rsidR="002A2813" w:rsidRPr="002A2813" w:rsidRDefault="002A2813" w:rsidP="002A2813">
            <w:r w:rsidRPr="002A2813">
              <w:t>We must aggressively summarize the recommendations into short, actionable phrases. The use of icons to represent recurring concepts (e.g., an icon for "accessibility" or "simplicity") can replace text and make the matrix more visually breathable.</w:t>
            </w:r>
          </w:p>
        </w:tc>
      </w:tr>
    </w:tbl>
    <w:p w14:paraId="0F62C6BD" w14:textId="77777777" w:rsidR="002A2813" w:rsidRPr="002A2813" w:rsidRDefault="002A2813" w:rsidP="002A2813">
      <w:r w:rsidRPr="002A2813">
        <w:t> </w:t>
      </w:r>
    </w:p>
    <w:p w14:paraId="5B6EFB07" w14:textId="77777777" w:rsidR="002A2813" w:rsidRPr="002A2813" w:rsidRDefault="002A2813" w:rsidP="002A2813">
      <w:r w:rsidRPr="002A2813">
        <w:t>In short, the matrix approach excels at providing a comprehensive, at-a-glance reference for users who already have a clear idea of what they need to do and who their audience is. Its primary weakness is the loss of the guided, step-by-step process inherent in the original decision trees.</w:t>
      </w:r>
    </w:p>
    <w:p w14:paraId="07272A3E" w14:textId="77777777" w:rsidR="00B16992" w:rsidRDefault="00B16992" w:rsidP="002A2813"/>
    <w:sectPr w:rsidR="00B169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B5E"/>
    <w:multiLevelType w:val="multilevel"/>
    <w:tmpl w:val="AE708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F3B63"/>
    <w:multiLevelType w:val="multilevel"/>
    <w:tmpl w:val="222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054050"/>
    <w:multiLevelType w:val="hybridMultilevel"/>
    <w:tmpl w:val="4E8A7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7465524">
    <w:abstractNumId w:val="2"/>
  </w:num>
  <w:num w:numId="2" w16cid:durableId="21251807">
    <w:abstractNumId w:val="1"/>
  </w:num>
  <w:num w:numId="3" w16cid:durableId="174263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92"/>
    <w:rsid w:val="002535C0"/>
    <w:rsid w:val="002A2813"/>
    <w:rsid w:val="008E459E"/>
    <w:rsid w:val="00994FCB"/>
    <w:rsid w:val="00B16992"/>
    <w:rsid w:val="00BC16C9"/>
    <w:rsid w:val="00E1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6BEFC"/>
  <w15:chartTrackingRefBased/>
  <w15:docId w15:val="{FC56A7A9-E00F-4AAA-AD13-A19527A68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992"/>
    <w:rPr>
      <w:rFonts w:eastAsiaTheme="majorEastAsia" w:cstheme="majorBidi"/>
      <w:color w:val="272727" w:themeColor="text1" w:themeTint="D8"/>
    </w:rPr>
  </w:style>
  <w:style w:type="paragraph" w:styleId="Title">
    <w:name w:val="Title"/>
    <w:basedOn w:val="Normal"/>
    <w:next w:val="Normal"/>
    <w:link w:val="TitleChar"/>
    <w:uiPriority w:val="10"/>
    <w:qFormat/>
    <w:rsid w:val="00B16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992"/>
    <w:pPr>
      <w:spacing w:before="160"/>
      <w:jc w:val="center"/>
    </w:pPr>
    <w:rPr>
      <w:i/>
      <w:iCs/>
      <w:color w:val="404040" w:themeColor="text1" w:themeTint="BF"/>
    </w:rPr>
  </w:style>
  <w:style w:type="character" w:customStyle="1" w:styleId="QuoteChar">
    <w:name w:val="Quote Char"/>
    <w:basedOn w:val="DefaultParagraphFont"/>
    <w:link w:val="Quote"/>
    <w:uiPriority w:val="29"/>
    <w:rsid w:val="00B16992"/>
    <w:rPr>
      <w:i/>
      <w:iCs/>
      <w:color w:val="404040" w:themeColor="text1" w:themeTint="BF"/>
    </w:rPr>
  </w:style>
  <w:style w:type="paragraph" w:styleId="ListParagraph">
    <w:name w:val="List Paragraph"/>
    <w:basedOn w:val="Normal"/>
    <w:uiPriority w:val="34"/>
    <w:qFormat/>
    <w:rsid w:val="00B16992"/>
    <w:pPr>
      <w:ind w:left="720"/>
      <w:contextualSpacing/>
    </w:pPr>
  </w:style>
  <w:style w:type="character" w:styleId="IntenseEmphasis">
    <w:name w:val="Intense Emphasis"/>
    <w:basedOn w:val="DefaultParagraphFont"/>
    <w:uiPriority w:val="21"/>
    <w:qFormat/>
    <w:rsid w:val="00B16992"/>
    <w:rPr>
      <w:i/>
      <w:iCs/>
      <w:color w:val="0F4761" w:themeColor="accent1" w:themeShade="BF"/>
    </w:rPr>
  </w:style>
  <w:style w:type="paragraph" w:styleId="IntenseQuote">
    <w:name w:val="Intense Quote"/>
    <w:basedOn w:val="Normal"/>
    <w:next w:val="Normal"/>
    <w:link w:val="IntenseQuoteChar"/>
    <w:uiPriority w:val="30"/>
    <w:qFormat/>
    <w:rsid w:val="00B16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992"/>
    <w:rPr>
      <w:i/>
      <w:iCs/>
      <w:color w:val="0F4761" w:themeColor="accent1" w:themeShade="BF"/>
    </w:rPr>
  </w:style>
  <w:style w:type="character" w:styleId="IntenseReference">
    <w:name w:val="Intense Reference"/>
    <w:basedOn w:val="DefaultParagraphFont"/>
    <w:uiPriority w:val="32"/>
    <w:qFormat/>
    <w:rsid w:val="00B169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Korous, Kevin (ACF) (CTR)</dc:creator>
  <cp:keywords/>
  <dc:description/>
  <cp:lastModifiedBy>Korous, Kevin (ACF) (CTR)</cp:lastModifiedBy>
  <cp:revision>1</cp:revision>
  <dcterms:created xsi:type="dcterms:W3CDTF">2026-02-20T15:06:00Z</dcterms:created>
  <dcterms:modified xsi:type="dcterms:W3CDTF">2026-02-20T15:27:00Z</dcterms:modified>
</cp:coreProperties>
</file>