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CF9F" w14:textId="77777777" w:rsidR="00C25FE3" w:rsidRPr="00C25FE3" w:rsidRDefault="00C25FE3" w:rsidP="00C25FE3">
      <w:pPr>
        <w:rPr>
          <w:b/>
          <w:bCs/>
        </w:rPr>
      </w:pPr>
      <w:r w:rsidRPr="00C25FE3">
        <w:rPr>
          <w:b/>
          <w:bCs/>
        </w:rPr>
        <w:t>The Art and Science of Data Visualization: Validated Best Practices for Government and Executive Audiences</w:t>
      </w:r>
    </w:p>
    <w:p w14:paraId="79B7E7A4" w14:textId="77777777" w:rsidR="00C25FE3" w:rsidRPr="00C25FE3" w:rsidRDefault="00C25FE3" w:rsidP="00C25FE3">
      <w:pPr>
        <w:rPr>
          <w:b/>
          <w:bCs/>
        </w:rPr>
      </w:pPr>
      <w:r w:rsidRPr="00C25FE3">
        <w:rPr>
          <w:b/>
          <w:bCs/>
        </w:rPr>
        <w:t>Executive Summary (Revised)</w:t>
      </w:r>
    </w:p>
    <w:p w14:paraId="1F3E7976" w14:textId="77777777" w:rsidR="00C25FE3" w:rsidRPr="00C25FE3" w:rsidRDefault="00C25FE3" w:rsidP="00C25FE3">
      <w:r w:rsidRPr="00C25FE3">
        <w:t>Effective data visualization is essential for informed decision-making in government. Valid best practices are grounded in perceptual science, narrative clarity, accessibility, and equity. Research by Cleveland &amp; McGill and Jacques Bertin demonstrates that visual encodings based on position along a common scale are interpreted most accurately, while encodings based on area, color, and volume are less precise. These principles should guide chart selection, particularly when communicating to executive leadership.</w:t>
      </w:r>
    </w:p>
    <w:p w14:paraId="3AC67983" w14:textId="77777777" w:rsidR="00C25FE3" w:rsidRPr="00C25FE3" w:rsidRDefault="00C25FE3" w:rsidP="00C25FE3">
      <w:r w:rsidRPr="00C25FE3">
        <w:t xml:space="preserve">Narrative-focused methods, notably Cole Nussbaumer Knaflic’s </w:t>
      </w:r>
      <w:r w:rsidRPr="00C25FE3">
        <w:rPr>
          <w:i/>
          <w:iCs/>
        </w:rPr>
        <w:t>Storytelling with Data</w:t>
      </w:r>
      <w:r w:rsidRPr="00C25FE3">
        <w:t xml:space="preserve"> framework, emphasize defining a clear “Big Idea,” reducing clutter, and guiding attention through active titles and annotations. Dashboard design research by Stephen Few further shows that executives and managers benefit from concise, </w:t>
      </w:r>
      <w:proofErr w:type="gramStart"/>
      <w:r w:rsidRPr="00C25FE3">
        <w:t>single-screen</w:t>
      </w:r>
      <w:proofErr w:type="gramEnd"/>
      <w:r w:rsidRPr="00C25FE3">
        <w:t xml:space="preserve"> displays emphasizing performance against goals.</w:t>
      </w:r>
    </w:p>
    <w:p w14:paraId="6B3061AA" w14:textId="77777777" w:rsidR="00C25FE3" w:rsidRPr="00C25FE3" w:rsidRDefault="00C25FE3" w:rsidP="00C25FE3">
      <w:r w:rsidRPr="00C25FE3">
        <w:t>In government contexts, accessibility and equity are non</w:t>
      </w:r>
      <w:r w:rsidRPr="00C25FE3">
        <w:noBreakHyphen/>
        <w:t xml:space="preserve">negotiable. Adherence to USWDS, WCAG, and related guidance ensures visualizations are usable by all audiences, while the Urban Institute’s </w:t>
      </w:r>
      <w:r w:rsidRPr="00C25FE3">
        <w:rPr>
          <w:i/>
          <w:iCs/>
        </w:rPr>
        <w:t>Do No Harm</w:t>
      </w:r>
      <w:r w:rsidRPr="00C25FE3">
        <w:t xml:space="preserve"> framework emphasizes people</w:t>
      </w:r>
      <w:r w:rsidRPr="00C25FE3">
        <w:noBreakHyphen/>
        <w:t>first language, contextualization of disparities, and avoidance of visual bias. When combined, these principles enable data to credibly inform policy, oversight, and executive action.</w:t>
      </w:r>
    </w:p>
    <w:p w14:paraId="3A1FB71C" w14:textId="77777777" w:rsidR="00C25FE3" w:rsidRPr="00C25FE3" w:rsidRDefault="00C25FE3" w:rsidP="00C25FE3">
      <w:r w:rsidRPr="00C25FE3">
        <w:pict w14:anchorId="1BDE074A">
          <v:rect id="_x0000_i1067" style="width:0;height:1.5pt" o:hralign="center" o:hrstd="t" o:hr="t" fillcolor="#a0a0a0" stroked="f"/>
        </w:pict>
      </w:r>
    </w:p>
    <w:p w14:paraId="6DC08CDA" w14:textId="77777777" w:rsidR="00C25FE3" w:rsidRPr="00C25FE3" w:rsidRDefault="00C25FE3" w:rsidP="00C25FE3">
      <w:pPr>
        <w:rPr>
          <w:b/>
          <w:bCs/>
        </w:rPr>
      </w:pPr>
      <w:r w:rsidRPr="00C25FE3">
        <w:rPr>
          <w:b/>
          <w:bCs/>
        </w:rPr>
        <w:t>I. Foundational Principles of Effective Data Visualization</w:t>
      </w:r>
    </w:p>
    <w:p w14:paraId="0EE885AD" w14:textId="77777777" w:rsidR="00C25FE3" w:rsidRPr="00C25FE3" w:rsidRDefault="00C25FE3" w:rsidP="00C25FE3">
      <w:pPr>
        <w:rPr>
          <w:b/>
          <w:bCs/>
        </w:rPr>
      </w:pPr>
      <w:r w:rsidRPr="00C25FE3">
        <w:rPr>
          <w:b/>
          <w:bCs/>
        </w:rPr>
        <w:t>A. Perceptual Accuracy and Graphical Encoding</w:t>
      </w:r>
    </w:p>
    <w:p w14:paraId="095D08B4" w14:textId="77777777" w:rsidR="00C25FE3" w:rsidRPr="00C25FE3" w:rsidRDefault="00C25FE3" w:rsidP="00C25FE3">
      <w:r w:rsidRPr="00C25FE3">
        <w:rPr>
          <w:b/>
          <w:bCs/>
        </w:rPr>
        <w:t>Validated finding:</w:t>
      </w:r>
      <w:r w:rsidRPr="00C25FE3">
        <w:t xml:space="preserve"> The accuracy with which people interpret charts depends on the perceptual task required.</w:t>
      </w:r>
    </w:p>
    <w:p w14:paraId="5123A679" w14:textId="77777777" w:rsidR="00C25FE3" w:rsidRPr="00C25FE3" w:rsidRDefault="00C25FE3" w:rsidP="00C25FE3">
      <w:pPr>
        <w:numPr>
          <w:ilvl w:val="0"/>
          <w:numId w:val="1"/>
        </w:numPr>
      </w:pPr>
      <w:r w:rsidRPr="00C25FE3">
        <w:rPr>
          <w:b/>
          <w:bCs/>
        </w:rPr>
        <w:t>Highest accuracy:</w:t>
      </w:r>
      <w:r w:rsidRPr="00C25FE3">
        <w:t xml:space="preserve"> Position on a common scale (e.g., bar charts, dot plots)</w:t>
      </w:r>
    </w:p>
    <w:p w14:paraId="5FB65BED" w14:textId="77777777" w:rsidR="00C25FE3" w:rsidRPr="00C25FE3" w:rsidRDefault="00C25FE3" w:rsidP="00C25FE3">
      <w:pPr>
        <w:numPr>
          <w:ilvl w:val="0"/>
          <w:numId w:val="1"/>
        </w:numPr>
      </w:pPr>
      <w:r w:rsidRPr="00C25FE3">
        <w:rPr>
          <w:b/>
          <w:bCs/>
        </w:rPr>
        <w:t>Moderate accuracy:</w:t>
      </w:r>
      <w:r w:rsidRPr="00C25FE3">
        <w:t xml:space="preserve"> Length, angle, slope (e.g., bars without baselines, line charts)</w:t>
      </w:r>
    </w:p>
    <w:p w14:paraId="71F1897B" w14:textId="77777777" w:rsidR="00C25FE3" w:rsidRPr="00C25FE3" w:rsidRDefault="00C25FE3" w:rsidP="00C25FE3">
      <w:pPr>
        <w:numPr>
          <w:ilvl w:val="0"/>
          <w:numId w:val="1"/>
        </w:numPr>
      </w:pPr>
      <w:r w:rsidRPr="00C25FE3">
        <w:rPr>
          <w:b/>
          <w:bCs/>
        </w:rPr>
        <w:t>Lower accuracy:</w:t>
      </w:r>
      <w:r w:rsidRPr="00C25FE3">
        <w:t xml:space="preserve"> Area, volume, curvature</w:t>
      </w:r>
    </w:p>
    <w:p w14:paraId="5A343396" w14:textId="77777777" w:rsidR="00C25FE3" w:rsidRPr="00C25FE3" w:rsidRDefault="00C25FE3" w:rsidP="00C25FE3">
      <w:pPr>
        <w:numPr>
          <w:ilvl w:val="0"/>
          <w:numId w:val="1"/>
        </w:numPr>
      </w:pPr>
      <w:r w:rsidRPr="00C25FE3">
        <w:rPr>
          <w:b/>
          <w:bCs/>
        </w:rPr>
        <w:t>Lowest accuracy:</w:t>
      </w:r>
      <w:r w:rsidRPr="00C25FE3">
        <w:t xml:space="preserve"> Color saturation and shading</w:t>
      </w:r>
    </w:p>
    <w:p w14:paraId="1FABDDBB" w14:textId="77777777" w:rsidR="00C25FE3" w:rsidRPr="00C25FE3" w:rsidRDefault="00C25FE3" w:rsidP="00C25FE3">
      <w:r w:rsidRPr="00C25FE3">
        <w:rPr>
          <w:b/>
          <w:bCs/>
        </w:rPr>
        <w:t>Implication:</w:t>
      </w:r>
      <w:r w:rsidRPr="00C25FE3">
        <w:t xml:space="preserve"> Encode the most important comparisons using position on a common baseline whenever possible.</w:t>
      </w:r>
    </w:p>
    <w:p w14:paraId="1F66196A" w14:textId="77777777" w:rsidR="00C25FE3" w:rsidRPr="00C25FE3" w:rsidRDefault="00C25FE3" w:rsidP="00C25FE3">
      <w:pPr>
        <w:rPr>
          <w:b/>
          <w:bCs/>
        </w:rPr>
      </w:pPr>
      <w:r w:rsidRPr="00C25FE3">
        <w:rPr>
          <w:b/>
          <w:bCs/>
        </w:rPr>
        <w:t>B. Visual Variables (Bertin)</w:t>
      </w:r>
    </w:p>
    <w:p w14:paraId="2AE9C01D" w14:textId="77777777" w:rsidR="00C25FE3" w:rsidRPr="00C25FE3" w:rsidRDefault="00C25FE3" w:rsidP="00C25FE3">
      <w:r w:rsidRPr="00C25FE3">
        <w:lastRenderedPageBreak/>
        <w:t>Visual variables fall into two functional classes:</w:t>
      </w:r>
    </w:p>
    <w:p w14:paraId="647BF2BF" w14:textId="77777777" w:rsidR="00C25FE3" w:rsidRPr="00C25FE3" w:rsidRDefault="00C25FE3" w:rsidP="00C25FE3">
      <w:pPr>
        <w:numPr>
          <w:ilvl w:val="0"/>
          <w:numId w:val="2"/>
        </w:numPr>
      </w:pPr>
      <w:r w:rsidRPr="00C25FE3">
        <w:rPr>
          <w:b/>
          <w:bCs/>
        </w:rPr>
        <w:t>Ordered variables</w:t>
      </w:r>
      <w:r w:rsidRPr="00C25FE3">
        <w:t xml:space="preserve"> (position, size, lightness): appropriate for quantitative or ordinal data</w:t>
      </w:r>
    </w:p>
    <w:p w14:paraId="021C7DE8" w14:textId="77777777" w:rsidR="00C25FE3" w:rsidRPr="00C25FE3" w:rsidRDefault="00C25FE3" w:rsidP="00C25FE3">
      <w:pPr>
        <w:numPr>
          <w:ilvl w:val="0"/>
          <w:numId w:val="2"/>
        </w:numPr>
      </w:pPr>
      <w:r w:rsidRPr="00C25FE3">
        <w:rPr>
          <w:b/>
          <w:bCs/>
        </w:rPr>
        <w:t>Associative variables</w:t>
      </w:r>
      <w:r w:rsidRPr="00C25FE3">
        <w:t xml:space="preserve"> (color hue, shape): appropriate for categorical data</w:t>
      </w:r>
    </w:p>
    <w:p w14:paraId="1A16CBB4" w14:textId="77777777" w:rsidR="00C25FE3" w:rsidRPr="00C25FE3" w:rsidRDefault="00C25FE3" w:rsidP="00C25FE3">
      <w:r w:rsidRPr="00C25FE3">
        <w:rPr>
          <w:b/>
          <w:bCs/>
        </w:rPr>
        <w:t>Validated finding:</w:t>
      </w:r>
      <w:r w:rsidRPr="00C25FE3">
        <w:t xml:space="preserve"> Misuse of associative variables to encode magnitude (e.g., color hue gradients for numeric comparison) reduces interpretability.</w:t>
      </w:r>
    </w:p>
    <w:p w14:paraId="7791887D" w14:textId="77777777" w:rsidR="00C25FE3" w:rsidRPr="00C25FE3" w:rsidRDefault="00C25FE3" w:rsidP="00C25FE3">
      <w:r w:rsidRPr="00C25FE3">
        <w:pict w14:anchorId="2FCA63E5">
          <v:rect id="_x0000_i1068" style="width:0;height:1.5pt" o:hralign="center" o:hrstd="t" o:hr="t" fillcolor="#a0a0a0" stroked="f"/>
        </w:pict>
      </w:r>
    </w:p>
    <w:p w14:paraId="252E1AEC" w14:textId="77777777" w:rsidR="00C25FE3" w:rsidRPr="00C25FE3" w:rsidRDefault="00C25FE3" w:rsidP="00C25FE3">
      <w:pPr>
        <w:rPr>
          <w:b/>
          <w:bCs/>
        </w:rPr>
      </w:pPr>
      <w:r w:rsidRPr="00C25FE3">
        <w:rPr>
          <w:b/>
          <w:bCs/>
        </w:rPr>
        <w:t>II. Narrative and Explanatory Design</w:t>
      </w:r>
    </w:p>
    <w:p w14:paraId="74CB9EC8" w14:textId="77777777" w:rsidR="00C25FE3" w:rsidRPr="00C25FE3" w:rsidRDefault="00C25FE3" w:rsidP="00C25FE3">
      <w:pPr>
        <w:rPr>
          <w:b/>
          <w:bCs/>
        </w:rPr>
      </w:pPr>
      <w:r w:rsidRPr="00C25FE3">
        <w:rPr>
          <w:b/>
          <w:bCs/>
        </w:rPr>
        <w:t>A. From Analysis to Communication</w:t>
      </w:r>
    </w:p>
    <w:p w14:paraId="429750B3" w14:textId="77777777" w:rsidR="00C25FE3" w:rsidRPr="00C25FE3" w:rsidRDefault="00C25FE3" w:rsidP="00C25FE3">
      <w:r w:rsidRPr="00C25FE3">
        <w:t>Exploratory analysis and explanatory communication serve different purposes. Executive-facing visualizations should be explanatory: they answer a question and support a decision.</w:t>
      </w:r>
    </w:p>
    <w:p w14:paraId="41FFA830" w14:textId="77777777" w:rsidR="00C25FE3" w:rsidRPr="00C25FE3" w:rsidRDefault="00C25FE3" w:rsidP="00C25FE3">
      <w:pPr>
        <w:rPr>
          <w:b/>
          <w:bCs/>
        </w:rPr>
      </w:pPr>
      <w:r w:rsidRPr="00C25FE3">
        <w:rPr>
          <w:b/>
          <w:bCs/>
        </w:rPr>
        <w:t xml:space="preserve">B. The </w:t>
      </w:r>
      <w:proofErr w:type="spellStart"/>
      <w:r w:rsidRPr="00C25FE3">
        <w:rPr>
          <w:b/>
          <w:bCs/>
        </w:rPr>
        <w:t>Knaflic</w:t>
      </w:r>
      <w:proofErr w:type="spellEnd"/>
      <w:r w:rsidRPr="00C25FE3">
        <w:rPr>
          <w:b/>
          <w:bCs/>
        </w:rPr>
        <w:t xml:space="preserve"> Method (Validated)</w:t>
      </w:r>
    </w:p>
    <w:p w14:paraId="07E40605" w14:textId="77777777" w:rsidR="00C25FE3" w:rsidRPr="00C25FE3" w:rsidRDefault="00C25FE3" w:rsidP="00C25FE3">
      <w:pPr>
        <w:numPr>
          <w:ilvl w:val="0"/>
          <w:numId w:val="3"/>
        </w:numPr>
      </w:pPr>
      <w:r w:rsidRPr="00C25FE3">
        <w:rPr>
          <w:b/>
          <w:bCs/>
        </w:rPr>
        <w:t>Understand the context</w:t>
      </w:r>
      <w:r w:rsidRPr="00C25FE3">
        <w:t xml:space="preserve"> – audience, decision, and action</w:t>
      </w:r>
    </w:p>
    <w:p w14:paraId="51C7935B" w14:textId="77777777" w:rsidR="00C25FE3" w:rsidRPr="00C25FE3" w:rsidRDefault="00C25FE3" w:rsidP="00C25FE3">
      <w:pPr>
        <w:numPr>
          <w:ilvl w:val="0"/>
          <w:numId w:val="3"/>
        </w:numPr>
      </w:pPr>
      <w:r w:rsidRPr="00C25FE3">
        <w:rPr>
          <w:b/>
          <w:bCs/>
        </w:rPr>
        <w:t>Define the Big Idea</w:t>
      </w:r>
      <w:r w:rsidRPr="00C25FE3">
        <w:t xml:space="preserve"> – one sentence stating the takeaway and why it matters</w:t>
      </w:r>
    </w:p>
    <w:p w14:paraId="706CE3F8" w14:textId="77777777" w:rsidR="00C25FE3" w:rsidRPr="00C25FE3" w:rsidRDefault="00C25FE3" w:rsidP="00C25FE3">
      <w:pPr>
        <w:numPr>
          <w:ilvl w:val="0"/>
          <w:numId w:val="3"/>
        </w:numPr>
      </w:pPr>
      <w:r w:rsidRPr="00C25FE3">
        <w:rPr>
          <w:b/>
          <w:bCs/>
        </w:rPr>
        <w:t>Select simple visuals</w:t>
      </w:r>
      <w:r w:rsidRPr="00C25FE3">
        <w:t xml:space="preserve"> – bar, line, dot, small multiples</w:t>
      </w:r>
    </w:p>
    <w:p w14:paraId="1C72A01A" w14:textId="77777777" w:rsidR="00C25FE3" w:rsidRPr="00C25FE3" w:rsidRDefault="00C25FE3" w:rsidP="00C25FE3">
      <w:pPr>
        <w:numPr>
          <w:ilvl w:val="0"/>
          <w:numId w:val="3"/>
        </w:numPr>
      </w:pPr>
      <w:r w:rsidRPr="00C25FE3">
        <w:rPr>
          <w:b/>
          <w:bCs/>
        </w:rPr>
        <w:t>Eliminate clutter</w:t>
      </w:r>
      <w:r w:rsidRPr="00C25FE3">
        <w:t xml:space="preserve"> – maximize signal-to-noise (Tufte’s data-ink principle)</w:t>
      </w:r>
    </w:p>
    <w:p w14:paraId="7474B46C" w14:textId="77777777" w:rsidR="00C25FE3" w:rsidRPr="00C25FE3" w:rsidRDefault="00C25FE3" w:rsidP="00C25FE3">
      <w:pPr>
        <w:numPr>
          <w:ilvl w:val="0"/>
          <w:numId w:val="3"/>
        </w:numPr>
      </w:pPr>
      <w:r w:rsidRPr="00C25FE3">
        <w:rPr>
          <w:b/>
          <w:bCs/>
        </w:rPr>
        <w:t>Direct attention</w:t>
      </w:r>
      <w:r w:rsidRPr="00C25FE3">
        <w:t xml:space="preserve"> – purposeful use of color and annotation</w:t>
      </w:r>
    </w:p>
    <w:p w14:paraId="3C3A8F2B" w14:textId="77777777" w:rsidR="00C25FE3" w:rsidRPr="00C25FE3" w:rsidRDefault="00C25FE3" w:rsidP="00C25FE3">
      <w:pPr>
        <w:numPr>
          <w:ilvl w:val="0"/>
          <w:numId w:val="3"/>
        </w:numPr>
      </w:pPr>
      <w:r w:rsidRPr="00C25FE3">
        <w:rPr>
          <w:b/>
          <w:bCs/>
        </w:rPr>
        <w:t>Use active titles</w:t>
      </w:r>
      <w:r w:rsidRPr="00C25FE3">
        <w:t xml:space="preserve"> – state the conclusion, not the topic</w:t>
      </w:r>
    </w:p>
    <w:p w14:paraId="2D9328E2" w14:textId="77777777" w:rsidR="00C25FE3" w:rsidRPr="00C25FE3" w:rsidRDefault="00C25FE3" w:rsidP="00C25FE3">
      <w:r w:rsidRPr="00C25FE3">
        <w:rPr>
          <w:b/>
          <w:bCs/>
        </w:rPr>
        <w:t>Validated finding:</w:t>
      </w:r>
      <w:r w:rsidRPr="00C25FE3">
        <w:t xml:space="preserve"> These techniques improve comprehension and decision recall without increasing cognitive load.</w:t>
      </w:r>
    </w:p>
    <w:p w14:paraId="01942BCA" w14:textId="77777777" w:rsidR="00C25FE3" w:rsidRPr="00C25FE3" w:rsidRDefault="00C25FE3" w:rsidP="00C25FE3">
      <w:r w:rsidRPr="00C25FE3">
        <w:pict w14:anchorId="02672302">
          <v:rect id="_x0000_i1069" style="width:0;height:1.5pt" o:hralign="center" o:hrstd="t" o:hr="t" fillcolor="#a0a0a0" stroked="f"/>
        </w:pict>
      </w:r>
    </w:p>
    <w:p w14:paraId="2C609503" w14:textId="77777777" w:rsidR="00C25FE3" w:rsidRPr="00C25FE3" w:rsidRDefault="00C25FE3" w:rsidP="00C25FE3">
      <w:pPr>
        <w:rPr>
          <w:b/>
          <w:bCs/>
        </w:rPr>
      </w:pPr>
      <w:r w:rsidRPr="00C25FE3">
        <w:rPr>
          <w:b/>
          <w:bCs/>
        </w:rPr>
        <w:t>III. Accessibility and Equity (Government Requirements)</w:t>
      </w:r>
    </w:p>
    <w:p w14:paraId="10416983" w14:textId="77777777" w:rsidR="00C25FE3" w:rsidRPr="00C25FE3" w:rsidRDefault="00C25FE3" w:rsidP="00C25FE3">
      <w:pPr>
        <w:rPr>
          <w:b/>
          <w:bCs/>
        </w:rPr>
      </w:pPr>
      <w:r w:rsidRPr="00C25FE3">
        <w:rPr>
          <w:b/>
          <w:bCs/>
        </w:rPr>
        <w:t>A. Accessibility (USWDS / WCAG-aligned)</w:t>
      </w:r>
    </w:p>
    <w:p w14:paraId="38798844" w14:textId="77777777" w:rsidR="00C25FE3" w:rsidRPr="00C25FE3" w:rsidRDefault="00C25FE3" w:rsidP="00C25FE3">
      <w:r w:rsidRPr="00C25FE3">
        <w:t>Required practices:</w:t>
      </w:r>
    </w:p>
    <w:p w14:paraId="296D6758" w14:textId="77777777" w:rsidR="00C25FE3" w:rsidRPr="00C25FE3" w:rsidRDefault="00C25FE3" w:rsidP="00C25FE3">
      <w:pPr>
        <w:numPr>
          <w:ilvl w:val="0"/>
          <w:numId w:val="4"/>
        </w:numPr>
      </w:pPr>
      <w:r w:rsidRPr="00C25FE3">
        <w:t>Do not rely on color alone</w:t>
      </w:r>
    </w:p>
    <w:p w14:paraId="65225376" w14:textId="77777777" w:rsidR="00C25FE3" w:rsidRPr="00C25FE3" w:rsidRDefault="00C25FE3" w:rsidP="00C25FE3">
      <w:pPr>
        <w:numPr>
          <w:ilvl w:val="0"/>
          <w:numId w:val="4"/>
        </w:numPr>
      </w:pPr>
      <w:r w:rsidRPr="00C25FE3">
        <w:t>Maintain sufficient contrast (≥4.5:1 for text; ≥3:1 for graphical elements)</w:t>
      </w:r>
    </w:p>
    <w:p w14:paraId="70E8D46B" w14:textId="77777777" w:rsidR="00C25FE3" w:rsidRPr="00C25FE3" w:rsidRDefault="00C25FE3" w:rsidP="00C25FE3">
      <w:pPr>
        <w:numPr>
          <w:ilvl w:val="0"/>
          <w:numId w:val="4"/>
        </w:numPr>
      </w:pPr>
      <w:r w:rsidRPr="00C25FE3">
        <w:lastRenderedPageBreak/>
        <w:t>Provide text summaries and accessible data tables</w:t>
      </w:r>
    </w:p>
    <w:p w14:paraId="2F2A050F" w14:textId="77777777" w:rsidR="00C25FE3" w:rsidRPr="00C25FE3" w:rsidRDefault="00C25FE3" w:rsidP="00C25FE3">
      <w:pPr>
        <w:numPr>
          <w:ilvl w:val="0"/>
          <w:numId w:val="4"/>
        </w:numPr>
      </w:pPr>
      <w:r w:rsidRPr="00C25FE3">
        <w:t>Ensure keyboard operability for interactive elements</w:t>
      </w:r>
    </w:p>
    <w:p w14:paraId="7A10D169" w14:textId="77777777" w:rsidR="00C25FE3" w:rsidRPr="00C25FE3" w:rsidRDefault="00C25FE3" w:rsidP="00C25FE3">
      <w:r w:rsidRPr="00C25FE3">
        <w:rPr>
          <w:b/>
          <w:bCs/>
        </w:rPr>
        <w:t>Validated finding:</w:t>
      </w:r>
      <w:r w:rsidRPr="00C25FE3">
        <w:t xml:space="preserve"> Accessible visualizations improve usability for all users, not only those with disabilities.</w:t>
      </w:r>
    </w:p>
    <w:p w14:paraId="723E957D" w14:textId="77777777" w:rsidR="00C25FE3" w:rsidRPr="00C25FE3" w:rsidRDefault="00C25FE3" w:rsidP="00C25FE3">
      <w:pPr>
        <w:rPr>
          <w:b/>
          <w:bCs/>
        </w:rPr>
      </w:pPr>
      <w:r w:rsidRPr="00C25FE3">
        <w:rPr>
          <w:b/>
          <w:bCs/>
        </w:rPr>
        <w:t>B. Equity and “Do No Harm”</w:t>
      </w:r>
    </w:p>
    <w:p w14:paraId="65F9CF6C" w14:textId="77777777" w:rsidR="00C25FE3" w:rsidRPr="00C25FE3" w:rsidRDefault="00C25FE3" w:rsidP="00C25FE3">
      <w:r w:rsidRPr="00C25FE3">
        <w:t>Key practices:</w:t>
      </w:r>
    </w:p>
    <w:p w14:paraId="3B975B8B" w14:textId="77777777" w:rsidR="00C25FE3" w:rsidRPr="00C25FE3" w:rsidRDefault="00C25FE3" w:rsidP="00C25FE3">
      <w:pPr>
        <w:numPr>
          <w:ilvl w:val="0"/>
          <w:numId w:val="5"/>
        </w:numPr>
      </w:pPr>
      <w:r w:rsidRPr="00C25FE3">
        <w:t>Use people</w:t>
      </w:r>
      <w:r w:rsidRPr="00C25FE3">
        <w:noBreakHyphen/>
        <w:t>first language</w:t>
      </w:r>
    </w:p>
    <w:p w14:paraId="389FC042" w14:textId="77777777" w:rsidR="00C25FE3" w:rsidRPr="00C25FE3" w:rsidRDefault="00C25FE3" w:rsidP="00C25FE3">
      <w:pPr>
        <w:numPr>
          <w:ilvl w:val="0"/>
          <w:numId w:val="5"/>
        </w:numPr>
      </w:pPr>
      <w:r w:rsidRPr="00C25FE3">
        <w:t>Avoid default ordering that implies hierarchy</w:t>
      </w:r>
    </w:p>
    <w:p w14:paraId="639F78DE" w14:textId="77777777" w:rsidR="00C25FE3" w:rsidRPr="00C25FE3" w:rsidRDefault="00C25FE3" w:rsidP="00C25FE3">
      <w:pPr>
        <w:numPr>
          <w:ilvl w:val="0"/>
          <w:numId w:val="5"/>
        </w:numPr>
      </w:pPr>
      <w:r w:rsidRPr="00C25FE3">
        <w:t>Choose neutral, non-stereotypical color palettes</w:t>
      </w:r>
    </w:p>
    <w:p w14:paraId="77ECD521" w14:textId="77777777" w:rsidR="00C25FE3" w:rsidRPr="00C25FE3" w:rsidRDefault="00C25FE3" w:rsidP="00C25FE3">
      <w:pPr>
        <w:numPr>
          <w:ilvl w:val="0"/>
          <w:numId w:val="5"/>
        </w:numPr>
      </w:pPr>
      <w:r w:rsidRPr="00C25FE3">
        <w:t>Contextualize disparities with structural explanations</w:t>
      </w:r>
    </w:p>
    <w:p w14:paraId="53B95630" w14:textId="77777777" w:rsidR="00C25FE3" w:rsidRPr="00C25FE3" w:rsidRDefault="00C25FE3" w:rsidP="00C25FE3">
      <w:pPr>
        <w:numPr>
          <w:ilvl w:val="0"/>
          <w:numId w:val="5"/>
        </w:numPr>
      </w:pPr>
      <w:r w:rsidRPr="00C25FE3">
        <w:t>Clearly describe missing data and limitations</w:t>
      </w:r>
    </w:p>
    <w:p w14:paraId="082C4B61" w14:textId="77777777" w:rsidR="00C25FE3" w:rsidRPr="00C25FE3" w:rsidRDefault="00C25FE3" w:rsidP="00C25FE3">
      <w:r w:rsidRPr="00C25FE3">
        <w:rPr>
          <w:b/>
          <w:bCs/>
        </w:rPr>
        <w:t>Validated finding:</w:t>
      </w:r>
      <w:r w:rsidRPr="00C25FE3">
        <w:t xml:space="preserve"> Visualization choices influence interpretation and can unintentionally reinforce bias if not designed carefully.</w:t>
      </w:r>
    </w:p>
    <w:p w14:paraId="265476D8" w14:textId="77777777" w:rsidR="00C25FE3" w:rsidRPr="00C25FE3" w:rsidRDefault="00C25FE3" w:rsidP="00C25FE3">
      <w:r w:rsidRPr="00C25FE3">
        <w:pict w14:anchorId="49B6BCE6">
          <v:rect id="_x0000_i1070" style="width:0;height:1.5pt" o:hralign="center" o:hrstd="t" o:hr="t" fillcolor="#a0a0a0" stroked="f"/>
        </w:pict>
      </w:r>
    </w:p>
    <w:p w14:paraId="11601590" w14:textId="77777777" w:rsidR="00C25FE3" w:rsidRPr="00C25FE3" w:rsidRDefault="00C25FE3" w:rsidP="00C25FE3">
      <w:pPr>
        <w:rPr>
          <w:b/>
          <w:bCs/>
        </w:rPr>
      </w:pPr>
      <w:r w:rsidRPr="00C25FE3">
        <w:rPr>
          <w:b/>
          <w:bCs/>
        </w:rPr>
        <w:t>IV. Chart Types: Evidence</w:t>
      </w:r>
      <w:r w:rsidRPr="00C25FE3">
        <w:rPr>
          <w:b/>
          <w:bCs/>
        </w:rPr>
        <w:noBreakHyphen/>
        <w:t>Based Guidance</w:t>
      </w:r>
    </w:p>
    <w:p w14:paraId="2E27E7AA" w14:textId="77777777" w:rsidR="00C25FE3" w:rsidRPr="00C25FE3" w:rsidRDefault="00C25FE3" w:rsidP="00C25FE3">
      <w:pPr>
        <w:rPr>
          <w:b/>
          <w:bCs/>
        </w:rPr>
      </w:pPr>
      <w:r w:rsidRPr="00C25FE3">
        <w:rPr>
          <w:b/>
          <w:bCs/>
        </w:rPr>
        <w:t>Supported Recommendations</w:t>
      </w:r>
    </w:p>
    <w:p w14:paraId="4BEF40FE" w14:textId="77777777" w:rsidR="00C25FE3" w:rsidRPr="00C25FE3" w:rsidRDefault="00C25FE3" w:rsidP="00C25FE3">
      <w:pPr>
        <w:numPr>
          <w:ilvl w:val="0"/>
          <w:numId w:val="6"/>
        </w:numPr>
      </w:pPr>
      <w:r w:rsidRPr="00C25FE3">
        <w:rPr>
          <w:b/>
          <w:bCs/>
        </w:rPr>
        <w:t>Prefer:</w:t>
      </w:r>
      <w:r w:rsidRPr="00C25FE3">
        <w:t xml:space="preserve"> bar charts, dot plots, line charts, small multiples</w:t>
      </w:r>
    </w:p>
    <w:p w14:paraId="349D411E" w14:textId="77777777" w:rsidR="00C25FE3" w:rsidRPr="00C25FE3" w:rsidRDefault="00C25FE3" w:rsidP="00C25FE3">
      <w:pPr>
        <w:numPr>
          <w:ilvl w:val="0"/>
          <w:numId w:val="6"/>
        </w:numPr>
      </w:pPr>
      <w:r w:rsidRPr="00C25FE3">
        <w:rPr>
          <w:b/>
          <w:bCs/>
        </w:rPr>
        <w:t>Use cautiously:</w:t>
      </w:r>
      <w:r w:rsidRPr="00C25FE3">
        <w:t xml:space="preserve"> stacked bars, choropleth maps, dual-axis charts</w:t>
      </w:r>
    </w:p>
    <w:p w14:paraId="0FD7E482" w14:textId="77777777" w:rsidR="00C25FE3" w:rsidRPr="00C25FE3" w:rsidRDefault="00C25FE3" w:rsidP="00C25FE3">
      <w:pPr>
        <w:numPr>
          <w:ilvl w:val="0"/>
          <w:numId w:val="6"/>
        </w:numPr>
      </w:pPr>
      <w:proofErr w:type="gramStart"/>
      <w:r w:rsidRPr="00C25FE3">
        <w:rPr>
          <w:b/>
          <w:bCs/>
        </w:rPr>
        <w:t>Avoid for</w:t>
      </w:r>
      <w:proofErr w:type="gramEnd"/>
      <w:r w:rsidRPr="00C25FE3">
        <w:rPr>
          <w:b/>
          <w:bCs/>
        </w:rPr>
        <w:t xml:space="preserve"> executive communication:</w:t>
      </w:r>
      <w:r w:rsidRPr="00C25FE3">
        <w:t xml:space="preserve"> 3D charts, gauges, decorative metaphors without analytic value</w:t>
      </w:r>
    </w:p>
    <w:p w14:paraId="68660313" w14:textId="77777777" w:rsidR="00C25FE3" w:rsidRPr="00C25FE3" w:rsidRDefault="00C25FE3" w:rsidP="00C25FE3">
      <w:pPr>
        <w:rPr>
          <w:b/>
          <w:bCs/>
        </w:rPr>
      </w:pPr>
      <w:r w:rsidRPr="00C25FE3">
        <w:rPr>
          <w:b/>
          <w:bCs/>
        </w:rPr>
        <w:t>Nuanced Findings</w:t>
      </w:r>
    </w:p>
    <w:p w14:paraId="2C90E46B" w14:textId="77777777" w:rsidR="00C25FE3" w:rsidRPr="00C25FE3" w:rsidRDefault="00C25FE3" w:rsidP="00C25FE3">
      <w:pPr>
        <w:numPr>
          <w:ilvl w:val="0"/>
          <w:numId w:val="7"/>
        </w:numPr>
      </w:pPr>
      <w:r w:rsidRPr="00C25FE3">
        <w:rPr>
          <w:b/>
          <w:bCs/>
        </w:rPr>
        <w:t>Choropleths</w:t>
      </w:r>
      <w:r w:rsidRPr="00C25FE3">
        <w:t xml:space="preserve"> are appropriate for rate-based geographic patterns but can mislead in comparison tasks due to area bias and MAUP. Tile grid maps mitigate these issues when comparison is the goal.</w:t>
      </w:r>
    </w:p>
    <w:p w14:paraId="4D97A1A8" w14:textId="77777777" w:rsidR="00C25FE3" w:rsidRPr="00C25FE3" w:rsidRDefault="00C25FE3" w:rsidP="00C25FE3">
      <w:pPr>
        <w:numPr>
          <w:ilvl w:val="0"/>
          <w:numId w:val="7"/>
        </w:numPr>
      </w:pPr>
      <w:proofErr w:type="spellStart"/>
      <w:r w:rsidRPr="00C25FE3">
        <w:rPr>
          <w:b/>
          <w:bCs/>
        </w:rPr>
        <w:t>Chartjunk</w:t>
      </w:r>
      <w:proofErr w:type="spellEnd"/>
      <w:r w:rsidRPr="00C25FE3">
        <w:rPr>
          <w:b/>
          <w:bCs/>
        </w:rPr>
        <w:t xml:space="preserve"> debate:</w:t>
      </w:r>
      <w:r w:rsidRPr="00C25FE3">
        <w:t xml:space="preserve"> Minimalism improves analytical clarity; research shows that thematically relevant embellishment can improve memorability. Design should follow purpose, not ideology.</w:t>
      </w:r>
    </w:p>
    <w:p w14:paraId="4D217A21" w14:textId="77777777" w:rsidR="00C25FE3" w:rsidRPr="00C25FE3" w:rsidRDefault="00C25FE3" w:rsidP="00C25FE3">
      <w:r w:rsidRPr="00C25FE3">
        <w:pict w14:anchorId="02798DBD">
          <v:rect id="_x0000_i1071" style="width:0;height:1.5pt" o:hralign="center" o:hrstd="t" o:hr="t" fillcolor="#a0a0a0" stroked="f"/>
        </w:pict>
      </w:r>
    </w:p>
    <w:p w14:paraId="18572480" w14:textId="77777777" w:rsidR="00C25FE3" w:rsidRPr="00C25FE3" w:rsidRDefault="00C25FE3" w:rsidP="00C25FE3">
      <w:pPr>
        <w:rPr>
          <w:b/>
          <w:bCs/>
        </w:rPr>
      </w:pPr>
      <w:r w:rsidRPr="00C25FE3">
        <w:rPr>
          <w:b/>
          <w:bCs/>
        </w:rPr>
        <w:lastRenderedPageBreak/>
        <w:t>V. Executive Leadership in Government: Validated Best Practices</w:t>
      </w:r>
    </w:p>
    <w:p w14:paraId="621FF42D" w14:textId="77777777" w:rsidR="00C25FE3" w:rsidRPr="00C25FE3" w:rsidRDefault="00C25FE3" w:rsidP="00C25FE3">
      <w:pPr>
        <w:rPr>
          <w:b/>
          <w:bCs/>
        </w:rPr>
      </w:pPr>
      <w:r w:rsidRPr="00C25FE3">
        <w:rPr>
          <w:b/>
          <w:bCs/>
        </w:rPr>
        <w:t>Core Principles</w:t>
      </w:r>
    </w:p>
    <w:p w14:paraId="7EE74C98" w14:textId="77777777" w:rsidR="00C25FE3" w:rsidRPr="00C25FE3" w:rsidRDefault="00C25FE3" w:rsidP="00C25FE3">
      <w:pPr>
        <w:numPr>
          <w:ilvl w:val="0"/>
          <w:numId w:val="8"/>
        </w:numPr>
      </w:pPr>
      <w:r w:rsidRPr="00C25FE3">
        <w:t>Lead with the takeaway (Big Idea)</w:t>
      </w:r>
    </w:p>
    <w:p w14:paraId="0A7252CA" w14:textId="77777777" w:rsidR="00C25FE3" w:rsidRPr="00C25FE3" w:rsidRDefault="00C25FE3" w:rsidP="00C25FE3">
      <w:pPr>
        <w:numPr>
          <w:ilvl w:val="0"/>
          <w:numId w:val="8"/>
        </w:numPr>
      </w:pPr>
      <w:r w:rsidRPr="00C25FE3">
        <w:t>Use perceptually efficient charts</w:t>
      </w:r>
    </w:p>
    <w:p w14:paraId="5EDED4B1" w14:textId="77777777" w:rsidR="00C25FE3" w:rsidRPr="00C25FE3" w:rsidRDefault="00C25FE3" w:rsidP="00C25FE3">
      <w:pPr>
        <w:numPr>
          <w:ilvl w:val="0"/>
          <w:numId w:val="8"/>
        </w:numPr>
      </w:pPr>
      <w:r w:rsidRPr="00C25FE3">
        <w:t>Make limitations explicit</w:t>
      </w:r>
    </w:p>
    <w:p w14:paraId="259264D1" w14:textId="77777777" w:rsidR="00C25FE3" w:rsidRPr="00C25FE3" w:rsidRDefault="00C25FE3" w:rsidP="00C25FE3">
      <w:pPr>
        <w:numPr>
          <w:ilvl w:val="0"/>
          <w:numId w:val="8"/>
        </w:numPr>
      </w:pPr>
      <w:r w:rsidRPr="00C25FE3">
        <w:t>Prioritize credibility, accessibility, and equity</w:t>
      </w:r>
    </w:p>
    <w:p w14:paraId="7C326995" w14:textId="77777777" w:rsidR="00C25FE3" w:rsidRPr="00C25FE3" w:rsidRDefault="00C25FE3" w:rsidP="00C25FE3">
      <w:pPr>
        <w:rPr>
          <w:b/>
          <w:bCs/>
        </w:rPr>
      </w:pPr>
      <w:r w:rsidRPr="00C25FE3">
        <w:rPr>
          <w:b/>
          <w:bCs/>
        </w:rPr>
        <w:t>Observed Best Practices (e.g., CRS</w:t>
      </w:r>
      <w:r w:rsidRPr="00C25FE3">
        <w:rPr>
          <w:b/>
          <w:bCs/>
        </w:rPr>
        <w:noBreakHyphen/>
        <w:t>style reporting)</w:t>
      </w:r>
    </w:p>
    <w:p w14:paraId="35097A28" w14:textId="77777777" w:rsidR="00C25FE3" w:rsidRPr="00C25FE3" w:rsidRDefault="00C25FE3" w:rsidP="00C25FE3">
      <w:pPr>
        <w:numPr>
          <w:ilvl w:val="0"/>
          <w:numId w:val="9"/>
        </w:numPr>
      </w:pPr>
      <w:r w:rsidRPr="00C25FE3">
        <w:t>At</w:t>
      </w:r>
      <w:r w:rsidRPr="00C25FE3">
        <w:noBreakHyphen/>
        <w:t>a</w:t>
      </w:r>
      <w:r w:rsidRPr="00C25FE3">
        <w:noBreakHyphen/>
        <w:t>glance visual summaries</w:t>
      </w:r>
    </w:p>
    <w:p w14:paraId="47A02247" w14:textId="77777777" w:rsidR="00C25FE3" w:rsidRPr="00C25FE3" w:rsidRDefault="00C25FE3" w:rsidP="00C25FE3">
      <w:pPr>
        <w:numPr>
          <w:ilvl w:val="0"/>
          <w:numId w:val="9"/>
        </w:numPr>
      </w:pPr>
      <w:r w:rsidRPr="00C25FE3">
        <w:t xml:space="preserve">Clear </w:t>
      </w:r>
      <w:proofErr w:type="gramStart"/>
      <w:r w:rsidRPr="00C25FE3">
        <w:t>sourcing</w:t>
      </w:r>
      <w:proofErr w:type="gramEnd"/>
      <w:r w:rsidRPr="00C25FE3">
        <w:t xml:space="preserve"> and assumptions</w:t>
      </w:r>
    </w:p>
    <w:p w14:paraId="654FDE26" w14:textId="77777777" w:rsidR="00C25FE3" w:rsidRPr="00C25FE3" w:rsidRDefault="00C25FE3" w:rsidP="00C25FE3">
      <w:pPr>
        <w:numPr>
          <w:ilvl w:val="0"/>
          <w:numId w:val="9"/>
        </w:numPr>
      </w:pPr>
      <w:r w:rsidRPr="00C25FE3">
        <w:t>Web</w:t>
      </w:r>
      <w:r w:rsidRPr="00C25FE3">
        <w:noBreakHyphen/>
        <w:t>friendly, accessible formats</w:t>
      </w:r>
    </w:p>
    <w:p w14:paraId="6D6DFE17" w14:textId="3D7145F2" w:rsidR="00994FCB" w:rsidRDefault="00C25FE3" w:rsidP="00C25FE3">
      <w:pPr>
        <w:numPr>
          <w:ilvl w:val="0"/>
          <w:numId w:val="9"/>
        </w:numPr>
      </w:pPr>
      <w:r w:rsidRPr="00C25FE3">
        <w:t>Supplementary dashboards for staff-level exploration</w:t>
      </w:r>
    </w:p>
    <w:sectPr w:rsidR="00994F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62C5"/>
    <w:multiLevelType w:val="multilevel"/>
    <w:tmpl w:val="F816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5DAE"/>
    <w:multiLevelType w:val="multilevel"/>
    <w:tmpl w:val="4122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718C2"/>
    <w:multiLevelType w:val="multilevel"/>
    <w:tmpl w:val="FA02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2574C"/>
    <w:multiLevelType w:val="multilevel"/>
    <w:tmpl w:val="9EE4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A081A"/>
    <w:multiLevelType w:val="multilevel"/>
    <w:tmpl w:val="E6F6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A0C21"/>
    <w:multiLevelType w:val="multilevel"/>
    <w:tmpl w:val="1446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E60BB"/>
    <w:multiLevelType w:val="multilevel"/>
    <w:tmpl w:val="68C6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E1EAC"/>
    <w:multiLevelType w:val="multilevel"/>
    <w:tmpl w:val="AA1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62D05"/>
    <w:multiLevelType w:val="multilevel"/>
    <w:tmpl w:val="BA0E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94CC1"/>
    <w:multiLevelType w:val="multilevel"/>
    <w:tmpl w:val="86A0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44E1E"/>
    <w:multiLevelType w:val="multilevel"/>
    <w:tmpl w:val="23747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981612"/>
    <w:multiLevelType w:val="multilevel"/>
    <w:tmpl w:val="CE90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93241"/>
    <w:multiLevelType w:val="multilevel"/>
    <w:tmpl w:val="3A50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04528"/>
    <w:multiLevelType w:val="multilevel"/>
    <w:tmpl w:val="8EAA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31B48"/>
    <w:multiLevelType w:val="multilevel"/>
    <w:tmpl w:val="9214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B5EF4"/>
    <w:multiLevelType w:val="multilevel"/>
    <w:tmpl w:val="1FA2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662F36"/>
    <w:multiLevelType w:val="multilevel"/>
    <w:tmpl w:val="DEAA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871733">
    <w:abstractNumId w:val="4"/>
  </w:num>
  <w:num w:numId="2" w16cid:durableId="1908303676">
    <w:abstractNumId w:val="13"/>
  </w:num>
  <w:num w:numId="3" w16cid:durableId="511845358">
    <w:abstractNumId w:val="10"/>
  </w:num>
  <w:num w:numId="4" w16cid:durableId="960111364">
    <w:abstractNumId w:val="3"/>
  </w:num>
  <w:num w:numId="5" w16cid:durableId="1425153011">
    <w:abstractNumId w:val="2"/>
  </w:num>
  <w:num w:numId="6" w16cid:durableId="305668440">
    <w:abstractNumId w:val="14"/>
  </w:num>
  <w:num w:numId="7" w16cid:durableId="171575196">
    <w:abstractNumId w:val="15"/>
  </w:num>
  <w:num w:numId="8" w16cid:durableId="1488664940">
    <w:abstractNumId w:val="5"/>
  </w:num>
  <w:num w:numId="9" w16cid:durableId="847909708">
    <w:abstractNumId w:val="6"/>
  </w:num>
  <w:num w:numId="10" w16cid:durableId="1787577518">
    <w:abstractNumId w:val="1"/>
  </w:num>
  <w:num w:numId="11" w16cid:durableId="1221672911">
    <w:abstractNumId w:val="0"/>
  </w:num>
  <w:num w:numId="12" w16cid:durableId="362831169">
    <w:abstractNumId w:val="8"/>
  </w:num>
  <w:num w:numId="13" w16cid:durableId="1352954876">
    <w:abstractNumId w:val="12"/>
  </w:num>
  <w:num w:numId="14" w16cid:durableId="1057247111">
    <w:abstractNumId w:val="11"/>
  </w:num>
  <w:num w:numId="15" w16cid:durableId="2121414550">
    <w:abstractNumId w:val="9"/>
  </w:num>
  <w:num w:numId="16" w16cid:durableId="1263563800">
    <w:abstractNumId w:val="7"/>
  </w:num>
  <w:num w:numId="17" w16cid:durableId="10788203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FE3"/>
    <w:rsid w:val="002535C0"/>
    <w:rsid w:val="003271EC"/>
    <w:rsid w:val="00994FCB"/>
    <w:rsid w:val="00BC16C9"/>
    <w:rsid w:val="00C25FE3"/>
    <w:rsid w:val="00E1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C3F97"/>
  <w15:chartTrackingRefBased/>
  <w15:docId w15:val="{85B56275-9C76-4D66-936E-CA5C25D5C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765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Korous, Kevin (ACF) (CTR)</dc:creator>
  <cp:keywords/>
  <dc:description/>
  <cp:lastModifiedBy>Korous, Kevin (ACF) (CTR)</cp:lastModifiedBy>
  <cp:revision>1</cp:revision>
  <dcterms:created xsi:type="dcterms:W3CDTF">2026-02-06T17:34:00Z</dcterms:created>
  <dcterms:modified xsi:type="dcterms:W3CDTF">2026-02-06T17:35:00Z</dcterms:modified>
</cp:coreProperties>
</file>