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BFF38" w14:textId="77777777" w:rsidR="00EB4F6F" w:rsidRPr="00EB4F6F" w:rsidRDefault="00EB4F6F" w:rsidP="00EB4F6F">
      <w:pPr>
        <w:rPr>
          <w:b/>
          <w:bCs/>
        </w:rPr>
      </w:pPr>
      <w:r w:rsidRPr="00EB4F6F">
        <w:rPr>
          <w:b/>
          <w:bCs/>
        </w:rPr>
        <w:t>Evidence-Informed Data Visualization for Government Decision-Making</w:t>
      </w:r>
    </w:p>
    <w:p w14:paraId="6FCAD7AA" w14:textId="77777777" w:rsidR="00EB4F6F" w:rsidRPr="00EB4F6F" w:rsidRDefault="00EB4F6F" w:rsidP="00EB4F6F">
      <w:pPr>
        <w:rPr>
          <w:b/>
          <w:bCs/>
        </w:rPr>
      </w:pPr>
      <w:r w:rsidRPr="00EB4F6F">
        <w:rPr>
          <w:b/>
          <w:bCs/>
        </w:rPr>
        <w:t>Purpose and Scope</w:t>
      </w:r>
    </w:p>
    <w:p w14:paraId="53C08A2B" w14:textId="77777777" w:rsidR="00EB4F6F" w:rsidRPr="00EB4F6F" w:rsidRDefault="00EB4F6F" w:rsidP="00EB4F6F">
      <w:r w:rsidRPr="00EB4F6F">
        <w:t>This synthesis integrates all evidence reviewed to date, including foundational perceptual science, replication and refinement studies, debates over chart types and embellishment, government accessibility and equity standards, and practitioner consensus on executive communication. It draws on the original deep research, subsequent validation, and four structured research queries addressing core science, government standards and accessibility, chart-specific debates, and executive communication.</w:t>
      </w:r>
    </w:p>
    <w:p w14:paraId="1C8185BD" w14:textId="77777777" w:rsidR="00EB4F6F" w:rsidRPr="00EB4F6F" w:rsidRDefault="00EB4F6F" w:rsidP="00EB4F6F">
      <w:r w:rsidRPr="00EB4F6F">
        <w:t xml:space="preserve">The goal is not to prescribe a single “correct” visualization style, but to articulate </w:t>
      </w:r>
      <w:r w:rsidRPr="00EB4F6F">
        <w:rPr>
          <w:b/>
          <w:bCs/>
        </w:rPr>
        <w:t>evidence-informed principles</w:t>
      </w:r>
      <w:r w:rsidRPr="00EB4F6F">
        <w:t xml:space="preserve"> that improve decision quality, reduce interpretive risk, and uphold legal and ethical responsibilities in U.S. government contexts. Where the literature shows variability, findings are framed as </w:t>
      </w:r>
      <w:r w:rsidRPr="00EB4F6F">
        <w:rPr>
          <w:b/>
          <w:bCs/>
        </w:rPr>
        <w:t>heuristics conditioned on task, audience, and context</w:t>
      </w:r>
      <w:r w:rsidRPr="00EB4F6F">
        <w:t>, rather than universal rules.</w:t>
      </w:r>
    </w:p>
    <w:p w14:paraId="2FF46FA4" w14:textId="77777777" w:rsidR="00EB4F6F" w:rsidRPr="00EB4F6F" w:rsidRDefault="00EB4F6F" w:rsidP="00EB4F6F">
      <w:r w:rsidRPr="00EB4F6F">
        <w:pict w14:anchorId="400BC4AB">
          <v:rect id="_x0000_i1130" style="width:0;height:1.5pt" o:hralign="center" o:hrstd="t" o:hr="t" fillcolor="#a0a0a0" stroked="f"/>
        </w:pict>
      </w:r>
    </w:p>
    <w:p w14:paraId="4F6BA119" w14:textId="77777777" w:rsidR="00EB4F6F" w:rsidRPr="00EB4F6F" w:rsidRDefault="00EB4F6F" w:rsidP="00EB4F6F">
      <w:pPr>
        <w:rPr>
          <w:b/>
          <w:bCs/>
        </w:rPr>
      </w:pPr>
      <w:r w:rsidRPr="00EB4F6F">
        <w:rPr>
          <w:b/>
          <w:bCs/>
        </w:rPr>
        <w:t>I. Foundations: How People Perceive Visual Information</w:t>
      </w:r>
    </w:p>
    <w:p w14:paraId="6F101099" w14:textId="77777777" w:rsidR="00EB4F6F" w:rsidRPr="00EB4F6F" w:rsidRDefault="00EB4F6F" w:rsidP="00EB4F6F">
      <w:pPr>
        <w:rPr>
          <w:b/>
          <w:bCs/>
        </w:rPr>
      </w:pPr>
      <w:r w:rsidRPr="00EB4F6F">
        <w:rPr>
          <w:b/>
          <w:bCs/>
        </w:rPr>
        <w:t>1. Perceptual Accuracy Is Probabilistic, Not Absolute</w:t>
      </w:r>
    </w:p>
    <w:p w14:paraId="5659B996" w14:textId="77777777" w:rsidR="00EB4F6F" w:rsidRPr="00EB4F6F" w:rsidRDefault="00EB4F6F" w:rsidP="00EB4F6F">
      <w:r w:rsidRPr="00EB4F6F">
        <w:t xml:space="preserve">Research in graphical perception demonstrates that people do not interpret all visual encodings equally well. Classic work by Cleveland and McGill (1984) established a hierarchy of perceptual tasks, showing that quantitative judgments based on </w:t>
      </w:r>
      <w:r w:rsidRPr="00EB4F6F">
        <w:rPr>
          <w:b/>
          <w:bCs/>
        </w:rPr>
        <w:t>position along a common scale</w:t>
      </w:r>
      <w:r w:rsidRPr="00EB4F6F">
        <w:t xml:space="preserve"> are, on average, more accurate than judgments based on length, angle, area, or color intensity.</w:t>
      </w:r>
    </w:p>
    <w:p w14:paraId="4B31A102" w14:textId="77777777" w:rsidR="00EB4F6F" w:rsidRPr="00EB4F6F" w:rsidRDefault="00EB4F6F" w:rsidP="00EB4F6F">
      <w:r w:rsidRPr="00EB4F6F">
        <w:t xml:space="preserve">Replication and extension studies confirm the overall ordering while adding important nuance. Heer and Bostock (2010) and subsequent large-sample studies show that effect-size differences between encodings are smaller than originally reported, that performance varies by task and data complexity, and that individual differences are substantial. These findings indicate that perceptual rankings describe </w:t>
      </w:r>
      <w:r w:rsidRPr="00EB4F6F">
        <w:rPr>
          <w:b/>
          <w:bCs/>
        </w:rPr>
        <w:t>aggregate tendencies</w:t>
      </w:r>
      <w:r w:rsidRPr="00EB4F6F">
        <w:t>, not deterministic outcomes.</w:t>
      </w:r>
    </w:p>
    <w:p w14:paraId="49FAAAAF" w14:textId="77777777" w:rsidR="00EB4F6F" w:rsidRPr="00EB4F6F" w:rsidRDefault="00EB4F6F" w:rsidP="00EB4F6F">
      <w:r w:rsidRPr="00EB4F6F">
        <w:rPr>
          <w:b/>
          <w:bCs/>
        </w:rPr>
        <w:t>Implication for government use:</w:t>
      </w:r>
      <w:r w:rsidRPr="00EB4F6F">
        <w:t xml:space="preserve"> When accuracy and defensibility matter—as in oversight, budgeting, or policy evaluation—designs should default to encodings with the strongest average performance while reinforcing interpretation through labeling and contextual explanation.</w:t>
      </w:r>
    </w:p>
    <w:p w14:paraId="3072D710" w14:textId="77777777" w:rsidR="00EB4F6F" w:rsidRPr="00EB4F6F" w:rsidRDefault="00EB4F6F" w:rsidP="00EB4F6F">
      <w:pPr>
        <w:rPr>
          <w:b/>
          <w:bCs/>
        </w:rPr>
      </w:pPr>
      <w:r w:rsidRPr="00EB4F6F">
        <w:rPr>
          <w:b/>
          <w:bCs/>
        </w:rPr>
        <w:t>2. Visual Variables and Their Modern Interpretation</w:t>
      </w:r>
    </w:p>
    <w:p w14:paraId="40B15256" w14:textId="77777777" w:rsidR="00EB4F6F" w:rsidRPr="00EB4F6F" w:rsidRDefault="00EB4F6F" w:rsidP="00EB4F6F">
      <w:r w:rsidRPr="00EB4F6F">
        <w:lastRenderedPageBreak/>
        <w:t xml:space="preserve">Jacques Bertin’s theory of visual variables remains foundational. His distinction between </w:t>
      </w:r>
      <w:r w:rsidRPr="00EB4F6F">
        <w:rPr>
          <w:b/>
          <w:bCs/>
        </w:rPr>
        <w:t>ordered variables</w:t>
      </w:r>
      <w:r w:rsidRPr="00EB4F6F">
        <w:t xml:space="preserve"> (position, size, lightness) and </w:t>
      </w:r>
      <w:r w:rsidRPr="00EB4F6F">
        <w:rPr>
          <w:b/>
          <w:bCs/>
        </w:rPr>
        <w:t>associative variables</w:t>
      </w:r>
      <w:r w:rsidRPr="00EB4F6F">
        <w:t xml:space="preserve"> (hue, shape) continues to guide effective design choices (Bertin, 1967).</w:t>
      </w:r>
    </w:p>
    <w:p w14:paraId="6DB078B1" w14:textId="77777777" w:rsidR="00EB4F6F" w:rsidRPr="00EB4F6F" w:rsidRDefault="00EB4F6F" w:rsidP="00EB4F6F">
      <w:r w:rsidRPr="00EB4F6F">
        <w:t>Later work by Mackinlay (1986) operationalized Bertin’s framework for applied and automated design. Key refinements include evidence that lightness/value within a single hue can function as an ordinal encoding in constrained contexts, while color hue and shape remain unsuitable for precise magnitude comparison.</w:t>
      </w:r>
    </w:p>
    <w:p w14:paraId="26131B22" w14:textId="77777777" w:rsidR="00EB4F6F" w:rsidRPr="00EB4F6F" w:rsidRDefault="00EB4F6F" w:rsidP="00EB4F6F">
      <w:r w:rsidRPr="00EB4F6F">
        <w:rPr>
          <w:b/>
          <w:bCs/>
        </w:rPr>
        <w:t>Implication:</w:t>
      </w:r>
      <w:r w:rsidRPr="00EB4F6F">
        <w:t xml:space="preserve"> Visual variables must be matched to data type and task; misuse—such as hue gradients for exact values—degrades interpretability.</w:t>
      </w:r>
    </w:p>
    <w:p w14:paraId="4604B281" w14:textId="77777777" w:rsidR="00EB4F6F" w:rsidRPr="00EB4F6F" w:rsidRDefault="00EB4F6F" w:rsidP="00EB4F6F">
      <w:r w:rsidRPr="00EB4F6F">
        <w:pict w14:anchorId="1E84BA8D">
          <v:rect id="_x0000_i1131" style="width:0;height:1.5pt" o:hralign="center" o:hrstd="t" o:hr="t" fillcolor="#a0a0a0" stroked="f"/>
        </w:pict>
      </w:r>
    </w:p>
    <w:p w14:paraId="3D40DFD2" w14:textId="77777777" w:rsidR="00EB4F6F" w:rsidRPr="00EB4F6F" w:rsidRDefault="00EB4F6F" w:rsidP="00EB4F6F">
      <w:pPr>
        <w:rPr>
          <w:b/>
          <w:bCs/>
        </w:rPr>
      </w:pPr>
      <w:r w:rsidRPr="00EB4F6F">
        <w:rPr>
          <w:b/>
          <w:bCs/>
        </w:rPr>
        <w:t>II. From Analysis to Communication: Narrative Matters</w:t>
      </w:r>
    </w:p>
    <w:p w14:paraId="7CD756C6" w14:textId="77777777" w:rsidR="00EB4F6F" w:rsidRPr="00EB4F6F" w:rsidRDefault="00EB4F6F" w:rsidP="00EB4F6F">
      <w:r w:rsidRPr="00EB4F6F">
        <w:t xml:space="preserve">A critical distinction in visualization practice is between </w:t>
      </w:r>
      <w:r w:rsidRPr="00EB4F6F">
        <w:rPr>
          <w:b/>
          <w:bCs/>
        </w:rPr>
        <w:t>exploratory</w:t>
      </w:r>
      <w:r w:rsidRPr="00EB4F6F">
        <w:t xml:space="preserve"> analysis and </w:t>
      </w:r>
      <w:r w:rsidRPr="00EB4F6F">
        <w:rPr>
          <w:b/>
          <w:bCs/>
        </w:rPr>
        <w:t>explanatory</w:t>
      </w:r>
      <w:r w:rsidRPr="00EB4F6F">
        <w:t xml:space="preserve"> communication. Executive and leadership audiences primarily require explanatory visuals that answer a specific question and support a decision.</w:t>
      </w:r>
    </w:p>
    <w:p w14:paraId="6C28E1D0" w14:textId="77777777" w:rsidR="00EB4F6F" w:rsidRPr="00EB4F6F" w:rsidRDefault="00EB4F6F" w:rsidP="00EB4F6F">
      <w:r w:rsidRPr="00EB4F6F">
        <w:t xml:space="preserve">Narrative-based methods, particularly those articulated by </w:t>
      </w:r>
      <w:proofErr w:type="spellStart"/>
      <w:r w:rsidRPr="00EB4F6F">
        <w:t>Knaflic</w:t>
      </w:r>
      <w:proofErr w:type="spellEnd"/>
      <w:r w:rsidRPr="00EB4F6F">
        <w:t xml:space="preserve"> (2015), emphasize defining a clear context, articulating a single “Big Idea,” reducing clutter, and using titles and annotations to state conclusions directly. Experimental and applied research shows these practices improve comprehension and recall, especially for non-technical audiences.</w:t>
      </w:r>
    </w:p>
    <w:p w14:paraId="776BDA60" w14:textId="77777777" w:rsidR="00EB4F6F" w:rsidRPr="00EB4F6F" w:rsidRDefault="00EB4F6F" w:rsidP="00EB4F6F">
      <w:r w:rsidRPr="00EB4F6F">
        <w:rPr>
          <w:b/>
          <w:bCs/>
        </w:rPr>
        <w:t>Implication:</w:t>
      </w:r>
      <w:r w:rsidRPr="00EB4F6F">
        <w:t xml:space="preserve"> In government briefings, visuals should communicate conclusions explicitly rather than relying on viewers to infer meaning.</w:t>
      </w:r>
    </w:p>
    <w:p w14:paraId="7FA591C7" w14:textId="77777777" w:rsidR="00EB4F6F" w:rsidRPr="00EB4F6F" w:rsidRDefault="00EB4F6F" w:rsidP="00EB4F6F">
      <w:r w:rsidRPr="00EB4F6F">
        <w:pict w14:anchorId="64F5724F">
          <v:rect id="_x0000_i1132" style="width:0;height:1.5pt" o:hralign="center" o:hrstd="t" o:hr="t" fillcolor="#a0a0a0" stroked="f"/>
        </w:pict>
      </w:r>
    </w:p>
    <w:p w14:paraId="0DD677B5" w14:textId="77777777" w:rsidR="00EB4F6F" w:rsidRPr="00EB4F6F" w:rsidRDefault="00EB4F6F" w:rsidP="00EB4F6F">
      <w:pPr>
        <w:rPr>
          <w:b/>
          <w:bCs/>
        </w:rPr>
      </w:pPr>
      <w:r w:rsidRPr="00EB4F6F">
        <w:rPr>
          <w:b/>
          <w:bCs/>
        </w:rPr>
        <w:t>III. Accessibility and Equity as Core Design Requirements</w:t>
      </w:r>
    </w:p>
    <w:p w14:paraId="77BB0A55" w14:textId="77777777" w:rsidR="00EB4F6F" w:rsidRPr="00EB4F6F" w:rsidRDefault="00EB4F6F" w:rsidP="00EB4F6F">
      <w:pPr>
        <w:rPr>
          <w:b/>
          <w:bCs/>
        </w:rPr>
      </w:pPr>
      <w:r w:rsidRPr="00EB4F6F">
        <w:rPr>
          <w:b/>
          <w:bCs/>
        </w:rPr>
        <w:t>1. Accessibility Standards</w:t>
      </w:r>
    </w:p>
    <w:p w14:paraId="5D8845D4" w14:textId="77777777" w:rsidR="00EB4F6F" w:rsidRPr="00EB4F6F" w:rsidRDefault="00EB4F6F" w:rsidP="00EB4F6F">
      <w:r w:rsidRPr="00EB4F6F">
        <w:t>U.S. government visualizations are subject to Section 508 and the Web Content Accessibility Guidelines (WCAG 2.1 and 2.2), operationalized through systems such as the U.S. Web Design System (USWDS). Core requirements include sufficient color contrast, avoidance of color-only encoding, provision of text alternatives and accessible data tables, and keyboard operability.</w:t>
      </w:r>
    </w:p>
    <w:p w14:paraId="4FEBC608" w14:textId="77777777" w:rsidR="00EB4F6F" w:rsidRPr="00EB4F6F" w:rsidRDefault="00EB4F6F" w:rsidP="00EB4F6F">
      <w:r w:rsidRPr="00EB4F6F">
        <w:t>Usability research indicates that accessibility-compliant designs improve clarity and usability for all users, not only those with disabilities.</w:t>
      </w:r>
    </w:p>
    <w:p w14:paraId="23190FF4" w14:textId="77777777" w:rsidR="00EB4F6F" w:rsidRPr="00EB4F6F" w:rsidRDefault="00EB4F6F" w:rsidP="00EB4F6F">
      <w:pPr>
        <w:rPr>
          <w:b/>
          <w:bCs/>
        </w:rPr>
      </w:pPr>
      <w:r w:rsidRPr="00EB4F6F">
        <w:rPr>
          <w:b/>
          <w:bCs/>
        </w:rPr>
        <w:t>2. Equity and the “Do No Harm” Framework</w:t>
      </w:r>
    </w:p>
    <w:p w14:paraId="1385BE76" w14:textId="77777777" w:rsidR="00EB4F6F" w:rsidRPr="00EB4F6F" w:rsidRDefault="00EB4F6F" w:rsidP="00EB4F6F">
      <w:r w:rsidRPr="00EB4F6F">
        <w:lastRenderedPageBreak/>
        <w:t>Visualization choices influence interpretation of data about people. Equity-centered guidance from the Urban Institute emphasizes people-first language, neutral ordering of demographic groups, avoidance of stereotypical color use, contextualization of disparities with structural explanations, and transparent treatment of missing or excluded populations (Urban Institute, n.d.).</w:t>
      </w:r>
    </w:p>
    <w:p w14:paraId="0CE87EE6" w14:textId="77777777" w:rsidR="00EB4F6F" w:rsidRPr="00EB4F6F" w:rsidRDefault="00EB4F6F" w:rsidP="00EB4F6F">
      <w:r w:rsidRPr="00EB4F6F">
        <w:rPr>
          <w:b/>
          <w:bCs/>
        </w:rPr>
        <w:t>Implication:</w:t>
      </w:r>
      <w:r w:rsidRPr="00EB4F6F">
        <w:t xml:space="preserve"> Equity considerations are integral to credibility, ethical responsibility, and public trust in government communication.</w:t>
      </w:r>
    </w:p>
    <w:p w14:paraId="4E5902B7" w14:textId="77777777" w:rsidR="00EB4F6F" w:rsidRPr="00EB4F6F" w:rsidRDefault="00EB4F6F" w:rsidP="00EB4F6F">
      <w:r w:rsidRPr="00EB4F6F">
        <w:pict w14:anchorId="372F3EA8">
          <v:rect id="_x0000_i1133" style="width:0;height:1.5pt" o:hralign="center" o:hrstd="t" o:hr="t" fillcolor="#a0a0a0" stroked="f"/>
        </w:pict>
      </w:r>
    </w:p>
    <w:p w14:paraId="47C9F30F" w14:textId="77777777" w:rsidR="00EB4F6F" w:rsidRPr="00EB4F6F" w:rsidRDefault="00EB4F6F" w:rsidP="00EB4F6F">
      <w:pPr>
        <w:rPr>
          <w:b/>
          <w:bCs/>
        </w:rPr>
      </w:pPr>
      <w:r w:rsidRPr="00EB4F6F">
        <w:rPr>
          <w:b/>
          <w:bCs/>
        </w:rPr>
        <w:t xml:space="preserve">IV. Chart Types: What </w:t>
      </w:r>
      <w:proofErr w:type="gramStart"/>
      <w:r w:rsidRPr="00EB4F6F">
        <w:rPr>
          <w:b/>
          <w:bCs/>
        </w:rPr>
        <w:t>the Evidence</w:t>
      </w:r>
      <w:proofErr w:type="gramEnd"/>
      <w:r w:rsidRPr="00EB4F6F">
        <w:rPr>
          <w:b/>
          <w:bCs/>
        </w:rPr>
        <w:t xml:space="preserve"> Supports</w:t>
      </w:r>
    </w:p>
    <w:p w14:paraId="297E525A" w14:textId="77777777" w:rsidR="00EB4F6F" w:rsidRPr="00EB4F6F" w:rsidRDefault="00EB4F6F" w:rsidP="00EB4F6F">
      <w:r w:rsidRPr="00EB4F6F">
        <w:t>The research literature supports relative preferences rather than absolute prohibitions:</w:t>
      </w:r>
    </w:p>
    <w:p w14:paraId="6E2A209B" w14:textId="77777777" w:rsidR="00EB4F6F" w:rsidRPr="00EB4F6F" w:rsidRDefault="00EB4F6F" w:rsidP="00EB4F6F">
      <w:pPr>
        <w:numPr>
          <w:ilvl w:val="0"/>
          <w:numId w:val="6"/>
        </w:numPr>
      </w:pPr>
      <w:r w:rsidRPr="00EB4F6F">
        <w:rPr>
          <w:b/>
          <w:bCs/>
        </w:rPr>
        <w:t>Bar charts and dot plots:</w:t>
      </w:r>
      <w:r w:rsidRPr="00EB4F6F">
        <w:t xml:space="preserve"> Most reliable for comparisons due to aligned baselines (Cleveland &amp; McGill, 1984).</w:t>
      </w:r>
    </w:p>
    <w:p w14:paraId="6131D94F" w14:textId="77777777" w:rsidR="00EB4F6F" w:rsidRPr="00EB4F6F" w:rsidRDefault="00EB4F6F" w:rsidP="00EB4F6F">
      <w:pPr>
        <w:numPr>
          <w:ilvl w:val="0"/>
          <w:numId w:val="6"/>
        </w:numPr>
      </w:pPr>
      <w:r w:rsidRPr="00EB4F6F">
        <w:rPr>
          <w:b/>
          <w:bCs/>
        </w:rPr>
        <w:t>Line charts:</w:t>
      </w:r>
      <w:r w:rsidRPr="00EB4F6F">
        <w:t xml:space="preserve"> Effective for trends over time when scales are consistent and annotated.</w:t>
      </w:r>
    </w:p>
    <w:p w14:paraId="506AA768" w14:textId="77777777" w:rsidR="00EB4F6F" w:rsidRPr="00EB4F6F" w:rsidRDefault="00EB4F6F" w:rsidP="00EB4F6F">
      <w:pPr>
        <w:numPr>
          <w:ilvl w:val="0"/>
          <w:numId w:val="6"/>
        </w:numPr>
      </w:pPr>
      <w:r w:rsidRPr="00EB4F6F">
        <w:rPr>
          <w:b/>
          <w:bCs/>
        </w:rPr>
        <w:t>Pie charts:</w:t>
      </w:r>
      <w:r w:rsidRPr="00EB4F6F">
        <w:t xml:space="preserve"> Acceptable for simple part-to-whole tasks with few categories, but weaker for precise comparison.</w:t>
      </w:r>
    </w:p>
    <w:p w14:paraId="26A5165A" w14:textId="77777777" w:rsidR="00EB4F6F" w:rsidRPr="00EB4F6F" w:rsidRDefault="00EB4F6F" w:rsidP="00EB4F6F">
      <w:pPr>
        <w:numPr>
          <w:ilvl w:val="0"/>
          <w:numId w:val="6"/>
        </w:numPr>
      </w:pPr>
      <w:r w:rsidRPr="00EB4F6F">
        <w:rPr>
          <w:b/>
          <w:bCs/>
        </w:rPr>
        <w:t>Stacked bar charts:</w:t>
      </w:r>
      <w:r w:rsidRPr="00EB4F6F">
        <w:t xml:space="preserve"> Difficult for comparing non-baseline segments; suitable primarily for showing composition.</w:t>
      </w:r>
    </w:p>
    <w:p w14:paraId="26573ECF" w14:textId="77777777" w:rsidR="00EB4F6F" w:rsidRPr="00EB4F6F" w:rsidRDefault="00EB4F6F" w:rsidP="00EB4F6F">
      <w:pPr>
        <w:numPr>
          <w:ilvl w:val="0"/>
          <w:numId w:val="6"/>
        </w:numPr>
      </w:pPr>
      <w:r w:rsidRPr="00EB4F6F">
        <w:rPr>
          <w:b/>
          <w:bCs/>
        </w:rPr>
        <w:t>Dual-axis charts:</w:t>
      </w:r>
      <w:r w:rsidRPr="00EB4F6F">
        <w:t xml:space="preserve"> High risk of misinterpretation and scale manipulation; generally inappropriate for executive communication.</w:t>
      </w:r>
    </w:p>
    <w:p w14:paraId="7C1142F1" w14:textId="77777777" w:rsidR="00EB4F6F" w:rsidRPr="00EB4F6F" w:rsidRDefault="00EB4F6F" w:rsidP="00EB4F6F">
      <w:pPr>
        <w:numPr>
          <w:ilvl w:val="0"/>
          <w:numId w:val="6"/>
        </w:numPr>
      </w:pPr>
      <w:r w:rsidRPr="00EB4F6F">
        <w:rPr>
          <w:b/>
          <w:bCs/>
        </w:rPr>
        <w:t>Choropleth maps:</w:t>
      </w:r>
      <w:r w:rsidRPr="00EB4F6F">
        <w:t xml:space="preserve"> Useful for rate-based geographic patterns but vulnerable to area bias and the Modifiable Areal Unit Problem (MAUP); tile grid maps mitigate these issues for comparison tasks.</w:t>
      </w:r>
    </w:p>
    <w:p w14:paraId="3D421D26" w14:textId="77777777" w:rsidR="00EB4F6F" w:rsidRPr="00EB4F6F" w:rsidRDefault="00EB4F6F" w:rsidP="00EB4F6F">
      <w:pPr>
        <w:rPr>
          <w:b/>
          <w:bCs/>
        </w:rPr>
      </w:pPr>
      <w:r w:rsidRPr="00EB4F6F">
        <w:rPr>
          <w:b/>
          <w:bCs/>
        </w:rPr>
        <w:t>Embellishment and Memorability</w:t>
      </w:r>
    </w:p>
    <w:p w14:paraId="2C650F8D" w14:textId="77777777" w:rsidR="00EB4F6F" w:rsidRPr="00EB4F6F" w:rsidRDefault="00EB4F6F" w:rsidP="00EB4F6F">
      <w:r w:rsidRPr="00EB4F6F">
        <w:t>Minimalist principles improve analytical clarity (Tufte, 2001). However, empirical studies demonstrate that thematically relevant embellishment can improve memorability without harming comprehension in many contexts (Bateman et al., 2010; Borkin et al., 2013).</w:t>
      </w:r>
    </w:p>
    <w:p w14:paraId="3C125868" w14:textId="77777777" w:rsidR="00EB4F6F" w:rsidRPr="00EB4F6F" w:rsidRDefault="00EB4F6F" w:rsidP="00EB4F6F">
      <w:r w:rsidRPr="00EB4F6F">
        <w:rPr>
          <w:b/>
          <w:bCs/>
        </w:rPr>
        <w:t>Implication:</w:t>
      </w:r>
      <w:r w:rsidRPr="00EB4F6F">
        <w:t xml:space="preserve"> Design choices should follow purpose—analysis versus communication—rather than strict stylistic ideology.</w:t>
      </w:r>
    </w:p>
    <w:p w14:paraId="26D672DD" w14:textId="77777777" w:rsidR="00EB4F6F" w:rsidRPr="00EB4F6F" w:rsidRDefault="00EB4F6F" w:rsidP="00EB4F6F">
      <w:r w:rsidRPr="00EB4F6F">
        <w:pict w14:anchorId="2A837379">
          <v:rect id="_x0000_i1134" style="width:0;height:1.5pt" o:hralign="center" o:hrstd="t" o:hr="t" fillcolor="#a0a0a0" stroked="f"/>
        </w:pict>
      </w:r>
    </w:p>
    <w:p w14:paraId="0C013D0A" w14:textId="77777777" w:rsidR="00EB4F6F" w:rsidRPr="00EB4F6F" w:rsidRDefault="00EB4F6F" w:rsidP="00EB4F6F">
      <w:pPr>
        <w:rPr>
          <w:b/>
          <w:bCs/>
        </w:rPr>
      </w:pPr>
      <w:r w:rsidRPr="00EB4F6F">
        <w:rPr>
          <w:b/>
          <w:bCs/>
        </w:rPr>
        <w:t>V. Executive Communication in Government</w:t>
      </w:r>
    </w:p>
    <w:p w14:paraId="268F5751" w14:textId="77777777" w:rsidR="00EB4F6F" w:rsidRPr="00EB4F6F" w:rsidRDefault="00EB4F6F" w:rsidP="00EB4F6F">
      <w:r w:rsidRPr="00EB4F6F">
        <w:lastRenderedPageBreak/>
        <w:t>Direct experimental research on executive audiences is limited. Nevertheless, converging evidence from cognitive science, usability research, and professional practice supports several consistent heuristics:</w:t>
      </w:r>
    </w:p>
    <w:p w14:paraId="6415781E" w14:textId="77777777" w:rsidR="00EB4F6F" w:rsidRPr="00EB4F6F" w:rsidRDefault="00EB4F6F" w:rsidP="00EB4F6F">
      <w:pPr>
        <w:numPr>
          <w:ilvl w:val="0"/>
          <w:numId w:val="7"/>
        </w:numPr>
      </w:pPr>
      <w:r w:rsidRPr="00EB4F6F">
        <w:t>Executives are time-constrained and risk-focused.</w:t>
      </w:r>
    </w:p>
    <w:p w14:paraId="26AE11DC" w14:textId="77777777" w:rsidR="00EB4F6F" w:rsidRPr="00EB4F6F" w:rsidRDefault="00EB4F6F" w:rsidP="00EB4F6F">
      <w:pPr>
        <w:numPr>
          <w:ilvl w:val="0"/>
          <w:numId w:val="7"/>
        </w:numPr>
      </w:pPr>
      <w:r w:rsidRPr="00EB4F6F">
        <w:t>Clear takeaways matter more than exhaustive detail.</w:t>
      </w:r>
    </w:p>
    <w:p w14:paraId="7EEFDB2B" w14:textId="77777777" w:rsidR="00EB4F6F" w:rsidRPr="00EB4F6F" w:rsidRDefault="00EB4F6F" w:rsidP="00EB4F6F">
      <w:pPr>
        <w:numPr>
          <w:ilvl w:val="0"/>
          <w:numId w:val="7"/>
        </w:numPr>
      </w:pPr>
      <w:r w:rsidRPr="00EB4F6F">
        <w:t xml:space="preserve">Visual </w:t>
      </w:r>
      <w:proofErr w:type="gramStart"/>
      <w:r w:rsidRPr="00EB4F6F">
        <w:t>clutter</w:t>
      </w:r>
      <w:proofErr w:type="gramEnd"/>
      <w:r w:rsidRPr="00EB4F6F">
        <w:t xml:space="preserve"> increases interpretive risk.</w:t>
      </w:r>
    </w:p>
    <w:p w14:paraId="52B7EDF1" w14:textId="77777777" w:rsidR="00EB4F6F" w:rsidRPr="00EB4F6F" w:rsidRDefault="00EB4F6F" w:rsidP="00EB4F6F">
      <w:pPr>
        <w:numPr>
          <w:ilvl w:val="0"/>
          <w:numId w:val="7"/>
        </w:numPr>
      </w:pPr>
      <w:r w:rsidRPr="00EB4F6F">
        <w:t>Explicit communication of limitations protects decision-makers.</w:t>
      </w:r>
    </w:p>
    <w:p w14:paraId="753010FC" w14:textId="77777777" w:rsidR="00EB4F6F" w:rsidRPr="00EB4F6F" w:rsidRDefault="00EB4F6F" w:rsidP="00EB4F6F">
      <w:r w:rsidRPr="00EB4F6F">
        <w:t>Practices observed in organizations such as the Congressional Research Service reinforce these principles through at-a-glance summaries, clear sourcing, and layered detail for staff follow-up.</w:t>
      </w:r>
    </w:p>
    <w:p w14:paraId="50089CF7" w14:textId="77777777" w:rsidR="00EB4F6F" w:rsidRPr="00EB4F6F" w:rsidRDefault="00EB4F6F" w:rsidP="00EB4F6F">
      <w:r w:rsidRPr="00EB4F6F">
        <w:rPr>
          <w:b/>
          <w:bCs/>
        </w:rPr>
        <w:t>Implication:</w:t>
      </w:r>
      <w:r w:rsidRPr="00EB4F6F">
        <w:t xml:space="preserve"> Executive visualization guidance should be presented as </w:t>
      </w:r>
      <w:r w:rsidRPr="00EB4F6F">
        <w:rPr>
          <w:b/>
          <w:bCs/>
        </w:rPr>
        <w:t>evidence-informed best practice</w:t>
      </w:r>
      <w:r w:rsidRPr="00EB4F6F">
        <w:t>, not experimentally proven law.</w:t>
      </w:r>
    </w:p>
    <w:p w14:paraId="757A8EA9" w14:textId="77777777" w:rsidR="00EB4F6F" w:rsidRPr="00EB4F6F" w:rsidRDefault="00EB4F6F" w:rsidP="00EB4F6F">
      <w:r w:rsidRPr="00EB4F6F">
        <w:pict w14:anchorId="0FF1A487">
          <v:rect id="_x0000_i1135" style="width:0;height:1.5pt" o:hralign="center" o:hrstd="t" o:hr="t" fillcolor="#a0a0a0" stroked="f"/>
        </w:pict>
      </w:r>
    </w:p>
    <w:p w14:paraId="79BFEEEA" w14:textId="77777777" w:rsidR="00EB4F6F" w:rsidRPr="00EB4F6F" w:rsidRDefault="00EB4F6F" w:rsidP="00EB4F6F">
      <w:pPr>
        <w:rPr>
          <w:b/>
          <w:bCs/>
        </w:rPr>
      </w:pPr>
      <w:r w:rsidRPr="00EB4F6F">
        <w:rPr>
          <w:b/>
          <w:bCs/>
        </w:rPr>
        <w:t>VI. Practical Synthesis</w:t>
      </w:r>
    </w:p>
    <w:p w14:paraId="533D7B39" w14:textId="77777777" w:rsidR="00EB4F6F" w:rsidRPr="00EB4F6F" w:rsidRDefault="00EB4F6F" w:rsidP="00EB4F6F">
      <w:r w:rsidRPr="00EB4F6F">
        <w:t>Across all evidence reviewed, several conclusions are robust:</w:t>
      </w:r>
    </w:p>
    <w:p w14:paraId="78AD090E" w14:textId="77777777" w:rsidR="00EB4F6F" w:rsidRPr="00EB4F6F" w:rsidRDefault="00EB4F6F" w:rsidP="00EB4F6F">
      <w:pPr>
        <w:numPr>
          <w:ilvl w:val="0"/>
          <w:numId w:val="8"/>
        </w:numPr>
      </w:pPr>
      <w:proofErr w:type="gramStart"/>
      <w:r w:rsidRPr="00EB4F6F">
        <w:t>Visualization design</w:t>
      </w:r>
      <w:proofErr w:type="gramEnd"/>
      <w:r w:rsidRPr="00EB4F6F">
        <w:t xml:space="preserve"> materially affects interpretation and decisions.</w:t>
      </w:r>
    </w:p>
    <w:p w14:paraId="214145A4" w14:textId="77777777" w:rsidR="00EB4F6F" w:rsidRPr="00EB4F6F" w:rsidRDefault="00EB4F6F" w:rsidP="00EB4F6F">
      <w:pPr>
        <w:numPr>
          <w:ilvl w:val="0"/>
          <w:numId w:val="8"/>
        </w:numPr>
      </w:pPr>
      <w:r w:rsidRPr="00EB4F6F">
        <w:t>Perceptual science provides strong but probabilistic guidance.</w:t>
      </w:r>
    </w:p>
    <w:p w14:paraId="60195940" w14:textId="77777777" w:rsidR="00EB4F6F" w:rsidRPr="00EB4F6F" w:rsidRDefault="00EB4F6F" w:rsidP="00EB4F6F">
      <w:pPr>
        <w:numPr>
          <w:ilvl w:val="0"/>
          <w:numId w:val="8"/>
        </w:numPr>
      </w:pPr>
      <w:r w:rsidRPr="00EB4F6F">
        <w:t>Accessibility and equity are foundational in government work.</w:t>
      </w:r>
    </w:p>
    <w:p w14:paraId="4781E0B0" w14:textId="77777777" w:rsidR="00EB4F6F" w:rsidRPr="00EB4F6F" w:rsidRDefault="00EB4F6F" w:rsidP="00EB4F6F">
      <w:pPr>
        <w:numPr>
          <w:ilvl w:val="0"/>
          <w:numId w:val="8"/>
        </w:numPr>
      </w:pPr>
      <w:r w:rsidRPr="00EB4F6F">
        <w:t>Chart guidance is context-dependent; absolutes are rarely justified.</w:t>
      </w:r>
    </w:p>
    <w:p w14:paraId="5C95A41D" w14:textId="77777777" w:rsidR="00EB4F6F" w:rsidRPr="00EB4F6F" w:rsidRDefault="00EB4F6F" w:rsidP="00EB4F6F">
      <w:pPr>
        <w:numPr>
          <w:ilvl w:val="0"/>
          <w:numId w:val="8"/>
        </w:numPr>
      </w:pPr>
      <w:r w:rsidRPr="00EB4F6F">
        <w:t>Executive communication benefits from clarity, restraint, and explicit framing of uncertainty.</w:t>
      </w:r>
    </w:p>
    <w:p w14:paraId="73C5E71D" w14:textId="77777777" w:rsidR="00EB4F6F" w:rsidRPr="00EB4F6F" w:rsidRDefault="00EB4F6F" w:rsidP="00EB4F6F">
      <w:r w:rsidRPr="00EB4F6F">
        <w:t xml:space="preserve">The most defensible approach for government organizations is </w:t>
      </w:r>
      <w:r w:rsidRPr="00EB4F6F">
        <w:rPr>
          <w:b/>
          <w:bCs/>
        </w:rPr>
        <w:t>principled flexibility</w:t>
      </w:r>
      <w:r w:rsidRPr="00EB4F6F">
        <w:t>: default to designs with the strongest evidence, document deviations, and align visualization choices with audience, task, and public responsibility.</w:t>
      </w:r>
    </w:p>
    <w:p w14:paraId="0A404A09" w14:textId="77777777" w:rsidR="00EB4F6F" w:rsidRPr="00EB4F6F" w:rsidRDefault="00EB4F6F" w:rsidP="00EB4F6F">
      <w:r w:rsidRPr="00EB4F6F">
        <w:pict w14:anchorId="44419207">
          <v:rect id="_x0000_i1136" style="width:0;height:1.5pt" o:hralign="center" o:hrstd="t" o:hr="t" fillcolor="#a0a0a0" stroked="f"/>
        </w:pict>
      </w:r>
    </w:p>
    <w:p w14:paraId="5F64F08B" w14:textId="77777777" w:rsidR="00EB4F6F" w:rsidRPr="00EB4F6F" w:rsidRDefault="00EB4F6F" w:rsidP="00EB4F6F">
      <w:pPr>
        <w:rPr>
          <w:b/>
          <w:bCs/>
        </w:rPr>
      </w:pPr>
      <w:r w:rsidRPr="00EB4F6F">
        <w:rPr>
          <w:b/>
          <w:bCs/>
        </w:rPr>
        <w:t>References</w:t>
      </w:r>
    </w:p>
    <w:p w14:paraId="3E6CE3F5" w14:textId="77777777" w:rsidR="00EB4F6F" w:rsidRPr="00EB4F6F" w:rsidRDefault="00EB4F6F" w:rsidP="00EB4F6F">
      <w:r w:rsidRPr="00EB4F6F">
        <w:t xml:space="preserve">Bateman, S., Mandryk, R. L., </w:t>
      </w:r>
      <w:proofErr w:type="spellStart"/>
      <w:r w:rsidRPr="00EB4F6F">
        <w:t>Gutwin</w:t>
      </w:r>
      <w:proofErr w:type="spellEnd"/>
      <w:r w:rsidRPr="00EB4F6F">
        <w:t xml:space="preserve">, C., Genest, A., </w:t>
      </w:r>
      <w:proofErr w:type="spellStart"/>
      <w:r w:rsidRPr="00EB4F6F">
        <w:t>McDine</w:t>
      </w:r>
      <w:proofErr w:type="spellEnd"/>
      <w:r w:rsidRPr="00EB4F6F">
        <w:t xml:space="preserve">, D., &amp; Brooks, C. (2010). Useful junk? The effects of visual embellishment on comprehension and memorability of charts. </w:t>
      </w:r>
      <w:r w:rsidRPr="00EB4F6F">
        <w:rPr>
          <w:i/>
          <w:iCs/>
        </w:rPr>
        <w:lastRenderedPageBreak/>
        <w:t>Proceedings of the SIGCHI Conference on Human Factors in Computing Systems</w:t>
      </w:r>
      <w:r w:rsidRPr="00EB4F6F">
        <w:t>, 2573–2582.</w:t>
      </w:r>
    </w:p>
    <w:p w14:paraId="7271F136" w14:textId="77777777" w:rsidR="00EB4F6F" w:rsidRPr="00EB4F6F" w:rsidRDefault="00EB4F6F" w:rsidP="00EB4F6F">
      <w:r w:rsidRPr="00EB4F6F">
        <w:t xml:space="preserve">Bertin, J. (1967). </w:t>
      </w:r>
      <w:proofErr w:type="spellStart"/>
      <w:r w:rsidRPr="00EB4F6F">
        <w:rPr>
          <w:i/>
          <w:iCs/>
        </w:rPr>
        <w:t>Sémiologie</w:t>
      </w:r>
      <w:proofErr w:type="spellEnd"/>
      <w:r w:rsidRPr="00EB4F6F">
        <w:rPr>
          <w:i/>
          <w:iCs/>
        </w:rPr>
        <w:t xml:space="preserve"> </w:t>
      </w:r>
      <w:proofErr w:type="spellStart"/>
      <w:r w:rsidRPr="00EB4F6F">
        <w:rPr>
          <w:i/>
          <w:iCs/>
        </w:rPr>
        <w:t>graphique</w:t>
      </w:r>
      <w:proofErr w:type="spellEnd"/>
      <w:r w:rsidRPr="00EB4F6F">
        <w:t>. Paris: Gauthier-Villars.</w:t>
      </w:r>
    </w:p>
    <w:p w14:paraId="183FA233" w14:textId="77777777" w:rsidR="00EB4F6F" w:rsidRPr="00EB4F6F" w:rsidRDefault="00EB4F6F" w:rsidP="00EB4F6F">
      <w:r w:rsidRPr="00EB4F6F">
        <w:t xml:space="preserve">Borkin, M. A., Vo, A. A., </w:t>
      </w:r>
      <w:proofErr w:type="spellStart"/>
      <w:r w:rsidRPr="00EB4F6F">
        <w:t>Bylinskii</w:t>
      </w:r>
      <w:proofErr w:type="spellEnd"/>
      <w:r w:rsidRPr="00EB4F6F">
        <w:t xml:space="preserve">, Z., Isola, P., Sunkavalli, S., Oliva, A., &amp; Pfister, H. (2013). What makes </w:t>
      </w:r>
      <w:proofErr w:type="gramStart"/>
      <w:r w:rsidRPr="00EB4F6F">
        <w:t>a visualization</w:t>
      </w:r>
      <w:proofErr w:type="gramEnd"/>
      <w:r w:rsidRPr="00EB4F6F">
        <w:t xml:space="preserve"> memorable? </w:t>
      </w:r>
      <w:r w:rsidRPr="00EB4F6F">
        <w:rPr>
          <w:i/>
          <w:iCs/>
        </w:rPr>
        <w:t>IEEE Transactions on Visualization and Computer Graphics</w:t>
      </w:r>
      <w:r w:rsidRPr="00EB4F6F">
        <w:t>, 19(12), 2306–2315.</w:t>
      </w:r>
    </w:p>
    <w:p w14:paraId="5C3E427C" w14:textId="77777777" w:rsidR="00EB4F6F" w:rsidRPr="00EB4F6F" w:rsidRDefault="00EB4F6F" w:rsidP="00EB4F6F">
      <w:r w:rsidRPr="00EB4F6F">
        <w:t xml:space="preserve">Cleveland, W. S., &amp; McGill, R. (1984). Graphical perception: Theory, experimentation, and application to the development of graphical methods. </w:t>
      </w:r>
      <w:r w:rsidRPr="00EB4F6F">
        <w:rPr>
          <w:i/>
          <w:iCs/>
        </w:rPr>
        <w:t>Journal of the American Statistical Association</w:t>
      </w:r>
      <w:r w:rsidRPr="00EB4F6F">
        <w:t>, 79(387), 531–554.</w:t>
      </w:r>
    </w:p>
    <w:p w14:paraId="5B898595" w14:textId="77777777" w:rsidR="00EB4F6F" w:rsidRPr="00EB4F6F" w:rsidRDefault="00EB4F6F" w:rsidP="00EB4F6F">
      <w:r w:rsidRPr="00EB4F6F">
        <w:t xml:space="preserve">Heer, J., &amp; Bostock, M. (2010). Crowdsourcing graphical perception: Using Mechanical Turk to assess visualization design. </w:t>
      </w:r>
      <w:r w:rsidRPr="00EB4F6F">
        <w:rPr>
          <w:i/>
          <w:iCs/>
        </w:rPr>
        <w:t>Proceedings of the SIGCHI Conference on Human Factors in Computing Systems</w:t>
      </w:r>
      <w:r w:rsidRPr="00EB4F6F">
        <w:t>, 203–212.</w:t>
      </w:r>
    </w:p>
    <w:p w14:paraId="45D68C9B" w14:textId="77777777" w:rsidR="00EB4F6F" w:rsidRPr="00EB4F6F" w:rsidRDefault="00EB4F6F" w:rsidP="00EB4F6F">
      <w:proofErr w:type="spellStart"/>
      <w:r w:rsidRPr="00EB4F6F">
        <w:t>Knaflic</w:t>
      </w:r>
      <w:proofErr w:type="spellEnd"/>
      <w:r w:rsidRPr="00EB4F6F">
        <w:t xml:space="preserve">, C. N. (2015). </w:t>
      </w:r>
      <w:r w:rsidRPr="00EB4F6F">
        <w:rPr>
          <w:i/>
          <w:iCs/>
        </w:rPr>
        <w:t>Storytelling with data: A data visualization guide for business professionals</w:t>
      </w:r>
      <w:r w:rsidRPr="00EB4F6F">
        <w:t>. Hoboken, NJ: Wiley.</w:t>
      </w:r>
    </w:p>
    <w:p w14:paraId="52DCEA3A" w14:textId="77777777" w:rsidR="00EB4F6F" w:rsidRPr="00EB4F6F" w:rsidRDefault="00EB4F6F" w:rsidP="00EB4F6F">
      <w:r w:rsidRPr="00EB4F6F">
        <w:t xml:space="preserve">Mackinlay, J. (1986). Automating the design of graphical presentations of relational information. </w:t>
      </w:r>
      <w:r w:rsidRPr="00EB4F6F">
        <w:rPr>
          <w:i/>
          <w:iCs/>
        </w:rPr>
        <w:t>ACM Transactions on Graphics</w:t>
      </w:r>
      <w:r w:rsidRPr="00EB4F6F">
        <w:t>, 5(2), 110–141.</w:t>
      </w:r>
    </w:p>
    <w:p w14:paraId="00129DB3" w14:textId="77777777" w:rsidR="00EB4F6F" w:rsidRPr="00EB4F6F" w:rsidRDefault="00EB4F6F" w:rsidP="00EB4F6F">
      <w:r w:rsidRPr="00EB4F6F">
        <w:t xml:space="preserve">Tufte, E. R. (2001). </w:t>
      </w:r>
      <w:r w:rsidRPr="00EB4F6F">
        <w:rPr>
          <w:i/>
          <w:iCs/>
        </w:rPr>
        <w:t>The visual display of quantitative information</w:t>
      </w:r>
      <w:r w:rsidRPr="00EB4F6F">
        <w:t xml:space="preserve"> (2nd ed.). Cheshire, CT: Graphics Press.</w:t>
      </w:r>
    </w:p>
    <w:p w14:paraId="65387B58" w14:textId="77777777" w:rsidR="00EB4F6F" w:rsidRPr="00EB4F6F" w:rsidRDefault="00EB4F6F" w:rsidP="00EB4F6F">
      <w:r w:rsidRPr="00EB4F6F">
        <w:t xml:space="preserve">Urban Institute. (n.d.). </w:t>
      </w:r>
      <w:r w:rsidRPr="00EB4F6F">
        <w:rPr>
          <w:i/>
          <w:iCs/>
        </w:rPr>
        <w:t>Data Visualization Style Guide</w:t>
      </w:r>
      <w:r w:rsidRPr="00EB4F6F">
        <w:t xml:space="preserve">; </w:t>
      </w:r>
      <w:r w:rsidRPr="00EB4F6F">
        <w:rPr>
          <w:i/>
          <w:iCs/>
        </w:rPr>
        <w:t>Do No Harm Guide</w:t>
      </w:r>
      <w:r w:rsidRPr="00EB4F6F">
        <w:t>.</w:t>
      </w:r>
    </w:p>
    <w:p w14:paraId="42E0DC53" w14:textId="77777777" w:rsidR="00EB4F6F" w:rsidRPr="00EB4F6F" w:rsidRDefault="00EB4F6F" w:rsidP="00EB4F6F">
      <w:r w:rsidRPr="00EB4F6F">
        <w:t xml:space="preserve">U.S. Web Design System. (n.d.). </w:t>
      </w:r>
      <w:r w:rsidRPr="00EB4F6F">
        <w:rPr>
          <w:i/>
          <w:iCs/>
        </w:rPr>
        <w:t>Accessibility and data visualization guidance</w:t>
      </w:r>
      <w:r w:rsidRPr="00EB4F6F">
        <w:t>.</w:t>
      </w:r>
    </w:p>
    <w:p w14:paraId="3D860E67" w14:textId="77777777" w:rsidR="00994FCB" w:rsidRDefault="00994FCB"/>
    <w:sectPr w:rsidR="00994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C2B"/>
    <w:multiLevelType w:val="multilevel"/>
    <w:tmpl w:val="AFD0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C5CFA"/>
    <w:multiLevelType w:val="multilevel"/>
    <w:tmpl w:val="6902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51703"/>
    <w:multiLevelType w:val="multilevel"/>
    <w:tmpl w:val="EFB4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52534"/>
    <w:multiLevelType w:val="multilevel"/>
    <w:tmpl w:val="FFA4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906C1"/>
    <w:multiLevelType w:val="multilevel"/>
    <w:tmpl w:val="B0CE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E80FA1"/>
    <w:multiLevelType w:val="multilevel"/>
    <w:tmpl w:val="7D8E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F5C0B"/>
    <w:multiLevelType w:val="multilevel"/>
    <w:tmpl w:val="AE12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F43164"/>
    <w:multiLevelType w:val="multilevel"/>
    <w:tmpl w:val="04E0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494791">
    <w:abstractNumId w:val="5"/>
  </w:num>
  <w:num w:numId="2" w16cid:durableId="838888258">
    <w:abstractNumId w:val="6"/>
  </w:num>
  <w:num w:numId="3" w16cid:durableId="1587881312">
    <w:abstractNumId w:val="1"/>
  </w:num>
  <w:num w:numId="4" w16cid:durableId="640574043">
    <w:abstractNumId w:val="0"/>
  </w:num>
  <w:num w:numId="5" w16cid:durableId="518542561">
    <w:abstractNumId w:val="7"/>
  </w:num>
  <w:num w:numId="6" w16cid:durableId="677541689">
    <w:abstractNumId w:val="3"/>
  </w:num>
  <w:num w:numId="7" w16cid:durableId="117336719">
    <w:abstractNumId w:val="2"/>
  </w:num>
  <w:num w:numId="8" w16cid:durableId="1393850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F6F"/>
    <w:rsid w:val="002535C0"/>
    <w:rsid w:val="00323A8C"/>
    <w:rsid w:val="00994FCB"/>
    <w:rsid w:val="00BC16C9"/>
    <w:rsid w:val="00E10B8E"/>
    <w:rsid w:val="00EB4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B9AEA"/>
  <w15:chartTrackingRefBased/>
  <w15:docId w15:val="{42264FA4-29FE-4000-9E3F-0A4CDD9E2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F6F"/>
    <w:rPr>
      <w:rFonts w:eastAsiaTheme="majorEastAsia" w:cstheme="majorBidi"/>
      <w:color w:val="272727" w:themeColor="text1" w:themeTint="D8"/>
    </w:rPr>
  </w:style>
  <w:style w:type="paragraph" w:styleId="Title">
    <w:name w:val="Title"/>
    <w:basedOn w:val="Normal"/>
    <w:next w:val="Normal"/>
    <w:link w:val="TitleChar"/>
    <w:uiPriority w:val="10"/>
    <w:qFormat/>
    <w:rsid w:val="00EB4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F6F"/>
    <w:pPr>
      <w:spacing w:before="160"/>
      <w:jc w:val="center"/>
    </w:pPr>
    <w:rPr>
      <w:i/>
      <w:iCs/>
      <w:color w:val="404040" w:themeColor="text1" w:themeTint="BF"/>
    </w:rPr>
  </w:style>
  <w:style w:type="character" w:customStyle="1" w:styleId="QuoteChar">
    <w:name w:val="Quote Char"/>
    <w:basedOn w:val="DefaultParagraphFont"/>
    <w:link w:val="Quote"/>
    <w:uiPriority w:val="29"/>
    <w:rsid w:val="00EB4F6F"/>
    <w:rPr>
      <w:i/>
      <w:iCs/>
      <w:color w:val="404040" w:themeColor="text1" w:themeTint="BF"/>
    </w:rPr>
  </w:style>
  <w:style w:type="paragraph" w:styleId="ListParagraph">
    <w:name w:val="List Paragraph"/>
    <w:basedOn w:val="Normal"/>
    <w:uiPriority w:val="34"/>
    <w:qFormat/>
    <w:rsid w:val="00EB4F6F"/>
    <w:pPr>
      <w:ind w:left="720"/>
      <w:contextualSpacing/>
    </w:pPr>
  </w:style>
  <w:style w:type="character" w:styleId="IntenseEmphasis">
    <w:name w:val="Intense Emphasis"/>
    <w:basedOn w:val="DefaultParagraphFont"/>
    <w:uiPriority w:val="21"/>
    <w:qFormat/>
    <w:rsid w:val="00EB4F6F"/>
    <w:rPr>
      <w:i/>
      <w:iCs/>
      <w:color w:val="0F4761" w:themeColor="accent1" w:themeShade="BF"/>
    </w:rPr>
  </w:style>
  <w:style w:type="paragraph" w:styleId="IntenseQuote">
    <w:name w:val="Intense Quote"/>
    <w:basedOn w:val="Normal"/>
    <w:next w:val="Normal"/>
    <w:link w:val="IntenseQuoteChar"/>
    <w:uiPriority w:val="30"/>
    <w:qFormat/>
    <w:rsid w:val="00EB4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F6F"/>
    <w:rPr>
      <w:i/>
      <w:iCs/>
      <w:color w:val="0F4761" w:themeColor="accent1" w:themeShade="BF"/>
    </w:rPr>
  </w:style>
  <w:style w:type="character" w:styleId="IntenseReference">
    <w:name w:val="Intense Reference"/>
    <w:basedOn w:val="DefaultParagraphFont"/>
    <w:uiPriority w:val="32"/>
    <w:qFormat/>
    <w:rsid w:val="00EB4F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1363</Words>
  <Characters>7773</Characters>
  <Application>Microsoft Office Word</Application>
  <DocSecurity>0</DocSecurity>
  <Lines>64</Lines>
  <Paragraphs>18</Paragraphs>
  <ScaleCrop>false</ScaleCrop>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Korous, Kevin (ACF) (CTR)</dc:creator>
  <cp:keywords/>
  <dc:description/>
  <cp:lastModifiedBy>Korous, Kevin (ACF) (CTR)</cp:lastModifiedBy>
  <cp:revision>1</cp:revision>
  <dcterms:created xsi:type="dcterms:W3CDTF">2026-02-06T18:46:00Z</dcterms:created>
  <dcterms:modified xsi:type="dcterms:W3CDTF">2026-02-06T18:50:00Z</dcterms:modified>
</cp:coreProperties>
</file>