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6D4C6" w14:textId="77777777" w:rsidR="0007366F" w:rsidRPr="0007366F" w:rsidRDefault="0007366F" w:rsidP="0007366F">
      <w:pPr>
        <w:shd w:val="clear" w:color="auto" w:fill="F8FAFD"/>
        <w:spacing w:after="100" w:afterAutospacing="1" w:line="360" w:lineRule="atLeast"/>
        <w:outlineLvl w:val="2"/>
        <w:rPr>
          <w:rFonts w:ascii="Roboto" w:eastAsia="Times New Roman" w:hAnsi="Roboto" w:cs="Times New Roman"/>
          <w:b/>
          <w:bCs/>
          <w:color w:val="1F1F1F"/>
          <w:kern w:val="0"/>
          <w14:ligatures w14:val="none"/>
        </w:rPr>
      </w:pPr>
      <w:r w:rsidRPr="0007366F">
        <w:rPr>
          <w:rFonts w:ascii="Roboto" w:eastAsia="Times New Roman" w:hAnsi="Roboto" w:cs="Times New Roman"/>
          <w:b/>
          <w:bCs/>
          <w:color w:val="1F1F1F"/>
          <w:kern w:val="0"/>
          <w14:ligatures w14:val="none"/>
        </w:rPr>
        <w:t>Evidence Matrix: Scientific Foundations of Data Visualization Best Practices</w:t>
      </w:r>
    </w:p>
    <w:p w14:paraId="6CAD7D54" w14:textId="77777777" w:rsidR="0007366F" w:rsidRPr="0007366F" w:rsidRDefault="0007366F" w:rsidP="0007366F">
      <w:pPr>
        <w:spacing w:after="0" w:line="240" w:lineRule="auto"/>
        <w:rPr>
          <w:rFonts w:ascii="Roboto" w:eastAsia="Times New Roman" w:hAnsi="Roboto" w:cs="Times New Roman"/>
          <w:kern w:val="0"/>
          <w14:ligatures w14:val="none"/>
        </w:rPr>
      </w:pPr>
      <w:r w:rsidRPr="0007366F">
        <w:rPr>
          <w:rFonts w:ascii="Times New Roman" w:eastAsia="Times New Roman" w:hAnsi="Times New Roman" w:cs="Times New Roman"/>
          <w:kern w:val="0"/>
          <w14:ligatures w14:val="none"/>
        </w:rPr>
        <w:pict w14:anchorId="29B82BB1">
          <v:rect id="_x0000_i1169" style="width:0;height:1.5pt" o:hralign="center" o:hrstd="t" o:hr="t" fillcolor="#a0a0a0" stroked="f"/>
        </w:pict>
      </w:r>
    </w:p>
    <w:p w14:paraId="56ADF1B5" w14:textId="77777777" w:rsidR="0007366F" w:rsidRPr="0007366F" w:rsidRDefault="0007366F" w:rsidP="0007366F">
      <w:pPr>
        <w:shd w:val="clear" w:color="auto" w:fill="F8FAFD"/>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07366F">
        <w:rPr>
          <w:rFonts w:ascii="Roboto" w:eastAsia="Times New Roman" w:hAnsi="Roboto" w:cs="Times New Roman"/>
          <w:color w:val="1F1F1F"/>
          <w:kern w:val="0"/>
          <w14:ligatures w14:val="none"/>
        </w:rPr>
        <w:t>1. Cleveland &amp; McGill's Hierarchy of Elementary Perceptual Tasks</w:t>
      </w:r>
    </w:p>
    <w:p w14:paraId="6A1E7FB3" w14:textId="77777777" w:rsidR="0007366F" w:rsidRPr="0007366F" w:rsidRDefault="0007366F" w:rsidP="0007366F">
      <w:p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The hierarchy proposed by William S. Cleveland and Robert McGill in their 1984 paper, "Graphical Perception: Theory, Experimentation, and Application to the Development of Graphical Methods," provides a foundational framework for understanding how accurately humans decode visual information.</w:t>
      </w:r>
    </w:p>
    <w:tbl>
      <w:tblPr>
        <w:tblW w:w="10020" w:type="dxa"/>
        <w:tblCellMar>
          <w:top w:w="15" w:type="dxa"/>
          <w:left w:w="15" w:type="dxa"/>
          <w:bottom w:w="15" w:type="dxa"/>
          <w:right w:w="15" w:type="dxa"/>
        </w:tblCellMar>
        <w:tblLook w:val="04A0" w:firstRow="1" w:lastRow="0" w:firstColumn="1" w:lastColumn="0" w:noHBand="0" w:noVBand="1"/>
      </w:tblPr>
      <w:tblGrid>
        <w:gridCol w:w="1718"/>
        <w:gridCol w:w="1266"/>
        <w:gridCol w:w="2898"/>
        <w:gridCol w:w="2139"/>
        <w:gridCol w:w="1999"/>
      </w:tblGrid>
      <w:tr w:rsidR="0007366F" w:rsidRPr="0007366F" w14:paraId="27AC9EE2" w14:textId="77777777">
        <w:tc>
          <w:tcPr>
            <w:tcW w:w="0" w:type="auto"/>
            <w:tcBorders>
              <w:bottom w:val="single" w:sz="6" w:space="0" w:color="E1E3E1"/>
            </w:tcBorders>
            <w:tcMar>
              <w:top w:w="120" w:type="dxa"/>
              <w:left w:w="120" w:type="dxa"/>
              <w:bottom w:w="120" w:type="dxa"/>
              <w:right w:w="120" w:type="dxa"/>
            </w:tcMar>
            <w:hideMark/>
          </w:tcPr>
          <w:p w14:paraId="2F15D2CA"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Claim/Finding</w:t>
            </w:r>
          </w:p>
        </w:tc>
        <w:tc>
          <w:tcPr>
            <w:tcW w:w="0" w:type="auto"/>
            <w:tcBorders>
              <w:bottom w:val="single" w:sz="6" w:space="0" w:color="E1E3E1"/>
            </w:tcBorders>
            <w:tcMar>
              <w:top w:w="120" w:type="dxa"/>
              <w:left w:w="120" w:type="dxa"/>
              <w:bottom w:w="120" w:type="dxa"/>
              <w:right w:w="120" w:type="dxa"/>
            </w:tcMar>
            <w:hideMark/>
          </w:tcPr>
          <w:p w14:paraId="73446446"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Source(s)</w:t>
            </w:r>
          </w:p>
        </w:tc>
        <w:tc>
          <w:tcPr>
            <w:tcW w:w="0" w:type="auto"/>
            <w:tcBorders>
              <w:bottom w:val="single" w:sz="6" w:space="0" w:color="E1E3E1"/>
            </w:tcBorders>
            <w:tcMar>
              <w:top w:w="120" w:type="dxa"/>
              <w:left w:w="120" w:type="dxa"/>
              <w:bottom w:w="120" w:type="dxa"/>
              <w:right w:w="120" w:type="dxa"/>
            </w:tcMar>
            <w:hideMark/>
          </w:tcPr>
          <w:p w14:paraId="21C7C9EB"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Sample Size &amp; Methodology</w:t>
            </w:r>
          </w:p>
        </w:tc>
        <w:tc>
          <w:tcPr>
            <w:tcW w:w="0" w:type="auto"/>
            <w:tcBorders>
              <w:bottom w:val="single" w:sz="6" w:space="0" w:color="E1E3E1"/>
            </w:tcBorders>
            <w:tcMar>
              <w:top w:w="120" w:type="dxa"/>
              <w:left w:w="120" w:type="dxa"/>
              <w:bottom w:w="120" w:type="dxa"/>
              <w:right w:w="120" w:type="dxa"/>
            </w:tcMar>
            <w:hideMark/>
          </w:tcPr>
          <w:p w14:paraId="0899F2D9"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Key Findings &amp; Effect Sizes</w:t>
            </w:r>
          </w:p>
        </w:tc>
        <w:tc>
          <w:tcPr>
            <w:tcW w:w="0" w:type="auto"/>
            <w:tcBorders>
              <w:bottom w:val="single" w:sz="6" w:space="0" w:color="E1E3E1"/>
            </w:tcBorders>
            <w:tcMar>
              <w:top w:w="120" w:type="dxa"/>
              <w:left w:w="120" w:type="dxa"/>
              <w:bottom w:w="120" w:type="dxa"/>
              <w:right w:w="120" w:type="dxa"/>
            </w:tcMar>
            <w:hideMark/>
          </w:tcPr>
          <w:p w14:paraId="15062455"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Contradictory Findings or Refinements</w:t>
            </w:r>
          </w:p>
        </w:tc>
      </w:tr>
      <w:tr w:rsidR="0007366F" w:rsidRPr="0007366F" w14:paraId="312E9BD0" w14:textId="77777777">
        <w:tc>
          <w:tcPr>
            <w:tcW w:w="0" w:type="auto"/>
            <w:tcBorders>
              <w:bottom w:val="single" w:sz="6" w:space="0" w:color="E1E3E1"/>
            </w:tcBorders>
            <w:tcMar>
              <w:top w:w="120" w:type="dxa"/>
              <w:left w:w="120" w:type="dxa"/>
              <w:bottom w:w="120" w:type="dxa"/>
              <w:right w:w="120" w:type="dxa"/>
            </w:tcMar>
            <w:hideMark/>
          </w:tcPr>
          <w:p w14:paraId="2457FAF3"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The Complete Hierarchy of Perceptual Tasks</w:t>
            </w:r>
          </w:p>
        </w:tc>
        <w:tc>
          <w:tcPr>
            <w:tcW w:w="0" w:type="auto"/>
            <w:tcBorders>
              <w:bottom w:val="single" w:sz="6" w:space="0" w:color="E1E3E1"/>
            </w:tcBorders>
            <w:tcMar>
              <w:top w:w="120" w:type="dxa"/>
              <w:left w:w="120" w:type="dxa"/>
              <w:bottom w:w="120" w:type="dxa"/>
              <w:right w:w="120" w:type="dxa"/>
            </w:tcMar>
            <w:hideMark/>
          </w:tcPr>
          <w:p w14:paraId="5E43149E"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Cleveland &amp; McGill (1984, 1987)</w:t>
            </w:r>
          </w:p>
        </w:tc>
        <w:tc>
          <w:tcPr>
            <w:tcW w:w="0" w:type="auto"/>
            <w:tcBorders>
              <w:bottom w:val="single" w:sz="6" w:space="0" w:color="E1E3E1"/>
            </w:tcBorders>
            <w:tcMar>
              <w:top w:w="120" w:type="dxa"/>
              <w:left w:w="120" w:type="dxa"/>
              <w:bottom w:w="120" w:type="dxa"/>
              <w:right w:w="120" w:type="dxa"/>
            </w:tcMar>
            <w:hideMark/>
          </w:tcPr>
          <w:p w14:paraId="4E7AD128"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1984:</w:t>
            </w:r>
            <w:r w:rsidRPr="0007366F">
              <w:rPr>
                <w:rFonts w:ascii="Times New Roman" w:eastAsia="Times New Roman" w:hAnsi="Times New Roman" w:cs="Times New Roman"/>
                <w:color w:val="1F1F1F"/>
                <w:kern w:val="0"/>
                <w14:ligatures w14:val="none"/>
              </w:rPr>
              <w:t> 51 subjects in the main experiment. </w:t>
            </w:r>
            <w:r w:rsidRPr="0007366F">
              <w:rPr>
                <w:rFonts w:ascii="Roboto" w:eastAsia="Times New Roman" w:hAnsi="Roboto" w:cs="Times New Roman"/>
                <w:color w:val="1F1F1F"/>
                <w:kern w:val="0"/>
                <w14:ligatures w14:val="none"/>
              </w:rPr>
              <w:t>1987:</w:t>
            </w:r>
            <w:r w:rsidRPr="0007366F">
              <w:rPr>
                <w:rFonts w:ascii="Times New Roman" w:eastAsia="Times New Roman" w:hAnsi="Times New Roman" w:cs="Times New Roman"/>
                <w:color w:val="1F1F1F"/>
                <w:kern w:val="0"/>
                <w14:ligatures w14:val="none"/>
              </w:rPr>
              <w:t> 127 subjects (high school students, college students, and technical professionals). Both used paper-based stimuli where subjects judged the relative sizes of graphical elements.</w:t>
            </w:r>
          </w:p>
        </w:tc>
        <w:tc>
          <w:tcPr>
            <w:tcW w:w="0" w:type="auto"/>
            <w:tcBorders>
              <w:bottom w:val="single" w:sz="6" w:space="0" w:color="E1E3E1"/>
            </w:tcBorders>
            <w:tcMar>
              <w:top w:w="120" w:type="dxa"/>
              <w:left w:w="120" w:type="dxa"/>
              <w:bottom w:w="120" w:type="dxa"/>
              <w:right w:w="120" w:type="dxa"/>
            </w:tcMar>
            <w:hideMark/>
          </w:tcPr>
          <w:p w14:paraId="58B6CA9D"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The 1987 paper provides a clear ranking of elementary perceptual tasks from most to least accurate: 1. Position along a common scale 2. Position along identical, non-aligned scales 3. Length 4. Angle &amp; Slope (tie) 5. Area 6. Volume 7. Color Saturation &amp; Density (tie) 8. Color Hue.</w:t>
            </w:r>
          </w:p>
        </w:tc>
        <w:tc>
          <w:tcPr>
            <w:tcW w:w="0" w:type="auto"/>
            <w:tcBorders>
              <w:bottom w:val="single" w:sz="6" w:space="0" w:color="E1E3E1"/>
            </w:tcBorders>
            <w:tcMar>
              <w:top w:w="120" w:type="dxa"/>
              <w:left w:w="120" w:type="dxa"/>
              <w:bottom w:w="120" w:type="dxa"/>
              <w:right w:w="120" w:type="dxa"/>
            </w:tcMar>
            <w:hideMark/>
          </w:tcPr>
          <w:p w14:paraId="7787D621"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Heer &amp; Bostock (2010) found a similar, but not identical, ranking. Notably, they found angle judgments to be slightly more accurate than length judgments in some contexts.</w:t>
            </w:r>
          </w:p>
        </w:tc>
      </w:tr>
      <w:tr w:rsidR="0007366F" w:rsidRPr="0007366F" w14:paraId="005925EE" w14:textId="77777777">
        <w:tc>
          <w:tcPr>
            <w:tcW w:w="0" w:type="auto"/>
            <w:tcBorders>
              <w:bottom w:val="single" w:sz="6" w:space="0" w:color="E1E3E1"/>
            </w:tcBorders>
            <w:tcMar>
              <w:top w:w="120" w:type="dxa"/>
              <w:left w:w="120" w:type="dxa"/>
              <w:bottom w:w="120" w:type="dxa"/>
              <w:right w:w="120" w:type="dxa"/>
            </w:tcMar>
            <w:hideMark/>
          </w:tcPr>
          <w:p w14:paraId="641C3CB9"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Replication and Refinement of the Hierarchy</w:t>
            </w:r>
          </w:p>
        </w:tc>
        <w:tc>
          <w:tcPr>
            <w:tcW w:w="0" w:type="auto"/>
            <w:tcBorders>
              <w:bottom w:val="single" w:sz="6" w:space="0" w:color="E1E3E1"/>
            </w:tcBorders>
            <w:tcMar>
              <w:top w:w="120" w:type="dxa"/>
              <w:left w:w="120" w:type="dxa"/>
              <w:bottom w:w="120" w:type="dxa"/>
              <w:right w:w="120" w:type="dxa"/>
            </w:tcMar>
            <w:hideMark/>
          </w:tcPr>
          <w:p w14:paraId="2A526DF5"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Heer &amp; Bostock (2010)</w:t>
            </w:r>
          </w:p>
        </w:tc>
        <w:tc>
          <w:tcPr>
            <w:tcW w:w="0" w:type="auto"/>
            <w:tcBorders>
              <w:bottom w:val="single" w:sz="6" w:space="0" w:color="E1E3E1"/>
            </w:tcBorders>
            <w:tcMar>
              <w:top w:w="120" w:type="dxa"/>
              <w:left w:w="120" w:type="dxa"/>
              <w:bottom w:w="120" w:type="dxa"/>
              <w:right w:w="120" w:type="dxa"/>
            </w:tcMar>
            <w:hideMark/>
          </w:tcPr>
          <w:p w14:paraId="3751274C"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50 participants per experiment on Amazon Mechanical Turk. Replicated the proportional judgment tasks from Cleveland &amp; McGill (1984).</w:t>
            </w:r>
          </w:p>
        </w:tc>
        <w:tc>
          <w:tcPr>
            <w:tcW w:w="0" w:type="auto"/>
            <w:tcBorders>
              <w:bottom w:val="single" w:sz="6" w:space="0" w:color="E1E3E1"/>
            </w:tcBorders>
            <w:tcMar>
              <w:top w:w="120" w:type="dxa"/>
              <w:left w:w="120" w:type="dxa"/>
              <w:bottom w:w="120" w:type="dxa"/>
              <w:right w:w="120" w:type="dxa"/>
            </w:tcMar>
            <w:hideMark/>
          </w:tcPr>
          <w:p w14:paraId="3F5D598A"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 xml:space="preserve">The study largely confirmed the original hierarchy, finding that position judgments are more accurate than length, and length more accurate than area. However, their results suggested that the gap </w:t>
            </w:r>
            <w:r w:rsidRPr="0007366F">
              <w:rPr>
                <w:rFonts w:ascii="Times New Roman" w:eastAsia="Times New Roman" w:hAnsi="Times New Roman" w:cs="Times New Roman"/>
                <w:color w:val="1F1F1F"/>
                <w:kern w:val="0"/>
                <w14:ligatures w14:val="none"/>
              </w:rPr>
              <w:lastRenderedPageBreak/>
              <w:t>between different encodings might be smaller than originally thought.</w:t>
            </w:r>
          </w:p>
        </w:tc>
        <w:tc>
          <w:tcPr>
            <w:tcW w:w="0" w:type="auto"/>
            <w:tcBorders>
              <w:bottom w:val="single" w:sz="6" w:space="0" w:color="E1E3E1"/>
            </w:tcBorders>
            <w:tcMar>
              <w:top w:w="120" w:type="dxa"/>
              <w:left w:w="120" w:type="dxa"/>
              <w:bottom w:w="120" w:type="dxa"/>
              <w:right w:w="120" w:type="dxa"/>
            </w:tcMar>
            <w:hideMark/>
          </w:tcPr>
          <w:p w14:paraId="7B40CF2F"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lastRenderedPageBreak/>
              <w:t xml:space="preserve">The study found that for certain tasks, angle judgments (as in pie charts) were slightly more accurate than length judgments, a subtle but important deviation from </w:t>
            </w:r>
            <w:r w:rsidRPr="0007366F">
              <w:rPr>
                <w:rFonts w:ascii="Times New Roman" w:eastAsia="Times New Roman" w:hAnsi="Times New Roman" w:cs="Times New Roman"/>
                <w:color w:val="1F1F1F"/>
                <w:kern w:val="0"/>
                <w14:ligatures w14:val="none"/>
              </w:rPr>
              <w:lastRenderedPageBreak/>
              <w:t>the original hierarchy.</w:t>
            </w:r>
          </w:p>
        </w:tc>
      </w:tr>
      <w:tr w:rsidR="0007366F" w:rsidRPr="0007366F" w14:paraId="6EB787B9" w14:textId="77777777">
        <w:tc>
          <w:tcPr>
            <w:tcW w:w="0" w:type="auto"/>
            <w:tcBorders>
              <w:bottom w:val="nil"/>
            </w:tcBorders>
            <w:tcMar>
              <w:top w:w="120" w:type="dxa"/>
              <w:left w:w="120" w:type="dxa"/>
              <w:bottom w:w="120" w:type="dxa"/>
              <w:right w:w="120" w:type="dxa"/>
            </w:tcMar>
            <w:hideMark/>
          </w:tcPr>
          <w:p w14:paraId="7710C5A4"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lastRenderedPageBreak/>
              <w:t>Individual Differences in Perceptual Accuracy</w:t>
            </w:r>
          </w:p>
        </w:tc>
        <w:tc>
          <w:tcPr>
            <w:tcW w:w="0" w:type="auto"/>
            <w:tcBorders>
              <w:bottom w:val="nil"/>
            </w:tcBorders>
            <w:tcMar>
              <w:top w:w="120" w:type="dxa"/>
              <w:left w:w="120" w:type="dxa"/>
              <w:bottom w:w="120" w:type="dxa"/>
              <w:right w:w="120" w:type="dxa"/>
            </w:tcMar>
            <w:hideMark/>
          </w:tcPr>
          <w:p w14:paraId="597B2EE5"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Davis et al. (2022)</w:t>
            </w:r>
          </w:p>
        </w:tc>
        <w:tc>
          <w:tcPr>
            <w:tcW w:w="0" w:type="auto"/>
            <w:tcBorders>
              <w:bottom w:val="nil"/>
            </w:tcBorders>
            <w:tcMar>
              <w:top w:w="120" w:type="dxa"/>
              <w:left w:w="120" w:type="dxa"/>
              <w:bottom w:w="120" w:type="dxa"/>
              <w:right w:w="120" w:type="dxa"/>
            </w:tcMar>
            <w:hideMark/>
          </w:tcPr>
          <w:p w14:paraId="65C2FB41"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109 crowdsourced participants completed 1200 trials each. The study used a Bayesian multilevel regression model to analyze individual differences.</w:t>
            </w:r>
          </w:p>
        </w:tc>
        <w:tc>
          <w:tcPr>
            <w:tcW w:w="0" w:type="auto"/>
            <w:tcBorders>
              <w:bottom w:val="nil"/>
            </w:tcBorders>
            <w:tcMar>
              <w:top w:w="120" w:type="dxa"/>
              <w:left w:w="120" w:type="dxa"/>
              <w:bottom w:w="120" w:type="dxa"/>
              <w:right w:w="120" w:type="dxa"/>
            </w:tcMar>
            <w:hideMark/>
          </w:tcPr>
          <w:p w14:paraId="042DD451"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While the average performance across participants aligned with the canonical rankings, there was substantial individual variation. For example, while bar charts were best on average, 20-25% of individuals consistently performed better with other chart types. The study also found that differences between individuals were often larger than the average differences between chart types.</w:t>
            </w:r>
          </w:p>
        </w:tc>
        <w:tc>
          <w:tcPr>
            <w:tcW w:w="0" w:type="auto"/>
            <w:tcBorders>
              <w:bottom w:val="nil"/>
            </w:tcBorders>
            <w:tcMar>
              <w:top w:w="120" w:type="dxa"/>
              <w:left w:w="120" w:type="dxa"/>
              <w:bottom w:w="120" w:type="dxa"/>
              <w:right w:w="120" w:type="dxa"/>
            </w:tcMar>
            <w:hideMark/>
          </w:tcPr>
          <w:p w14:paraId="6D36E9E2"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This study doesn't contradict the average ranking but strongly suggests that the hierarchy is not a universal truth for every individual. It highlights the limitations of relying solely on "average observer" models.</w:t>
            </w:r>
          </w:p>
        </w:tc>
      </w:tr>
    </w:tbl>
    <w:p w14:paraId="11DEB188" w14:textId="77777777" w:rsidR="0007366F" w:rsidRPr="0007366F" w:rsidRDefault="0007366F" w:rsidP="0007366F">
      <w:pPr>
        <w:spacing w:after="0" w:line="240" w:lineRule="auto"/>
        <w:rPr>
          <w:rFonts w:ascii="Times New Roman" w:eastAsia="Times New Roman" w:hAnsi="Times New Roman" w:cs="Times New Roman"/>
          <w:kern w:val="0"/>
          <w14:ligatures w14:val="none"/>
        </w:rPr>
      </w:pPr>
      <w:r w:rsidRPr="0007366F">
        <w:rPr>
          <w:rFonts w:ascii="Times New Roman" w:eastAsia="Times New Roman" w:hAnsi="Times New Roman" w:cs="Times New Roman"/>
          <w:kern w:val="0"/>
          <w14:ligatures w14:val="none"/>
        </w:rPr>
        <w:t> </w:t>
      </w:r>
    </w:p>
    <w:p w14:paraId="274D627C" w14:textId="77777777" w:rsidR="0007366F" w:rsidRPr="0007366F" w:rsidRDefault="0007366F" w:rsidP="0007366F">
      <w:pPr>
        <w:spacing w:after="0" w:line="240" w:lineRule="auto"/>
        <w:rPr>
          <w:rFonts w:ascii="Roboto" w:eastAsia="Times New Roman" w:hAnsi="Roboto" w:cs="Times New Roman"/>
          <w:kern w:val="0"/>
          <w14:ligatures w14:val="none"/>
        </w:rPr>
      </w:pPr>
      <w:r w:rsidRPr="0007366F">
        <w:rPr>
          <w:rFonts w:ascii="Times New Roman" w:eastAsia="Times New Roman" w:hAnsi="Times New Roman" w:cs="Times New Roman"/>
          <w:kern w:val="0"/>
          <w14:ligatures w14:val="none"/>
        </w:rPr>
        <w:pict w14:anchorId="1970EFA2">
          <v:rect id="_x0000_i1170" style="width:0;height:1.5pt" o:hralign="center" o:hrstd="t" o:hr="t" fillcolor="#a0a0a0" stroked="f"/>
        </w:pict>
      </w:r>
    </w:p>
    <w:p w14:paraId="5EC7EBBD" w14:textId="77777777" w:rsidR="0007366F" w:rsidRPr="0007366F" w:rsidRDefault="0007366F" w:rsidP="0007366F">
      <w:pPr>
        <w:shd w:val="clear" w:color="auto" w:fill="F8FAFD"/>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07366F">
        <w:rPr>
          <w:rFonts w:ascii="Roboto" w:eastAsia="Times New Roman" w:hAnsi="Roboto" w:cs="Times New Roman"/>
          <w:color w:val="1F1F1F"/>
          <w:kern w:val="0"/>
          <w14:ligatures w14:val="none"/>
        </w:rPr>
        <w:t>2. Bertin's Visual Variables</w:t>
      </w:r>
    </w:p>
    <w:p w14:paraId="36AB9072" w14:textId="77777777" w:rsidR="0007366F" w:rsidRPr="0007366F" w:rsidRDefault="0007366F" w:rsidP="0007366F">
      <w:p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Jacques Bertin's </w:t>
      </w:r>
      <w:proofErr w:type="spellStart"/>
      <w:r w:rsidRPr="0007366F">
        <w:rPr>
          <w:rFonts w:ascii="Roboto" w:eastAsia="Times New Roman" w:hAnsi="Roboto" w:cs="Times New Roman"/>
          <w:i/>
          <w:iCs/>
          <w:color w:val="1F1F1F"/>
          <w:kern w:val="0"/>
          <w14:ligatures w14:val="none"/>
        </w:rPr>
        <w:t>Sémiologie</w:t>
      </w:r>
      <w:proofErr w:type="spellEnd"/>
      <w:r w:rsidRPr="0007366F">
        <w:rPr>
          <w:rFonts w:ascii="Roboto" w:eastAsia="Times New Roman" w:hAnsi="Roboto" w:cs="Times New Roman"/>
          <w:i/>
          <w:iCs/>
          <w:color w:val="1F1F1F"/>
          <w:kern w:val="0"/>
          <w14:ligatures w14:val="none"/>
        </w:rPr>
        <w:t xml:space="preserve"> </w:t>
      </w:r>
      <w:proofErr w:type="spellStart"/>
      <w:r w:rsidRPr="0007366F">
        <w:rPr>
          <w:rFonts w:ascii="Roboto" w:eastAsia="Times New Roman" w:hAnsi="Roboto" w:cs="Times New Roman"/>
          <w:i/>
          <w:iCs/>
          <w:color w:val="1F1F1F"/>
          <w:kern w:val="0"/>
          <w14:ligatures w14:val="none"/>
        </w:rPr>
        <w:t>Graphique</w:t>
      </w:r>
      <w:proofErr w:type="spellEnd"/>
      <w:r w:rsidRPr="0007366F">
        <w:rPr>
          <w:rFonts w:ascii="Roboto" w:eastAsia="Times New Roman" w:hAnsi="Roboto" w:cs="Times New Roman"/>
          <w:color w:val="1F1F1F"/>
          <w:kern w:val="0"/>
          <w14:ligatures w14:val="none"/>
        </w:rPr>
        <w:t> (1967) introduced a foundational vocabulary for describing the graphical elements used to represent data.</w:t>
      </w:r>
    </w:p>
    <w:tbl>
      <w:tblPr>
        <w:tblW w:w="10020" w:type="dxa"/>
        <w:tblCellMar>
          <w:top w:w="15" w:type="dxa"/>
          <w:left w:w="15" w:type="dxa"/>
          <w:bottom w:w="15" w:type="dxa"/>
          <w:right w:w="15" w:type="dxa"/>
        </w:tblCellMar>
        <w:tblLook w:val="04A0" w:firstRow="1" w:lastRow="0" w:firstColumn="1" w:lastColumn="0" w:noHBand="0" w:noVBand="1"/>
      </w:tblPr>
      <w:tblGrid>
        <w:gridCol w:w="1692"/>
        <w:gridCol w:w="1500"/>
        <w:gridCol w:w="4593"/>
        <w:gridCol w:w="2235"/>
      </w:tblGrid>
      <w:tr w:rsidR="0007366F" w:rsidRPr="0007366F" w14:paraId="5E44A417" w14:textId="77777777">
        <w:tc>
          <w:tcPr>
            <w:tcW w:w="0" w:type="auto"/>
            <w:tcBorders>
              <w:bottom w:val="single" w:sz="6" w:space="0" w:color="E1E3E1"/>
            </w:tcBorders>
            <w:tcMar>
              <w:top w:w="120" w:type="dxa"/>
              <w:left w:w="120" w:type="dxa"/>
              <w:bottom w:w="120" w:type="dxa"/>
              <w:right w:w="120" w:type="dxa"/>
            </w:tcMar>
            <w:hideMark/>
          </w:tcPr>
          <w:p w14:paraId="6ED136A2"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Claim/Finding</w:t>
            </w:r>
          </w:p>
        </w:tc>
        <w:tc>
          <w:tcPr>
            <w:tcW w:w="0" w:type="auto"/>
            <w:tcBorders>
              <w:bottom w:val="single" w:sz="6" w:space="0" w:color="E1E3E1"/>
            </w:tcBorders>
            <w:tcMar>
              <w:top w:w="120" w:type="dxa"/>
              <w:left w:w="120" w:type="dxa"/>
              <w:bottom w:w="120" w:type="dxa"/>
              <w:right w:w="120" w:type="dxa"/>
            </w:tcMar>
            <w:hideMark/>
          </w:tcPr>
          <w:p w14:paraId="6B29E128"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Source(s)</w:t>
            </w:r>
          </w:p>
        </w:tc>
        <w:tc>
          <w:tcPr>
            <w:tcW w:w="0" w:type="auto"/>
            <w:tcBorders>
              <w:bottom w:val="single" w:sz="6" w:space="0" w:color="E1E3E1"/>
            </w:tcBorders>
            <w:tcMar>
              <w:top w:w="120" w:type="dxa"/>
              <w:left w:w="120" w:type="dxa"/>
              <w:bottom w:w="120" w:type="dxa"/>
              <w:right w:w="120" w:type="dxa"/>
            </w:tcMar>
            <w:hideMark/>
          </w:tcPr>
          <w:p w14:paraId="40AFA28F"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Key Concepts</w:t>
            </w:r>
          </w:p>
        </w:tc>
        <w:tc>
          <w:tcPr>
            <w:tcW w:w="0" w:type="auto"/>
            <w:tcBorders>
              <w:bottom w:val="single" w:sz="6" w:space="0" w:color="E1E3E1"/>
            </w:tcBorders>
            <w:tcMar>
              <w:top w:w="120" w:type="dxa"/>
              <w:left w:w="120" w:type="dxa"/>
              <w:bottom w:w="120" w:type="dxa"/>
              <w:right w:w="120" w:type="dxa"/>
            </w:tcMar>
            <w:hideMark/>
          </w:tcPr>
          <w:p w14:paraId="2CFC1880"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Evolution and Extensions</w:t>
            </w:r>
          </w:p>
        </w:tc>
      </w:tr>
      <w:tr w:rsidR="0007366F" w:rsidRPr="0007366F" w14:paraId="53CB61D2" w14:textId="77777777">
        <w:tc>
          <w:tcPr>
            <w:tcW w:w="0" w:type="auto"/>
            <w:tcBorders>
              <w:bottom w:val="single" w:sz="6" w:space="0" w:color="E1E3E1"/>
            </w:tcBorders>
            <w:tcMar>
              <w:top w:w="120" w:type="dxa"/>
              <w:left w:w="120" w:type="dxa"/>
              <w:bottom w:w="120" w:type="dxa"/>
              <w:right w:w="120" w:type="dxa"/>
            </w:tcMar>
            <w:hideMark/>
          </w:tcPr>
          <w:p w14:paraId="0A57EC09"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The Core Visual Variables</w:t>
            </w:r>
          </w:p>
        </w:tc>
        <w:tc>
          <w:tcPr>
            <w:tcW w:w="0" w:type="auto"/>
            <w:tcBorders>
              <w:bottom w:val="single" w:sz="6" w:space="0" w:color="E1E3E1"/>
            </w:tcBorders>
            <w:tcMar>
              <w:top w:w="120" w:type="dxa"/>
              <w:left w:w="120" w:type="dxa"/>
              <w:bottom w:w="120" w:type="dxa"/>
              <w:right w:w="120" w:type="dxa"/>
            </w:tcMar>
            <w:hideMark/>
          </w:tcPr>
          <w:p w14:paraId="6A06DB66"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Bertin (1967)</w:t>
            </w:r>
          </w:p>
        </w:tc>
        <w:tc>
          <w:tcPr>
            <w:tcW w:w="0" w:type="auto"/>
            <w:tcBorders>
              <w:bottom w:val="single" w:sz="6" w:space="0" w:color="E1E3E1"/>
            </w:tcBorders>
            <w:tcMar>
              <w:top w:w="120" w:type="dxa"/>
              <w:left w:w="120" w:type="dxa"/>
              <w:bottom w:w="120" w:type="dxa"/>
              <w:right w:w="120" w:type="dxa"/>
            </w:tcMar>
            <w:hideMark/>
          </w:tcPr>
          <w:p w14:paraId="241BD8DC"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Bertin identified seven core "retinal variables": </w:t>
            </w:r>
            <w:r w:rsidRPr="0007366F">
              <w:rPr>
                <w:rFonts w:ascii="Roboto" w:eastAsia="Times New Roman" w:hAnsi="Roboto" w:cs="Times New Roman"/>
                <w:color w:val="1F1F1F"/>
                <w:kern w:val="0"/>
                <w14:ligatures w14:val="none"/>
              </w:rPr>
              <w:t>Position, Size, Shape, Value (Lightness), Color Hue, Orientation, and Texture (Grain)</w:t>
            </w:r>
            <w:r w:rsidRPr="0007366F">
              <w:rPr>
                <w:rFonts w:ascii="Times New Roman" w:eastAsia="Times New Roman" w:hAnsi="Times New Roman" w:cs="Times New Roman"/>
                <w:color w:val="1F1F1F"/>
                <w:kern w:val="0"/>
                <w14:ligatures w14:val="none"/>
              </w:rPr>
              <w:t>.</w:t>
            </w:r>
          </w:p>
        </w:tc>
        <w:tc>
          <w:tcPr>
            <w:tcW w:w="0" w:type="auto"/>
            <w:tcBorders>
              <w:bottom w:val="single" w:sz="6" w:space="0" w:color="E1E3E1"/>
            </w:tcBorders>
            <w:tcMar>
              <w:top w:w="120" w:type="dxa"/>
              <w:left w:w="120" w:type="dxa"/>
              <w:bottom w:w="120" w:type="dxa"/>
              <w:right w:w="120" w:type="dxa"/>
            </w:tcMar>
            <w:hideMark/>
          </w:tcPr>
          <w:p w14:paraId="5B5B2C9D"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 xml:space="preserve">This list has been widely adopted and forms the basis of most modern data </w:t>
            </w:r>
            <w:r w:rsidRPr="0007366F">
              <w:rPr>
                <w:rFonts w:ascii="Times New Roman" w:eastAsia="Times New Roman" w:hAnsi="Times New Roman" w:cs="Times New Roman"/>
                <w:color w:val="1F1F1F"/>
                <w:kern w:val="0"/>
                <w14:ligatures w14:val="none"/>
              </w:rPr>
              <w:lastRenderedPageBreak/>
              <w:t>visualization taxonomies.</w:t>
            </w:r>
          </w:p>
        </w:tc>
      </w:tr>
      <w:tr w:rsidR="0007366F" w:rsidRPr="0007366F" w14:paraId="7372B034" w14:textId="77777777">
        <w:tc>
          <w:tcPr>
            <w:tcW w:w="0" w:type="auto"/>
            <w:tcBorders>
              <w:bottom w:val="single" w:sz="6" w:space="0" w:color="E1E3E1"/>
            </w:tcBorders>
            <w:tcMar>
              <w:top w:w="120" w:type="dxa"/>
              <w:left w:w="120" w:type="dxa"/>
              <w:bottom w:w="120" w:type="dxa"/>
              <w:right w:w="120" w:type="dxa"/>
            </w:tcMar>
            <w:hideMark/>
          </w:tcPr>
          <w:p w14:paraId="3C748683"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lastRenderedPageBreak/>
              <w:t>Extension of the Framework</w:t>
            </w:r>
          </w:p>
        </w:tc>
        <w:tc>
          <w:tcPr>
            <w:tcW w:w="0" w:type="auto"/>
            <w:tcBorders>
              <w:bottom w:val="single" w:sz="6" w:space="0" w:color="E1E3E1"/>
            </w:tcBorders>
            <w:tcMar>
              <w:top w:w="120" w:type="dxa"/>
              <w:left w:w="120" w:type="dxa"/>
              <w:bottom w:w="120" w:type="dxa"/>
              <w:right w:w="120" w:type="dxa"/>
            </w:tcMar>
            <w:hideMark/>
          </w:tcPr>
          <w:p w14:paraId="5D592588"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Mackinlay (1986)</w:t>
            </w:r>
          </w:p>
        </w:tc>
        <w:tc>
          <w:tcPr>
            <w:tcW w:w="0" w:type="auto"/>
            <w:tcBorders>
              <w:bottom w:val="single" w:sz="6" w:space="0" w:color="E1E3E1"/>
            </w:tcBorders>
            <w:tcMar>
              <w:top w:w="120" w:type="dxa"/>
              <w:left w:w="120" w:type="dxa"/>
              <w:bottom w:w="120" w:type="dxa"/>
              <w:right w:w="120" w:type="dxa"/>
            </w:tcMar>
            <w:hideMark/>
          </w:tcPr>
          <w:p w14:paraId="4001B95C"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In his paper "Automating the Design of Graphical Presentations of Relational Information," Jock Mackinlay extended Bertin's work by creating a ranked list of visual variables based on their suitability for different data types (quantitative, ordinal, and nominal). He also added </w:t>
            </w:r>
            <w:r w:rsidRPr="0007366F">
              <w:rPr>
                <w:rFonts w:ascii="Roboto" w:eastAsia="Times New Roman" w:hAnsi="Roboto" w:cs="Times New Roman"/>
                <w:color w:val="1F1F1F"/>
                <w:kern w:val="0"/>
                <w14:ligatures w14:val="none"/>
              </w:rPr>
              <w:t>Connection</w:t>
            </w:r>
            <w:r w:rsidRPr="0007366F">
              <w:rPr>
                <w:rFonts w:ascii="Times New Roman" w:eastAsia="Times New Roman" w:hAnsi="Times New Roman" w:cs="Times New Roman"/>
                <w:color w:val="1F1F1F"/>
                <w:kern w:val="0"/>
                <w14:ligatures w14:val="none"/>
              </w:rPr>
              <w:t> and </w:t>
            </w:r>
            <w:r w:rsidRPr="0007366F">
              <w:rPr>
                <w:rFonts w:ascii="Roboto" w:eastAsia="Times New Roman" w:hAnsi="Roboto" w:cs="Times New Roman"/>
                <w:color w:val="1F1F1F"/>
                <w:kern w:val="0"/>
                <w14:ligatures w14:val="none"/>
              </w:rPr>
              <w:t>Containment</w:t>
            </w:r>
            <w:r w:rsidRPr="0007366F">
              <w:rPr>
                <w:rFonts w:ascii="Times New Roman" w:eastAsia="Times New Roman" w:hAnsi="Times New Roman" w:cs="Times New Roman"/>
                <w:color w:val="1F1F1F"/>
                <w:kern w:val="0"/>
                <w14:ligatures w14:val="none"/>
              </w:rPr>
              <w:t> as ways to show relationships.</w:t>
            </w:r>
          </w:p>
        </w:tc>
        <w:tc>
          <w:tcPr>
            <w:tcW w:w="0" w:type="auto"/>
            <w:tcBorders>
              <w:bottom w:val="single" w:sz="6" w:space="0" w:color="E1E3E1"/>
            </w:tcBorders>
            <w:tcMar>
              <w:top w:w="120" w:type="dxa"/>
              <w:left w:w="120" w:type="dxa"/>
              <w:bottom w:w="120" w:type="dxa"/>
              <w:right w:w="120" w:type="dxa"/>
            </w:tcMar>
            <w:hideMark/>
          </w:tcPr>
          <w:p w14:paraId="1D30C7EE"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Mackinlay's work was instrumental in operationalizing Bertin's theories for automated visualization design systems. His rankings, which place position at the top for quantitative data, are a direct application of the Cleveland &amp; McGill hierarchy.</w:t>
            </w:r>
          </w:p>
        </w:tc>
      </w:tr>
      <w:tr w:rsidR="0007366F" w:rsidRPr="0007366F" w14:paraId="27BE4552" w14:textId="77777777">
        <w:tc>
          <w:tcPr>
            <w:tcW w:w="0" w:type="auto"/>
            <w:tcBorders>
              <w:bottom w:val="nil"/>
            </w:tcBorders>
            <w:tcMar>
              <w:top w:w="120" w:type="dxa"/>
              <w:left w:w="120" w:type="dxa"/>
              <w:bottom w:w="120" w:type="dxa"/>
              <w:right w:w="120" w:type="dxa"/>
            </w:tcMar>
            <w:hideMark/>
          </w:tcPr>
          <w:p w14:paraId="11DEA451"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Evolution of Ordered vs. Associative Variables</w:t>
            </w:r>
          </w:p>
        </w:tc>
        <w:tc>
          <w:tcPr>
            <w:tcW w:w="0" w:type="auto"/>
            <w:tcBorders>
              <w:bottom w:val="nil"/>
            </w:tcBorders>
            <w:tcMar>
              <w:top w:w="120" w:type="dxa"/>
              <w:left w:w="120" w:type="dxa"/>
              <w:bottom w:w="120" w:type="dxa"/>
              <w:right w:w="120" w:type="dxa"/>
            </w:tcMar>
            <w:hideMark/>
          </w:tcPr>
          <w:p w14:paraId="255280C8"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 xml:space="preserve">Bertin (1967), </w:t>
            </w:r>
            <w:proofErr w:type="spellStart"/>
            <w:r w:rsidRPr="0007366F">
              <w:rPr>
                <w:rFonts w:ascii="Times New Roman" w:eastAsia="Times New Roman" w:hAnsi="Times New Roman" w:cs="Times New Roman"/>
                <w:color w:val="1F1F1F"/>
                <w:kern w:val="0"/>
                <w14:ligatures w14:val="none"/>
              </w:rPr>
              <w:t>MacEachren</w:t>
            </w:r>
            <w:proofErr w:type="spellEnd"/>
            <w:r w:rsidRPr="0007366F">
              <w:rPr>
                <w:rFonts w:ascii="Times New Roman" w:eastAsia="Times New Roman" w:hAnsi="Times New Roman" w:cs="Times New Roman"/>
                <w:color w:val="1F1F1F"/>
                <w:kern w:val="0"/>
                <w14:ligatures w14:val="none"/>
              </w:rPr>
              <w:t xml:space="preserve"> (1995), and others</w:t>
            </w:r>
          </w:p>
        </w:tc>
        <w:tc>
          <w:tcPr>
            <w:tcW w:w="0" w:type="auto"/>
            <w:tcBorders>
              <w:bottom w:val="nil"/>
            </w:tcBorders>
            <w:tcMar>
              <w:top w:w="120" w:type="dxa"/>
              <w:left w:w="120" w:type="dxa"/>
              <w:bottom w:w="120" w:type="dxa"/>
              <w:right w:w="120" w:type="dxa"/>
            </w:tcMar>
            <w:hideMark/>
          </w:tcPr>
          <w:p w14:paraId="69234BD3"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Bertin categorized variables based on their perceptual properties: </w:t>
            </w:r>
            <w:r w:rsidRPr="0007366F">
              <w:rPr>
                <w:rFonts w:ascii="Roboto" w:eastAsia="Times New Roman" w:hAnsi="Roboto" w:cs="Times New Roman"/>
                <w:color w:val="1F1F1F"/>
                <w:kern w:val="0"/>
                <w14:ligatures w14:val="none"/>
              </w:rPr>
              <w:t>Selective</w:t>
            </w:r>
            <w:r w:rsidRPr="0007366F">
              <w:rPr>
                <w:rFonts w:ascii="Times New Roman" w:eastAsia="Times New Roman" w:hAnsi="Times New Roman" w:cs="Times New Roman"/>
                <w:color w:val="1F1F1F"/>
                <w:kern w:val="0"/>
                <w14:ligatures w14:val="none"/>
              </w:rPr>
              <w:t> (can be isolated), </w:t>
            </w:r>
            <w:r w:rsidRPr="0007366F">
              <w:rPr>
                <w:rFonts w:ascii="Roboto" w:eastAsia="Times New Roman" w:hAnsi="Roboto" w:cs="Times New Roman"/>
                <w:color w:val="1F1F1F"/>
                <w:kern w:val="0"/>
                <w14:ligatures w14:val="none"/>
              </w:rPr>
              <w:t>Associative</w:t>
            </w:r>
            <w:r w:rsidRPr="0007366F">
              <w:rPr>
                <w:rFonts w:ascii="Times New Roman" w:eastAsia="Times New Roman" w:hAnsi="Times New Roman" w:cs="Times New Roman"/>
                <w:color w:val="1F1F1F"/>
                <w:kern w:val="0"/>
                <w14:ligatures w14:val="none"/>
              </w:rPr>
              <w:t> (can be grouped), </w:t>
            </w:r>
            <w:r w:rsidRPr="0007366F">
              <w:rPr>
                <w:rFonts w:ascii="Roboto" w:eastAsia="Times New Roman" w:hAnsi="Roboto" w:cs="Times New Roman"/>
                <w:color w:val="1F1F1F"/>
                <w:kern w:val="0"/>
                <w14:ligatures w14:val="none"/>
              </w:rPr>
              <w:t>Ordered</w:t>
            </w:r>
            <w:r w:rsidRPr="0007366F">
              <w:rPr>
                <w:rFonts w:ascii="Times New Roman" w:eastAsia="Times New Roman" w:hAnsi="Times New Roman" w:cs="Times New Roman"/>
                <w:color w:val="1F1F1F"/>
                <w:kern w:val="0"/>
                <w14:ligatures w14:val="none"/>
              </w:rPr>
              <w:t> (imply a sequence), and </w:t>
            </w:r>
            <w:r w:rsidRPr="0007366F">
              <w:rPr>
                <w:rFonts w:ascii="Roboto" w:eastAsia="Times New Roman" w:hAnsi="Roboto" w:cs="Times New Roman"/>
                <w:color w:val="1F1F1F"/>
                <w:kern w:val="0"/>
                <w14:ligatures w14:val="none"/>
              </w:rPr>
              <w:t>Quantitative</w:t>
            </w:r>
            <w:r w:rsidRPr="0007366F">
              <w:rPr>
                <w:rFonts w:ascii="Times New Roman" w:eastAsia="Times New Roman" w:hAnsi="Times New Roman" w:cs="Times New Roman"/>
                <w:color w:val="1F1F1F"/>
                <w:kern w:val="0"/>
                <w14:ligatures w14:val="none"/>
              </w:rPr>
              <w:t> (allow numerical estimation). For example, he considered size and value to be "dissociative" because their variations are so strong they prevent easy grouping.</w:t>
            </w:r>
          </w:p>
        </w:tc>
        <w:tc>
          <w:tcPr>
            <w:tcW w:w="0" w:type="auto"/>
            <w:tcBorders>
              <w:bottom w:val="nil"/>
            </w:tcBorders>
            <w:tcMar>
              <w:top w:w="120" w:type="dxa"/>
              <w:left w:w="120" w:type="dxa"/>
              <w:bottom w:w="120" w:type="dxa"/>
              <w:right w:w="120" w:type="dxa"/>
            </w:tcMar>
            <w:hideMark/>
          </w:tcPr>
          <w:p w14:paraId="0A20CF52"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Later researchers, like Alan MacEachren, have refined these concepts. The understanding of which variables are truly ordered has evolved. For instance, while Bertin considered color hue to be unordered, others have noted that parts of the color spectrum can be perceived ordinally (e.g., a progression from light to dark within a single hue).</w:t>
            </w:r>
          </w:p>
        </w:tc>
      </w:tr>
    </w:tbl>
    <w:p w14:paraId="49762E09" w14:textId="77777777" w:rsidR="0007366F" w:rsidRPr="0007366F" w:rsidRDefault="0007366F" w:rsidP="0007366F">
      <w:pPr>
        <w:spacing w:after="0" w:line="240" w:lineRule="auto"/>
        <w:rPr>
          <w:rFonts w:ascii="Times New Roman" w:eastAsia="Times New Roman" w:hAnsi="Times New Roman" w:cs="Times New Roman"/>
          <w:kern w:val="0"/>
          <w14:ligatures w14:val="none"/>
        </w:rPr>
      </w:pPr>
      <w:r w:rsidRPr="0007366F">
        <w:rPr>
          <w:rFonts w:ascii="Times New Roman" w:eastAsia="Times New Roman" w:hAnsi="Times New Roman" w:cs="Times New Roman"/>
          <w:kern w:val="0"/>
          <w14:ligatures w14:val="none"/>
        </w:rPr>
        <w:t> </w:t>
      </w:r>
    </w:p>
    <w:p w14:paraId="55D0E18A" w14:textId="77777777" w:rsidR="0007366F" w:rsidRPr="0007366F" w:rsidRDefault="0007366F" w:rsidP="0007366F">
      <w:pPr>
        <w:spacing w:after="0" w:line="240" w:lineRule="auto"/>
        <w:rPr>
          <w:rFonts w:ascii="Roboto" w:eastAsia="Times New Roman" w:hAnsi="Roboto" w:cs="Times New Roman"/>
          <w:kern w:val="0"/>
          <w14:ligatures w14:val="none"/>
        </w:rPr>
      </w:pPr>
      <w:r w:rsidRPr="0007366F">
        <w:rPr>
          <w:rFonts w:ascii="Times New Roman" w:eastAsia="Times New Roman" w:hAnsi="Times New Roman" w:cs="Times New Roman"/>
          <w:kern w:val="0"/>
          <w14:ligatures w14:val="none"/>
        </w:rPr>
        <w:pict w14:anchorId="1CA5D486">
          <v:rect id="_x0000_i1171" style="width:0;height:1.5pt" o:hralign="center" o:hrstd="t" o:hr="t" fillcolor="#a0a0a0" stroked="f"/>
        </w:pict>
      </w:r>
    </w:p>
    <w:p w14:paraId="496955E8" w14:textId="77777777" w:rsidR="0007366F" w:rsidRPr="0007366F" w:rsidRDefault="0007366F" w:rsidP="0007366F">
      <w:pPr>
        <w:shd w:val="clear" w:color="auto" w:fill="F8FAFD"/>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07366F">
        <w:rPr>
          <w:rFonts w:ascii="Roboto" w:eastAsia="Times New Roman" w:hAnsi="Roboto" w:cs="Times New Roman"/>
          <w:color w:val="1F1F1F"/>
          <w:kern w:val="0"/>
          <w14:ligatures w14:val="none"/>
        </w:rPr>
        <w:t>3. Perceptual Accuracy of Specific Chart Types</w:t>
      </w:r>
    </w:p>
    <w:tbl>
      <w:tblPr>
        <w:tblW w:w="10020" w:type="dxa"/>
        <w:tblCellMar>
          <w:top w:w="15" w:type="dxa"/>
          <w:left w:w="15" w:type="dxa"/>
          <w:bottom w:w="15" w:type="dxa"/>
          <w:right w:w="15" w:type="dxa"/>
        </w:tblCellMar>
        <w:tblLook w:val="04A0" w:firstRow="1" w:lastRow="0" w:firstColumn="1" w:lastColumn="0" w:noHBand="0" w:noVBand="1"/>
      </w:tblPr>
      <w:tblGrid>
        <w:gridCol w:w="1685"/>
        <w:gridCol w:w="1641"/>
        <w:gridCol w:w="2060"/>
        <w:gridCol w:w="2838"/>
        <w:gridCol w:w="1796"/>
      </w:tblGrid>
      <w:tr w:rsidR="0007366F" w:rsidRPr="0007366F" w14:paraId="48D69757" w14:textId="77777777">
        <w:tc>
          <w:tcPr>
            <w:tcW w:w="0" w:type="auto"/>
            <w:tcBorders>
              <w:bottom w:val="single" w:sz="6" w:space="0" w:color="E1E3E1"/>
            </w:tcBorders>
            <w:tcMar>
              <w:top w:w="120" w:type="dxa"/>
              <w:left w:w="120" w:type="dxa"/>
              <w:bottom w:w="120" w:type="dxa"/>
              <w:right w:w="120" w:type="dxa"/>
            </w:tcMar>
            <w:hideMark/>
          </w:tcPr>
          <w:p w14:paraId="691178E6"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lastRenderedPageBreak/>
              <w:t>Claim/Finding</w:t>
            </w:r>
          </w:p>
        </w:tc>
        <w:tc>
          <w:tcPr>
            <w:tcW w:w="0" w:type="auto"/>
            <w:tcBorders>
              <w:bottom w:val="single" w:sz="6" w:space="0" w:color="E1E3E1"/>
            </w:tcBorders>
            <w:tcMar>
              <w:top w:w="120" w:type="dxa"/>
              <w:left w:w="120" w:type="dxa"/>
              <w:bottom w:w="120" w:type="dxa"/>
              <w:right w:w="120" w:type="dxa"/>
            </w:tcMar>
            <w:hideMark/>
          </w:tcPr>
          <w:p w14:paraId="5E5804AB"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Source(s)</w:t>
            </w:r>
          </w:p>
        </w:tc>
        <w:tc>
          <w:tcPr>
            <w:tcW w:w="0" w:type="auto"/>
            <w:tcBorders>
              <w:bottom w:val="single" w:sz="6" w:space="0" w:color="E1E3E1"/>
            </w:tcBorders>
            <w:tcMar>
              <w:top w:w="120" w:type="dxa"/>
              <w:left w:w="120" w:type="dxa"/>
              <w:bottom w:w="120" w:type="dxa"/>
              <w:right w:w="120" w:type="dxa"/>
            </w:tcMar>
            <w:hideMark/>
          </w:tcPr>
          <w:p w14:paraId="71B7EA49"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Sample Size &amp; Methodology</w:t>
            </w:r>
          </w:p>
        </w:tc>
        <w:tc>
          <w:tcPr>
            <w:tcW w:w="0" w:type="auto"/>
            <w:tcBorders>
              <w:bottom w:val="single" w:sz="6" w:space="0" w:color="E1E3E1"/>
            </w:tcBorders>
            <w:tcMar>
              <w:top w:w="120" w:type="dxa"/>
              <w:left w:w="120" w:type="dxa"/>
              <w:bottom w:w="120" w:type="dxa"/>
              <w:right w:w="120" w:type="dxa"/>
            </w:tcMar>
            <w:hideMark/>
          </w:tcPr>
          <w:p w14:paraId="37A3EE60"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Key Findings &amp; Effect Sizes</w:t>
            </w:r>
          </w:p>
        </w:tc>
        <w:tc>
          <w:tcPr>
            <w:tcW w:w="0" w:type="auto"/>
            <w:tcBorders>
              <w:bottom w:val="single" w:sz="6" w:space="0" w:color="E1E3E1"/>
            </w:tcBorders>
            <w:tcMar>
              <w:top w:w="120" w:type="dxa"/>
              <w:left w:w="120" w:type="dxa"/>
              <w:bottom w:w="120" w:type="dxa"/>
              <w:right w:w="120" w:type="dxa"/>
            </w:tcMar>
            <w:hideMark/>
          </w:tcPr>
          <w:p w14:paraId="26FCBC75"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Contradictory Findings or Refinements</w:t>
            </w:r>
          </w:p>
        </w:tc>
      </w:tr>
      <w:tr w:rsidR="0007366F" w:rsidRPr="0007366F" w14:paraId="56DFBFD3" w14:textId="77777777">
        <w:tc>
          <w:tcPr>
            <w:tcW w:w="0" w:type="auto"/>
            <w:tcBorders>
              <w:bottom w:val="single" w:sz="6" w:space="0" w:color="E1E3E1"/>
            </w:tcBorders>
            <w:tcMar>
              <w:top w:w="120" w:type="dxa"/>
              <w:left w:w="120" w:type="dxa"/>
              <w:bottom w:w="120" w:type="dxa"/>
              <w:right w:w="120" w:type="dxa"/>
            </w:tcMar>
            <w:hideMark/>
          </w:tcPr>
          <w:p w14:paraId="6B78BF57"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Pie Charts vs. Bar Charts</w:t>
            </w:r>
          </w:p>
        </w:tc>
        <w:tc>
          <w:tcPr>
            <w:tcW w:w="0" w:type="auto"/>
            <w:tcBorders>
              <w:bottom w:val="single" w:sz="6" w:space="0" w:color="E1E3E1"/>
            </w:tcBorders>
            <w:tcMar>
              <w:top w:w="120" w:type="dxa"/>
              <w:left w:w="120" w:type="dxa"/>
              <w:bottom w:w="120" w:type="dxa"/>
              <w:right w:w="120" w:type="dxa"/>
            </w:tcMar>
            <w:hideMark/>
          </w:tcPr>
          <w:p w14:paraId="12516B8A"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 xml:space="preserve">Eells (1926), </w:t>
            </w:r>
            <w:proofErr w:type="spellStart"/>
            <w:r w:rsidRPr="0007366F">
              <w:rPr>
                <w:rFonts w:ascii="Times New Roman" w:eastAsia="Times New Roman" w:hAnsi="Times New Roman" w:cs="Times New Roman"/>
                <w:color w:val="1F1F1F"/>
                <w:kern w:val="0"/>
                <w14:ligatures w14:val="none"/>
              </w:rPr>
              <w:t>Croxton</w:t>
            </w:r>
            <w:proofErr w:type="spellEnd"/>
            <w:r w:rsidRPr="0007366F">
              <w:rPr>
                <w:rFonts w:ascii="Times New Roman" w:eastAsia="Times New Roman" w:hAnsi="Times New Roman" w:cs="Times New Roman"/>
                <w:color w:val="1F1F1F"/>
                <w:kern w:val="0"/>
                <w14:ligatures w14:val="none"/>
              </w:rPr>
              <w:t xml:space="preserve"> &amp; Stryker (1927), Simkin &amp; Hastie (1987), Spence &amp; Lewandowsky (1991)</w:t>
            </w:r>
          </w:p>
        </w:tc>
        <w:tc>
          <w:tcPr>
            <w:tcW w:w="0" w:type="auto"/>
            <w:tcBorders>
              <w:bottom w:val="single" w:sz="6" w:space="0" w:color="E1E3E1"/>
            </w:tcBorders>
            <w:tcMar>
              <w:top w:w="120" w:type="dxa"/>
              <w:left w:w="120" w:type="dxa"/>
              <w:bottom w:w="120" w:type="dxa"/>
              <w:right w:w="120" w:type="dxa"/>
            </w:tcMar>
            <w:hideMark/>
          </w:tcPr>
          <w:p w14:paraId="58973538"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Eells (1926):</w:t>
            </w:r>
            <w:r w:rsidRPr="0007366F">
              <w:rPr>
                <w:rFonts w:ascii="Times New Roman" w:eastAsia="Times New Roman" w:hAnsi="Times New Roman" w:cs="Times New Roman"/>
                <w:color w:val="1F1F1F"/>
                <w:kern w:val="0"/>
                <w14:ligatures w14:val="none"/>
              </w:rPr>
              <w:t> 97 students. </w:t>
            </w:r>
            <w:proofErr w:type="spellStart"/>
            <w:r w:rsidRPr="0007366F">
              <w:rPr>
                <w:rFonts w:ascii="Roboto" w:eastAsia="Times New Roman" w:hAnsi="Roboto" w:cs="Times New Roman"/>
                <w:color w:val="1F1F1F"/>
                <w:kern w:val="0"/>
                <w14:ligatures w14:val="none"/>
              </w:rPr>
              <w:t>Croxton</w:t>
            </w:r>
            <w:proofErr w:type="spellEnd"/>
            <w:r w:rsidRPr="0007366F">
              <w:rPr>
                <w:rFonts w:ascii="Roboto" w:eastAsia="Times New Roman" w:hAnsi="Roboto" w:cs="Times New Roman"/>
                <w:color w:val="1F1F1F"/>
                <w:kern w:val="0"/>
                <w14:ligatures w14:val="none"/>
              </w:rPr>
              <w:t xml:space="preserve"> &amp; Stryker (1927):</w:t>
            </w:r>
            <w:r w:rsidRPr="0007366F">
              <w:rPr>
                <w:rFonts w:ascii="Times New Roman" w:eastAsia="Times New Roman" w:hAnsi="Times New Roman" w:cs="Times New Roman"/>
                <w:color w:val="1F1F1F"/>
                <w:kern w:val="0"/>
                <w14:ligatures w14:val="none"/>
              </w:rPr>
              <w:t> Over 800 subjects. </w:t>
            </w:r>
            <w:r w:rsidRPr="0007366F">
              <w:rPr>
                <w:rFonts w:ascii="Roboto" w:eastAsia="Times New Roman" w:hAnsi="Roboto" w:cs="Times New Roman"/>
                <w:color w:val="1F1F1F"/>
                <w:kern w:val="0"/>
                <w14:ligatures w14:val="none"/>
              </w:rPr>
              <w:t>Simkin &amp; Hastie (1987):</w:t>
            </w:r>
            <w:r w:rsidRPr="0007366F">
              <w:rPr>
                <w:rFonts w:ascii="Times New Roman" w:eastAsia="Times New Roman" w:hAnsi="Times New Roman" w:cs="Times New Roman"/>
                <w:color w:val="1F1F1F"/>
                <w:kern w:val="0"/>
                <w14:ligatures w14:val="none"/>
              </w:rPr>
              <w:t> 40 undergraduate students per condition. </w:t>
            </w:r>
            <w:r w:rsidRPr="0007366F">
              <w:rPr>
                <w:rFonts w:ascii="Roboto" w:eastAsia="Times New Roman" w:hAnsi="Roboto" w:cs="Times New Roman"/>
                <w:color w:val="1F1F1F"/>
                <w:kern w:val="0"/>
                <w14:ligatures w14:val="none"/>
              </w:rPr>
              <w:t>Spence &amp; Lewandowsky (1991):</w:t>
            </w:r>
            <w:r w:rsidRPr="0007366F">
              <w:rPr>
                <w:rFonts w:ascii="Times New Roman" w:eastAsia="Times New Roman" w:hAnsi="Times New Roman" w:cs="Times New Roman"/>
                <w:color w:val="1F1F1F"/>
                <w:kern w:val="0"/>
                <w14:ligatures w14:val="none"/>
              </w:rPr>
              <w:t> Multiple experiments with small groups of students.</w:t>
            </w:r>
          </w:p>
        </w:tc>
        <w:tc>
          <w:tcPr>
            <w:tcW w:w="0" w:type="auto"/>
            <w:tcBorders>
              <w:bottom w:val="single" w:sz="6" w:space="0" w:color="E1E3E1"/>
            </w:tcBorders>
            <w:tcMar>
              <w:top w:w="120" w:type="dxa"/>
              <w:left w:w="120" w:type="dxa"/>
              <w:bottom w:w="120" w:type="dxa"/>
              <w:right w:w="120" w:type="dxa"/>
            </w:tcMar>
            <w:hideMark/>
          </w:tcPr>
          <w:p w14:paraId="3BE18600"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The historical debate is complex. Early studies like Eells (1926) found pie charts to be as good as or better than segmented bars. However, Simkin &amp; Hastie (1987) found that for </w:t>
            </w:r>
            <w:r w:rsidRPr="0007366F">
              <w:rPr>
                <w:rFonts w:ascii="Times New Roman" w:eastAsia="Times New Roman" w:hAnsi="Times New Roman" w:cs="Times New Roman"/>
                <w:i/>
                <w:iCs/>
                <w:color w:val="1F1F1F"/>
                <w:kern w:val="0"/>
                <w14:ligatures w14:val="none"/>
              </w:rPr>
              <w:t>comparison</w:t>
            </w:r>
            <w:r w:rsidRPr="0007366F">
              <w:rPr>
                <w:rFonts w:ascii="Times New Roman" w:eastAsia="Times New Roman" w:hAnsi="Times New Roman" w:cs="Times New Roman"/>
                <w:color w:val="1F1F1F"/>
                <w:kern w:val="0"/>
                <w14:ligatures w14:val="none"/>
              </w:rPr>
              <w:t> judgments, bar charts were more accurate, but for </w:t>
            </w:r>
            <w:r w:rsidRPr="0007366F">
              <w:rPr>
                <w:rFonts w:ascii="Times New Roman" w:eastAsia="Times New Roman" w:hAnsi="Times New Roman" w:cs="Times New Roman"/>
                <w:i/>
                <w:iCs/>
                <w:color w:val="1F1F1F"/>
                <w:kern w:val="0"/>
                <w14:ligatures w14:val="none"/>
              </w:rPr>
              <w:t>proportion-of-the-whole</w:t>
            </w:r>
            <w:r w:rsidRPr="0007366F">
              <w:rPr>
                <w:rFonts w:ascii="Times New Roman" w:eastAsia="Times New Roman" w:hAnsi="Times New Roman" w:cs="Times New Roman"/>
                <w:color w:val="1F1F1F"/>
                <w:kern w:val="0"/>
                <w14:ligatures w14:val="none"/>
              </w:rPr>
              <w:t> judgments, pie charts were as accurate as bar charts. Spence &amp; Lewandowsky (1991) found little difference between the two, with pie charts having a slight advantage in more complex comparison tasks.</w:t>
            </w:r>
          </w:p>
        </w:tc>
        <w:tc>
          <w:tcPr>
            <w:tcW w:w="0" w:type="auto"/>
            <w:tcBorders>
              <w:bottom w:val="single" w:sz="6" w:space="0" w:color="E1E3E1"/>
            </w:tcBorders>
            <w:tcMar>
              <w:top w:w="120" w:type="dxa"/>
              <w:left w:w="120" w:type="dxa"/>
              <w:bottom w:w="120" w:type="dxa"/>
              <w:right w:w="120" w:type="dxa"/>
            </w:tcMar>
            <w:hideMark/>
          </w:tcPr>
          <w:p w14:paraId="55DE93FA"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 xml:space="preserve">The </w:t>
            </w:r>
            <w:proofErr w:type="gramStart"/>
            <w:r w:rsidRPr="0007366F">
              <w:rPr>
                <w:rFonts w:ascii="Times New Roman" w:eastAsia="Times New Roman" w:hAnsi="Times New Roman" w:cs="Times New Roman"/>
                <w:color w:val="1F1F1F"/>
                <w:kern w:val="0"/>
                <w14:ligatures w14:val="none"/>
              </w:rPr>
              <w:t>general consensus</w:t>
            </w:r>
            <w:proofErr w:type="gramEnd"/>
            <w:r w:rsidRPr="0007366F">
              <w:rPr>
                <w:rFonts w:ascii="Times New Roman" w:eastAsia="Times New Roman" w:hAnsi="Times New Roman" w:cs="Times New Roman"/>
                <w:color w:val="1F1F1F"/>
                <w:kern w:val="0"/>
                <w14:ligatures w14:val="none"/>
              </w:rPr>
              <w:t>, supported by the Cleveland &amp; McGill hierarchy, is that bar charts are superior for precise comparisons. However, the research shows that for part-to-whole judgments, pie charts can be effective, especially with a small number of slices.</w:t>
            </w:r>
          </w:p>
        </w:tc>
      </w:tr>
      <w:tr w:rsidR="0007366F" w:rsidRPr="0007366F" w14:paraId="59CE827A" w14:textId="77777777">
        <w:tc>
          <w:tcPr>
            <w:tcW w:w="0" w:type="auto"/>
            <w:tcBorders>
              <w:bottom w:val="single" w:sz="6" w:space="0" w:color="E1E3E1"/>
            </w:tcBorders>
            <w:tcMar>
              <w:top w:w="120" w:type="dxa"/>
              <w:left w:w="120" w:type="dxa"/>
              <w:bottom w:w="120" w:type="dxa"/>
              <w:right w:w="120" w:type="dxa"/>
            </w:tcMar>
            <w:hideMark/>
          </w:tcPr>
          <w:p w14:paraId="60CEF1F8"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Perception of Stacked Bar Charts</w:t>
            </w:r>
          </w:p>
        </w:tc>
        <w:tc>
          <w:tcPr>
            <w:tcW w:w="0" w:type="auto"/>
            <w:tcBorders>
              <w:bottom w:val="single" w:sz="6" w:space="0" w:color="E1E3E1"/>
            </w:tcBorders>
            <w:tcMar>
              <w:top w:w="120" w:type="dxa"/>
              <w:left w:w="120" w:type="dxa"/>
              <w:bottom w:w="120" w:type="dxa"/>
              <w:right w:w="120" w:type="dxa"/>
            </w:tcMar>
            <w:hideMark/>
          </w:tcPr>
          <w:p w14:paraId="7E259BA5"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Cleveland &amp; McGill (1984), Talbot, Setlur, &amp; Anand (2014)</w:t>
            </w:r>
          </w:p>
        </w:tc>
        <w:tc>
          <w:tcPr>
            <w:tcW w:w="0" w:type="auto"/>
            <w:tcBorders>
              <w:bottom w:val="single" w:sz="6" w:space="0" w:color="E1E3E1"/>
            </w:tcBorders>
            <w:tcMar>
              <w:top w:w="120" w:type="dxa"/>
              <w:left w:w="120" w:type="dxa"/>
              <w:bottom w:w="120" w:type="dxa"/>
              <w:right w:w="120" w:type="dxa"/>
            </w:tcMar>
            <w:hideMark/>
          </w:tcPr>
          <w:p w14:paraId="03D10002"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Cleveland &amp; McGill (1984):</w:t>
            </w:r>
            <w:r w:rsidRPr="0007366F">
              <w:rPr>
                <w:rFonts w:ascii="Times New Roman" w:eastAsia="Times New Roman" w:hAnsi="Times New Roman" w:cs="Times New Roman"/>
                <w:color w:val="1F1F1F"/>
                <w:kern w:val="0"/>
                <w14:ligatures w14:val="none"/>
              </w:rPr>
              <w:t> 51 subjects. </w:t>
            </w:r>
            <w:r w:rsidRPr="0007366F">
              <w:rPr>
                <w:rFonts w:ascii="Roboto" w:eastAsia="Times New Roman" w:hAnsi="Roboto" w:cs="Times New Roman"/>
                <w:color w:val="1F1F1F"/>
                <w:kern w:val="0"/>
                <w14:ligatures w14:val="none"/>
              </w:rPr>
              <w:t>Talbot et al. (2014):</w:t>
            </w:r>
            <w:r w:rsidRPr="0007366F">
              <w:rPr>
                <w:rFonts w:ascii="Times New Roman" w:eastAsia="Times New Roman" w:hAnsi="Times New Roman" w:cs="Times New Roman"/>
                <w:color w:val="1F1F1F"/>
                <w:kern w:val="0"/>
                <w14:ligatures w14:val="none"/>
              </w:rPr>
              <w:t> 50 participants per experiment on Amazon Mechanical Turk.</w:t>
            </w:r>
          </w:p>
        </w:tc>
        <w:tc>
          <w:tcPr>
            <w:tcW w:w="0" w:type="auto"/>
            <w:tcBorders>
              <w:bottom w:val="single" w:sz="6" w:space="0" w:color="E1E3E1"/>
            </w:tcBorders>
            <w:tcMar>
              <w:top w:w="120" w:type="dxa"/>
              <w:left w:w="120" w:type="dxa"/>
              <w:bottom w:w="120" w:type="dxa"/>
              <w:right w:w="120" w:type="dxa"/>
            </w:tcMar>
            <w:hideMark/>
          </w:tcPr>
          <w:p w14:paraId="03F9F1F8"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Cleveland &amp; McGill found that judging the size of segments in a stacked bar chart is difficult because, except for the bottom segment, the others do not share a common baseline. This forces viewers to rely on less accurate length judgments. Talbot et al. (2014) confirmed this and found that distractors (other bars in the stack) significantly increase the difficulty of the task.</w:t>
            </w:r>
          </w:p>
        </w:tc>
        <w:tc>
          <w:tcPr>
            <w:tcW w:w="0" w:type="auto"/>
            <w:tcBorders>
              <w:bottom w:val="single" w:sz="6" w:space="0" w:color="E1E3E1"/>
            </w:tcBorders>
            <w:tcMar>
              <w:top w:w="120" w:type="dxa"/>
              <w:left w:w="120" w:type="dxa"/>
              <w:bottom w:w="120" w:type="dxa"/>
              <w:right w:w="120" w:type="dxa"/>
            </w:tcMar>
            <w:hideMark/>
          </w:tcPr>
          <w:p w14:paraId="26C47523"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A surprising finding from Talbot et al. (2014) was that for comparisons within a single stack, adjacent bars had a </w:t>
            </w:r>
            <w:r w:rsidRPr="0007366F">
              <w:rPr>
                <w:rFonts w:ascii="Times New Roman" w:eastAsia="Times New Roman" w:hAnsi="Times New Roman" w:cs="Times New Roman"/>
                <w:i/>
                <w:iCs/>
                <w:color w:val="1F1F1F"/>
                <w:kern w:val="0"/>
                <w14:ligatures w14:val="none"/>
              </w:rPr>
              <w:t>higher</w:t>
            </w:r>
            <w:r w:rsidRPr="0007366F">
              <w:rPr>
                <w:rFonts w:ascii="Times New Roman" w:eastAsia="Times New Roman" w:hAnsi="Times New Roman" w:cs="Times New Roman"/>
                <w:color w:val="1F1F1F"/>
                <w:kern w:val="0"/>
                <w14:ligatures w14:val="none"/>
              </w:rPr>
              <w:t> error rate than non-adjacent bars, possibly due to a bias towards making part-of-whole comparisons.</w:t>
            </w:r>
          </w:p>
        </w:tc>
      </w:tr>
      <w:tr w:rsidR="0007366F" w:rsidRPr="0007366F" w14:paraId="2792378B" w14:textId="77777777">
        <w:tc>
          <w:tcPr>
            <w:tcW w:w="0" w:type="auto"/>
            <w:tcBorders>
              <w:bottom w:val="nil"/>
            </w:tcBorders>
            <w:tcMar>
              <w:top w:w="120" w:type="dxa"/>
              <w:left w:w="120" w:type="dxa"/>
              <w:bottom w:w="120" w:type="dxa"/>
              <w:right w:w="120" w:type="dxa"/>
            </w:tcMar>
            <w:hideMark/>
          </w:tcPr>
          <w:p w14:paraId="62705617"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Effectiveness of 3D Charts</w:t>
            </w:r>
          </w:p>
        </w:tc>
        <w:tc>
          <w:tcPr>
            <w:tcW w:w="0" w:type="auto"/>
            <w:tcBorders>
              <w:bottom w:val="nil"/>
            </w:tcBorders>
            <w:tcMar>
              <w:top w:w="120" w:type="dxa"/>
              <w:left w:w="120" w:type="dxa"/>
              <w:bottom w:w="120" w:type="dxa"/>
              <w:right w:w="120" w:type="dxa"/>
            </w:tcMar>
            <w:hideMark/>
          </w:tcPr>
          <w:p w14:paraId="0AA38D0C"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 xml:space="preserve">Zacks, Levy, Tversky, &amp; </w:t>
            </w:r>
            <w:r w:rsidRPr="0007366F">
              <w:rPr>
                <w:rFonts w:ascii="Times New Roman" w:eastAsia="Times New Roman" w:hAnsi="Times New Roman" w:cs="Times New Roman"/>
                <w:color w:val="1F1F1F"/>
                <w:kern w:val="0"/>
                <w14:ligatures w14:val="none"/>
              </w:rPr>
              <w:lastRenderedPageBreak/>
              <w:t>Schiano (1998)</w:t>
            </w:r>
          </w:p>
        </w:tc>
        <w:tc>
          <w:tcPr>
            <w:tcW w:w="0" w:type="auto"/>
            <w:tcBorders>
              <w:bottom w:val="nil"/>
            </w:tcBorders>
            <w:tcMar>
              <w:top w:w="120" w:type="dxa"/>
              <w:left w:w="120" w:type="dxa"/>
              <w:bottom w:w="120" w:type="dxa"/>
              <w:right w:w="120" w:type="dxa"/>
            </w:tcMar>
            <w:hideMark/>
          </w:tcPr>
          <w:p w14:paraId="3F66ACEC"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lastRenderedPageBreak/>
              <w:t xml:space="preserve">The study involved experiments where </w:t>
            </w:r>
            <w:r w:rsidRPr="0007366F">
              <w:rPr>
                <w:rFonts w:ascii="Times New Roman" w:eastAsia="Times New Roman" w:hAnsi="Times New Roman" w:cs="Times New Roman"/>
                <w:color w:val="1F1F1F"/>
                <w:kern w:val="0"/>
                <w14:ligatures w14:val="none"/>
              </w:rPr>
              <w:lastRenderedPageBreak/>
              <w:t>participants made judgments about data presented in both 2D and 3D bar charts.</w:t>
            </w:r>
          </w:p>
        </w:tc>
        <w:tc>
          <w:tcPr>
            <w:tcW w:w="0" w:type="auto"/>
            <w:tcBorders>
              <w:bottom w:val="nil"/>
            </w:tcBorders>
            <w:tcMar>
              <w:top w:w="120" w:type="dxa"/>
              <w:left w:w="120" w:type="dxa"/>
              <w:bottom w:w="120" w:type="dxa"/>
              <w:right w:w="120" w:type="dxa"/>
            </w:tcMar>
            <w:hideMark/>
          </w:tcPr>
          <w:p w14:paraId="6104AFFA"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lastRenderedPageBreak/>
              <w:t xml:space="preserve">The study found that 3D charts, particularly those with perspective </w:t>
            </w:r>
            <w:r w:rsidRPr="0007366F">
              <w:rPr>
                <w:rFonts w:ascii="Times New Roman" w:eastAsia="Times New Roman" w:hAnsi="Times New Roman" w:cs="Times New Roman"/>
                <w:color w:val="1F1F1F"/>
                <w:kern w:val="0"/>
                <w14:ligatures w14:val="none"/>
              </w:rPr>
              <w:lastRenderedPageBreak/>
              <w:t>distortion, lead to less accurate judgments compared to their 2D counterparts. The added dimension often acts as "</w:t>
            </w:r>
            <w:proofErr w:type="spellStart"/>
            <w:r w:rsidRPr="0007366F">
              <w:rPr>
                <w:rFonts w:ascii="Times New Roman" w:eastAsia="Times New Roman" w:hAnsi="Times New Roman" w:cs="Times New Roman"/>
                <w:color w:val="1F1F1F"/>
                <w:kern w:val="0"/>
                <w14:ligatures w14:val="none"/>
              </w:rPr>
              <w:t>chartjunk</w:t>
            </w:r>
            <w:proofErr w:type="spellEnd"/>
            <w:r w:rsidRPr="0007366F">
              <w:rPr>
                <w:rFonts w:ascii="Times New Roman" w:eastAsia="Times New Roman" w:hAnsi="Times New Roman" w:cs="Times New Roman"/>
                <w:color w:val="1F1F1F"/>
                <w:kern w:val="0"/>
                <w14:ligatures w14:val="none"/>
              </w:rPr>
              <w:t>," increasing cognitive load and making it more difficult to accurately extract data.</w:t>
            </w:r>
          </w:p>
        </w:tc>
        <w:tc>
          <w:tcPr>
            <w:tcW w:w="0" w:type="auto"/>
            <w:tcBorders>
              <w:bottom w:val="nil"/>
            </w:tcBorders>
            <w:tcMar>
              <w:top w:w="120" w:type="dxa"/>
              <w:left w:w="120" w:type="dxa"/>
              <w:bottom w:w="120" w:type="dxa"/>
              <w:right w:w="120" w:type="dxa"/>
            </w:tcMar>
            <w:hideMark/>
          </w:tcPr>
          <w:p w14:paraId="0BDFE649"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lastRenderedPageBreak/>
              <w:t xml:space="preserve">While some argue that 3D charts can be </w:t>
            </w:r>
            <w:r w:rsidRPr="0007366F">
              <w:rPr>
                <w:rFonts w:ascii="Times New Roman" w:eastAsia="Times New Roman" w:hAnsi="Times New Roman" w:cs="Times New Roman"/>
                <w:color w:val="1F1F1F"/>
                <w:kern w:val="0"/>
                <w14:ligatures w14:val="none"/>
              </w:rPr>
              <w:lastRenderedPageBreak/>
              <w:t>more engaging, the empirical evidence strongly suggests that for the purpose of accurate data communication, 2D charts are superior.</w:t>
            </w:r>
          </w:p>
        </w:tc>
      </w:tr>
    </w:tbl>
    <w:p w14:paraId="2F698BBD" w14:textId="77777777" w:rsidR="0007366F" w:rsidRPr="0007366F" w:rsidRDefault="0007366F" w:rsidP="0007366F">
      <w:pPr>
        <w:spacing w:after="0" w:line="240" w:lineRule="auto"/>
        <w:rPr>
          <w:rFonts w:ascii="Times New Roman" w:eastAsia="Times New Roman" w:hAnsi="Times New Roman" w:cs="Times New Roman"/>
          <w:kern w:val="0"/>
          <w14:ligatures w14:val="none"/>
        </w:rPr>
      </w:pPr>
      <w:r w:rsidRPr="0007366F">
        <w:rPr>
          <w:rFonts w:ascii="Times New Roman" w:eastAsia="Times New Roman" w:hAnsi="Times New Roman" w:cs="Times New Roman"/>
          <w:kern w:val="0"/>
          <w14:ligatures w14:val="none"/>
        </w:rPr>
        <w:lastRenderedPageBreak/>
        <w:t> </w:t>
      </w:r>
    </w:p>
    <w:p w14:paraId="09C7BAC5" w14:textId="77777777" w:rsidR="00994FCB" w:rsidRDefault="00994FCB"/>
    <w:p w14:paraId="047F3A78" w14:textId="77777777" w:rsidR="0007366F" w:rsidRPr="0007366F" w:rsidRDefault="0007366F" w:rsidP="0007366F">
      <w:pPr>
        <w:shd w:val="clear" w:color="auto" w:fill="F8FAFD"/>
        <w:spacing w:after="100" w:afterAutospacing="1" w:line="360" w:lineRule="atLeast"/>
        <w:outlineLvl w:val="2"/>
        <w:rPr>
          <w:rFonts w:ascii="Roboto" w:eastAsia="Times New Roman" w:hAnsi="Roboto" w:cs="Times New Roman"/>
          <w:b/>
          <w:bCs/>
          <w:color w:val="1F1F1F"/>
          <w:kern w:val="0"/>
          <w14:ligatures w14:val="none"/>
        </w:rPr>
      </w:pPr>
      <w:r w:rsidRPr="0007366F">
        <w:rPr>
          <w:rFonts w:ascii="Roboto" w:eastAsia="Times New Roman" w:hAnsi="Roboto" w:cs="Times New Roman"/>
          <w:color w:val="1F1F1F"/>
          <w:kern w:val="0"/>
          <w14:ligatures w14:val="none"/>
        </w:rPr>
        <w:t>Official Accessibility and Equity Standards for Government Data Visualization</w:t>
      </w:r>
    </w:p>
    <w:p w14:paraId="1FF2C44B" w14:textId="77777777" w:rsidR="0007366F" w:rsidRPr="0007366F" w:rsidRDefault="0007366F" w:rsidP="0007366F">
      <w:p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Here is a detailed breakdown of current accessibility and equity standards for government data visualization, including official requirements, equity frameworks, and specific agency practices.</w:t>
      </w:r>
    </w:p>
    <w:p w14:paraId="3F613BA6" w14:textId="77777777" w:rsidR="0007366F" w:rsidRPr="0007366F" w:rsidRDefault="0007366F" w:rsidP="0007366F">
      <w:pPr>
        <w:spacing w:after="0" w:line="240" w:lineRule="auto"/>
        <w:rPr>
          <w:rFonts w:ascii="Roboto" w:eastAsia="Times New Roman" w:hAnsi="Roboto" w:cs="Times New Roman"/>
          <w:kern w:val="0"/>
          <w14:ligatures w14:val="none"/>
        </w:rPr>
      </w:pPr>
      <w:r w:rsidRPr="0007366F">
        <w:rPr>
          <w:rFonts w:ascii="Times New Roman" w:eastAsia="Times New Roman" w:hAnsi="Times New Roman" w:cs="Times New Roman"/>
          <w:kern w:val="0"/>
          <w14:ligatures w14:val="none"/>
        </w:rPr>
        <w:pict w14:anchorId="22C6F744">
          <v:rect id="_x0000_i1211" style="width:0;height:1.5pt" o:hralign="center" o:hrstd="t" o:hr="t" fillcolor="#a0a0a0" stroked="f"/>
        </w:pict>
      </w:r>
    </w:p>
    <w:p w14:paraId="103A374F" w14:textId="77777777" w:rsidR="0007366F" w:rsidRPr="0007366F" w:rsidRDefault="0007366F" w:rsidP="0007366F">
      <w:pPr>
        <w:shd w:val="clear" w:color="auto" w:fill="F8FAFD"/>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07366F">
        <w:rPr>
          <w:rFonts w:ascii="Roboto" w:eastAsia="Times New Roman" w:hAnsi="Roboto" w:cs="Times New Roman"/>
          <w:color w:val="1F1F1F"/>
          <w:kern w:val="0"/>
          <w14:ligatures w14:val="none"/>
        </w:rPr>
        <w:t>1. Official Accessibility Requirements</w:t>
      </w:r>
    </w:p>
    <w:p w14:paraId="246889AC" w14:textId="77777777" w:rsidR="0007366F" w:rsidRPr="0007366F" w:rsidRDefault="0007366F" w:rsidP="0007366F">
      <w:p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These standards provide the legal and technical foundation for ensuring that digital content, including data visualizations, is accessible to people with disabilities.</w:t>
      </w:r>
    </w:p>
    <w:p w14:paraId="59765942" w14:textId="77777777" w:rsidR="0007366F" w:rsidRPr="0007366F" w:rsidRDefault="0007366F" w:rsidP="0007366F">
      <w:pPr>
        <w:numPr>
          <w:ilvl w:val="0"/>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Web Content Accessibility Guidelines (WCAG)</w:t>
      </w:r>
    </w:p>
    <w:p w14:paraId="2C4B27A6" w14:textId="77777777" w:rsidR="0007366F" w:rsidRPr="0007366F" w:rsidRDefault="0007366F" w:rsidP="0007366F">
      <w:pPr>
        <w:numPr>
          <w:ilvl w:val="1"/>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Publication Date: The current version is WCAG 2.2, published on October 5, 2023. The widely adopted legal standard in the U.S. remains WCAG 2.0 Level AA.</w:t>
      </w:r>
    </w:p>
    <w:p w14:paraId="5A3CC9A5" w14:textId="77777777" w:rsidR="0007366F" w:rsidRPr="0007366F" w:rsidRDefault="0007366F" w:rsidP="0007366F">
      <w:pPr>
        <w:numPr>
          <w:ilvl w:val="1"/>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Contrast Ratios:</w:t>
      </w:r>
    </w:p>
    <w:p w14:paraId="69109D93" w14:textId="77777777" w:rsidR="0007366F" w:rsidRPr="0007366F" w:rsidRDefault="0007366F" w:rsidP="0007366F">
      <w:pPr>
        <w:numPr>
          <w:ilvl w:val="2"/>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Text Contrast (SC 1.4.3, Level AA): Verifies a minimum contrast ratio of 4.5:1 for normal text and 3:1 for large text (defined as 18pt/24px or 14pt/18.66px bold).</w:t>
      </w:r>
    </w:p>
    <w:p w14:paraId="3D79FA0D" w14:textId="77777777" w:rsidR="0007366F" w:rsidRPr="0007366F" w:rsidRDefault="0007366F" w:rsidP="0007366F">
      <w:pPr>
        <w:numPr>
          <w:ilvl w:val="2"/>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Non-text Contrast (SC 1.4.11, Level AA): Verifies a minimum contrast ratio of 3:1 for graphical objects and user interface components (like the borders of input fields or the visual representation of a chart's bars or lines).</w:t>
      </w:r>
    </w:p>
    <w:p w14:paraId="0B7AA2E9" w14:textId="77777777" w:rsidR="0007366F" w:rsidRPr="0007366F" w:rsidRDefault="0007366F" w:rsidP="0007366F">
      <w:pPr>
        <w:numPr>
          <w:ilvl w:val="2"/>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Enhanced Contrast (SC 1.4.6, Level AAA): For a higher level of accessibility, this standard requires a 7:1 ratio for normal text and 4.5:1 for large text.</w:t>
      </w:r>
    </w:p>
    <w:p w14:paraId="7AC8847B" w14:textId="77777777" w:rsidR="0007366F" w:rsidRPr="0007366F" w:rsidRDefault="0007366F" w:rsidP="0007366F">
      <w:pPr>
        <w:numPr>
          <w:ilvl w:val="1"/>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Official Documentation: </w:t>
      </w:r>
      <w:hyperlink r:id="rId5" w:tgtFrame="_blank" w:tooltip="https://www.w3.org/TR/WCAG22/" w:history="1">
        <w:r w:rsidRPr="0007366F">
          <w:rPr>
            <w:rFonts w:ascii="Roboto" w:eastAsia="Times New Roman" w:hAnsi="Roboto" w:cs="Times New Roman"/>
            <w:color w:val="0B57D0"/>
            <w:kern w:val="0"/>
            <w:u w:val="single"/>
            <w14:ligatures w14:val="none"/>
          </w:rPr>
          <w:t>https://www.w3.org/TR/WCAG22/</w:t>
        </w:r>
      </w:hyperlink>
    </w:p>
    <w:p w14:paraId="798F5997" w14:textId="77777777" w:rsidR="0007366F" w:rsidRPr="0007366F" w:rsidRDefault="0007366F" w:rsidP="0007366F">
      <w:pPr>
        <w:numPr>
          <w:ilvl w:val="0"/>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U.S. Web Design System (USWDS)</w:t>
      </w:r>
    </w:p>
    <w:p w14:paraId="0B6D0040" w14:textId="77777777" w:rsidR="0007366F" w:rsidRPr="0007366F" w:rsidRDefault="0007366F" w:rsidP="0007366F">
      <w:pPr>
        <w:numPr>
          <w:ilvl w:val="1"/>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Publication Date: The USWDS is a living design system, with its latest version (v3.13.0 as of early 2026) and guidance continuously updated.</w:t>
      </w:r>
    </w:p>
    <w:p w14:paraId="6FAF5D9B" w14:textId="77777777" w:rsidR="0007366F" w:rsidRPr="0007366F" w:rsidRDefault="0007366F" w:rsidP="0007366F">
      <w:pPr>
        <w:numPr>
          <w:ilvl w:val="1"/>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Official Documentation on Visualization Accessibility:</w:t>
      </w:r>
    </w:p>
    <w:p w14:paraId="35A6F2A7" w14:textId="77777777" w:rsidR="0007366F" w:rsidRPr="0007366F" w:rsidRDefault="0007366F" w:rsidP="0007366F">
      <w:pPr>
        <w:numPr>
          <w:ilvl w:val="2"/>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lastRenderedPageBreak/>
        <w:t>General Guidance: The USWDS "Data visualizations" page provides guidance on simplicity, lossless representation, and clarity. It explicitly recommends providing a screen-reader-accessible data table for the information in a visualization and hiding the visual chart with </w:t>
      </w:r>
      <w:r w:rsidRPr="0007366F">
        <w:rPr>
          <w:rFonts w:ascii="Courier New" w:eastAsia="Times New Roman" w:hAnsi="Courier New" w:cs="Courier New"/>
          <w:color w:val="1F1F1F"/>
          <w:kern w:val="0"/>
          <w:sz w:val="20"/>
          <w:szCs w:val="20"/>
          <w:bdr w:val="none" w:sz="0" w:space="0" w:color="auto" w:frame="1"/>
          <w:shd w:val="clear" w:color="auto" w:fill="F0F4F9"/>
          <w14:ligatures w14:val="none"/>
        </w:rPr>
        <w:t>aria-hidden="true"</w:t>
      </w:r>
      <w:r w:rsidRPr="0007366F">
        <w:rPr>
          <w:rFonts w:ascii="Roboto" w:eastAsia="Times New Roman" w:hAnsi="Roboto" w:cs="Times New Roman"/>
          <w:color w:val="1F1F1F"/>
          <w:kern w:val="0"/>
          <w14:ligatures w14:val="none"/>
        </w:rPr>
        <w:t>.</w:t>
      </w:r>
    </w:p>
    <w:p w14:paraId="60B7C782" w14:textId="77777777" w:rsidR="0007366F" w:rsidRPr="0007366F" w:rsidRDefault="0007366F" w:rsidP="0007366F">
      <w:pPr>
        <w:numPr>
          <w:ilvl w:val="2"/>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Color System: The "Color" page details the "magic number" system for achieving accessible color pairings. A difference of 50 or more between color grades ensures a WCAG AA contrast of at least 4.5:1.</w:t>
      </w:r>
    </w:p>
    <w:p w14:paraId="056DB413" w14:textId="77777777" w:rsidR="0007366F" w:rsidRPr="0007366F" w:rsidRDefault="0007366F" w:rsidP="0007366F">
      <w:pPr>
        <w:numPr>
          <w:ilvl w:val="2"/>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Overall Principles: The "Accessibility" page outlines the system's foundational commitment to WCAG 2.1 AA (striving for 2.2) and the four principles of Perceivable, Operable, Understandable, and Robust.</w:t>
      </w:r>
    </w:p>
    <w:p w14:paraId="5CA1FB51" w14:textId="77777777" w:rsidR="0007366F" w:rsidRPr="0007366F" w:rsidRDefault="0007366F" w:rsidP="0007366F">
      <w:pPr>
        <w:numPr>
          <w:ilvl w:val="1"/>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Link: </w:t>
      </w:r>
      <w:hyperlink r:id="rId6" w:tgtFrame="_blank" w:tooltip="https://designsystem.digital.gov/components/data-visualizations/" w:history="1">
        <w:r w:rsidRPr="0007366F">
          <w:rPr>
            <w:rFonts w:ascii="Roboto" w:eastAsia="Times New Roman" w:hAnsi="Roboto" w:cs="Times New Roman"/>
            <w:color w:val="0B57D0"/>
            <w:kern w:val="0"/>
            <w:u w:val="single"/>
            <w14:ligatures w14:val="none"/>
          </w:rPr>
          <w:t>https://designsystem.digital.gov/components/data-visualizations/</w:t>
        </w:r>
      </w:hyperlink>
    </w:p>
    <w:p w14:paraId="4D333807" w14:textId="77777777" w:rsidR="0007366F" w:rsidRPr="0007366F" w:rsidRDefault="0007366F" w:rsidP="0007366F">
      <w:pPr>
        <w:numPr>
          <w:ilvl w:val="0"/>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UK Government Digital Service (GDS)</w:t>
      </w:r>
    </w:p>
    <w:p w14:paraId="40F94A12" w14:textId="77777777" w:rsidR="0007366F" w:rsidRPr="0007366F" w:rsidRDefault="0007366F" w:rsidP="0007366F">
      <w:pPr>
        <w:numPr>
          <w:ilvl w:val="1"/>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Publication Date: The guidance is part of the ongoing Government Analysis Function and is regularly updated.</w:t>
      </w:r>
    </w:p>
    <w:p w14:paraId="369B7319" w14:textId="77777777" w:rsidR="0007366F" w:rsidRPr="0007366F" w:rsidRDefault="0007366F" w:rsidP="0007366F">
      <w:pPr>
        <w:numPr>
          <w:ilvl w:val="1"/>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Official Documentation on Charts and Data Presentation:</w:t>
      </w:r>
    </w:p>
    <w:p w14:paraId="049B68C4" w14:textId="77777777" w:rsidR="0007366F" w:rsidRPr="0007366F" w:rsidRDefault="0007366F" w:rsidP="0007366F">
      <w:pPr>
        <w:numPr>
          <w:ilvl w:val="2"/>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 xml:space="preserve">Charts: The "Data </w:t>
      </w:r>
      <w:proofErr w:type="spellStart"/>
      <w:r w:rsidRPr="0007366F">
        <w:rPr>
          <w:rFonts w:ascii="Roboto" w:eastAsia="Times New Roman" w:hAnsi="Roboto" w:cs="Times New Roman"/>
          <w:color w:val="1F1F1F"/>
          <w:kern w:val="0"/>
          <w14:ligatures w14:val="none"/>
        </w:rPr>
        <w:t>visualisation</w:t>
      </w:r>
      <w:proofErr w:type="spellEnd"/>
      <w:r w:rsidRPr="0007366F">
        <w:rPr>
          <w:rFonts w:ascii="Roboto" w:eastAsia="Times New Roman" w:hAnsi="Roboto" w:cs="Times New Roman"/>
          <w:color w:val="1F1F1F"/>
          <w:kern w:val="0"/>
          <w14:ligatures w14:val="none"/>
        </w:rPr>
        <w:t xml:space="preserve">: charts" </w:t>
      </w:r>
      <w:proofErr w:type="gramStart"/>
      <w:r w:rsidRPr="0007366F">
        <w:rPr>
          <w:rFonts w:ascii="Roboto" w:eastAsia="Times New Roman" w:hAnsi="Roboto" w:cs="Times New Roman"/>
          <w:color w:val="1F1F1F"/>
          <w:kern w:val="0"/>
          <w14:ligatures w14:val="none"/>
        </w:rPr>
        <w:t>guidance</w:t>
      </w:r>
      <w:proofErr w:type="gramEnd"/>
      <w:r w:rsidRPr="0007366F">
        <w:rPr>
          <w:rFonts w:ascii="Roboto" w:eastAsia="Times New Roman" w:hAnsi="Roboto" w:cs="Times New Roman"/>
          <w:color w:val="1F1F1F"/>
          <w:kern w:val="0"/>
          <w14:ligatures w14:val="none"/>
        </w:rPr>
        <w:t xml:space="preserve"> provides specific advice on creating and publishing accessible charts.</w:t>
      </w:r>
    </w:p>
    <w:p w14:paraId="590EE325" w14:textId="77777777" w:rsidR="0007366F" w:rsidRPr="0007366F" w:rsidRDefault="0007366F" w:rsidP="0007366F">
      <w:pPr>
        <w:numPr>
          <w:ilvl w:val="2"/>
          <w:numId w:val="4"/>
        </w:numPr>
        <w:shd w:val="clear" w:color="auto" w:fill="F8FAFD"/>
        <w:spacing w:after="0" w:line="240" w:lineRule="auto"/>
        <w:rPr>
          <w:rFonts w:ascii="Roboto" w:eastAsia="Times New Roman" w:hAnsi="Roboto" w:cs="Times New Roman"/>
          <w:color w:val="1F1F1F"/>
          <w:kern w:val="0"/>
          <w14:ligatures w14:val="none"/>
        </w:rPr>
      </w:pPr>
      <w:proofErr w:type="spellStart"/>
      <w:r w:rsidRPr="0007366F">
        <w:rPr>
          <w:rFonts w:ascii="Roboto" w:eastAsia="Times New Roman" w:hAnsi="Roboto" w:cs="Times New Roman"/>
          <w:color w:val="1F1F1F"/>
          <w:kern w:val="0"/>
          <w14:ligatures w14:val="none"/>
        </w:rPr>
        <w:t>Colours</w:t>
      </w:r>
      <w:proofErr w:type="spellEnd"/>
      <w:r w:rsidRPr="0007366F">
        <w:rPr>
          <w:rFonts w:ascii="Roboto" w:eastAsia="Times New Roman" w:hAnsi="Roboto" w:cs="Times New Roman"/>
          <w:color w:val="1F1F1F"/>
          <w:kern w:val="0"/>
          <w14:ligatures w14:val="none"/>
        </w:rPr>
        <w:t xml:space="preserve">: The "Data </w:t>
      </w:r>
      <w:proofErr w:type="spellStart"/>
      <w:r w:rsidRPr="0007366F">
        <w:rPr>
          <w:rFonts w:ascii="Roboto" w:eastAsia="Times New Roman" w:hAnsi="Roboto" w:cs="Times New Roman"/>
          <w:color w:val="1F1F1F"/>
          <w:kern w:val="0"/>
          <w14:ligatures w14:val="none"/>
        </w:rPr>
        <w:t>visualisation</w:t>
      </w:r>
      <w:proofErr w:type="spellEnd"/>
      <w:r w:rsidRPr="0007366F">
        <w:rPr>
          <w:rFonts w:ascii="Roboto" w:eastAsia="Times New Roman" w:hAnsi="Roboto" w:cs="Times New Roman"/>
          <w:color w:val="1F1F1F"/>
          <w:kern w:val="0"/>
          <w14:ligatures w14:val="none"/>
        </w:rPr>
        <w:t xml:space="preserve">: </w:t>
      </w:r>
      <w:proofErr w:type="spellStart"/>
      <w:r w:rsidRPr="0007366F">
        <w:rPr>
          <w:rFonts w:ascii="Roboto" w:eastAsia="Times New Roman" w:hAnsi="Roboto" w:cs="Times New Roman"/>
          <w:color w:val="1F1F1F"/>
          <w:kern w:val="0"/>
          <w14:ligatures w14:val="none"/>
        </w:rPr>
        <w:t>colours</w:t>
      </w:r>
      <w:proofErr w:type="spellEnd"/>
      <w:r w:rsidRPr="0007366F">
        <w:rPr>
          <w:rFonts w:ascii="Roboto" w:eastAsia="Times New Roman" w:hAnsi="Roboto" w:cs="Times New Roman"/>
          <w:color w:val="1F1F1F"/>
          <w:kern w:val="0"/>
          <w14:ligatures w14:val="none"/>
        </w:rPr>
        <w:t xml:space="preserve">" </w:t>
      </w:r>
      <w:proofErr w:type="gramStart"/>
      <w:r w:rsidRPr="0007366F">
        <w:rPr>
          <w:rFonts w:ascii="Roboto" w:eastAsia="Times New Roman" w:hAnsi="Roboto" w:cs="Times New Roman"/>
          <w:color w:val="1F1F1F"/>
          <w:kern w:val="0"/>
          <w14:ligatures w14:val="none"/>
        </w:rPr>
        <w:t>guidance</w:t>
      </w:r>
      <w:proofErr w:type="gramEnd"/>
      <w:r w:rsidRPr="0007366F">
        <w:rPr>
          <w:rFonts w:ascii="Roboto" w:eastAsia="Times New Roman" w:hAnsi="Roboto" w:cs="Times New Roman"/>
          <w:color w:val="1F1F1F"/>
          <w:kern w:val="0"/>
          <w14:ligatures w14:val="none"/>
        </w:rPr>
        <w:t xml:space="preserve"> details how to use the GDS accessible color palettes and meet contrast requirements. It reiterates the WCAG 2.2 requirement for a 3:1 contrast ratio for graphical elements and states that color should not be the only means of conveying information.</w:t>
      </w:r>
    </w:p>
    <w:p w14:paraId="2B2CE845" w14:textId="77777777" w:rsidR="0007366F" w:rsidRPr="0007366F" w:rsidRDefault="0007366F" w:rsidP="0007366F">
      <w:pPr>
        <w:numPr>
          <w:ilvl w:val="2"/>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E-learning: The GDS provides a comprehensive e-learning course on data visualization that covers accessibility in detail.</w:t>
      </w:r>
    </w:p>
    <w:p w14:paraId="74D77322" w14:textId="77777777" w:rsidR="0007366F" w:rsidRPr="0007366F" w:rsidRDefault="0007366F" w:rsidP="0007366F">
      <w:pPr>
        <w:numPr>
          <w:ilvl w:val="1"/>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Link: </w:t>
      </w:r>
      <w:hyperlink r:id="rId7" w:tgtFrame="_blank" w:tooltip="https://analysisfunction.civilservice.gov.uk/guidance-and-research/accessibility/" w:history="1">
        <w:r w:rsidRPr="0007366F">
          <w:rPr>
            <w:rFonts w:ascii="Roboto" w:eastAsia="Times New Roman" w:hAnsi="Roboto" w:cs="Times New Roman"/>
            <w:color w:val="0B57D0"/>
            <w:kern w:val="0"/>
            <w:u w:val="single"/>
            <w14:ligatures w14:val="none"/>
          </w:rPr>
          <w:t>https://analysisfunction.civilservice.gov.uk/guidance-and-research/accessibility/</w:t>
        </w:r>
      </w:hyperlink>
    </w:p>
    <w:p w14:paraId="0868D7EA" w14:textId="77777777" w:rsidR="0007366F" w:rsidRPr="0007366F" w:rsidRDefault="0007366F" w:rsidP="0007366F">
      <w:pPr>
        <w:numPr>
          <w:ilvl w:val="0"/>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Section 508 Requirements</w:t>
      </w:r>
    </w:p>
    <w:p w14:paraId="392FE986" w14:textId="77777777" w:rsidR="0007366F" w:rsidRPr="0007366F" w:rsidRDefault="0007366F" w:rsidP="0007366F">
      <w:pPr>
        <w:numPr>
          <w:ilvl w:val="1"/>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 xml:space="preserve">Publication Date: The "Revised 508 Standards" were published in the Federal Register in 2017 and became effective in 2018. They directly incorporate WCAG 2.0 AA </w:t>
      </w:r>
      <w:proofErr w:type="gramStart"/>
      <w:r w:rsidRPr="0007366F">
        <w:rPr>
          <w:rFonts w:ascii="Roboto" w:eastAsia="Times New Roman" w:hAnsi="Roboto" w:cs="Times New Roman"/>
          <w:color w:val="1F1F1F"/>
          <w:kern w:val="0"/>
          <w14:ligatures w14:val="none"/>
        </w:rPr>
        <w:t>by</w:t>
      </w:r>
      <w:proofErr w:type="gramEnd"/>
      <w:r w:rsidRPr="0007366F">
        <w:rPr>
          <w:rFonts w:ascii="Roboto" w:eastAsia="Times New Roman" w:hAnsi="Roboto" w:cs="Times New Roman"/>
          <w:color w:val="1F1F1F"/>
          <w:kern w:val="0"/>
          <w14:ligatures w14:val="none"/>
        </w:rPr>
        <w:t xml:space="preserve"> reference.</w:t>
      </w:r>
    </w:p>
    <w:p w14:paraId="7E1E9863" w14:textId="77777777" w:rsidR="0007366F" w:rsidRPr="0007366F" w:rsidRDefault="0007366F" w:rsidP="0007366F">
      <w:pPr>
        <w:numPr>
          <w:ilvl w:val="1"/>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Specific Guidance for Data Visualization: Section 508 does not provide separate, detailed guidance specifically for data visualization. Instead, compliance is achieved by adhering to the incorporated WCAG 2.0 AA standards. This means that for a chart or graph to be 508 compliant, it must meet all relevant WCAG criteria, including:</w:t>
      </w:r>
    </w:p>
    <w:p w14:paraId="76C8FE94" w14:textId="77777777" w:rsidR="0007366F" w:rsidRPr="0007366F" w:rsidRDefault="0007366F" w:rsidP="0007366F">
      <w:pPr>
        <w:numPr>
          <w:ilvl w:val="2"/>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Providing text alternatives (e.g., alt text and an accessible data table) for non-text content (WCAG SC 1.1.1).</w:t>
      </w:r>
    </w:p>
    <w:p w14:paraId="17DB7445" w14:textId="77777777" w:rsidR="0007366F" w:rsidRPr="0007366F" w:rsidRDefault="0007366F" w:rsidP="0007366F">
      <w:pPr>
        <w:numPr>
          <w:ilvl w:val="2"/>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Ensuring information is not conveyed by color alone (WCAG SC 1.4.1).</w:t>
      </w:r>
    </w:p>
    <w:p w14:paraId="59084252" w14:textId="77777777" w:rsidR="0007366F" w:rsidRPr="0007366F" w:rsidRDefault="0007366F" w:rsidP="0007366F">
      <w:pPr>
        <w:numPr>
          <w:ilvl w:val="2"/>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Meeting the contrast ratio requirements for text and non-text elements (WCAG SC 1.4.3 and 1.4.11).</w:t>
      </w:r>
    </w:p>
    <w:p w14:paraId="2CE53A07" w14:textId="77777777" w:rsidR="0007366F" w:rsidRPr="0007366F" w:rsidRDefault="0007366F" w:rsidP="0007366F">
      <w:pPr>
        <w:numPr>
          <w:ilvl w:val="1"/>
          <w:numId w:val="4"/>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lastRenderedPageBreak/>
        <w:t>Link: </w:t>
      </w:r>
      <w:hyperlink r:id="rId8" w:tgtFrame="_blank" w:tooltip="https://www.section508.gov/" w:history="1">
        <w:r w:rsidRPr="0007366F">
          <w:rPr>
            <w:rFonts w:ascii="Roboto" w:eastAsia="Times New Roman" w:hAnsi="Roboto" w:cs="Times New Roman"/>
            <w:color w:val="0B57D0"/>
            <w:kern w:val="0"/>
            <w:u w:val="single"/>
            <w14:ligatures w14:val="none"/>
          </w:rPr>
          <w:t>https://www.section508.gov/</w:t>
        </w:r>
      </w:hyperlink>
    </w:p>
    <w:p w14:paraId="70EFEA25" w14:textId="77777777" w:rsidR="0007366F" w:rsidRPr="0007366F" w:rsidRDefault="0007366F" w:rsidP="0007366F">
      <w:pPr>
        <w:spacing w:after="0" w:line="240" w:lineRule="auto"/>
        <w:rPr>
          <w:rFonts w:ascii="Roboto" w:eastAsia="Times New Roman" w:hAnsi="Roboto" w:cs="Times New Roman"/>
          <w:kern w:val="0"/>
          <w14:ligatures w14:val="none"/>
        </w:rPr>
      </w:pPr>
      <w:r w:rsidRPr="0007366F">
        <w:rPr>
          <w:rFonts w:ascii="Times New Roman" w:eastAsia="Times New Roman" w:hAnsi="Times New Roman" w:cs="Times New Roman"/>
          <w:kern w:val="0"/>
          <w14:ligatures w14:val="none"/>
        </w:rPr>
        <w:pict w14:anchorId="4608A9D2">
          <v:rect id="_x0000_i1212" style="width:0;height:1.5pt" o:hralign="center" o:hrstd="t" o:hr="t" fillcolor="#a0a0a0" stroked="f"/>
        </w:pict>
      </w:r>
    </w:p>
    <w:p w14:paraId="3EF671D9" w14:textId="77777777" w:rsidR="0007366F" w:rsidRPr="0007366F" w:rsidRDefault="0007366F" w:rsidP="0007366F">
      <w:pPr>
        <w:shd w:val="clear" w:color="auto" w:fill="F8FAFD"/>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07366F">
        <w:rPr>
          <w:rFonts w:ascii="Roboto" w:eastAsia="Times New Roman" w:hAnsi="Roboto" w:cs="Times New Roman"/>
          <w:color w:val="1F1F1F"/>
          <w:kern w:val="0"/>
          <w14:ligatures w14:val="none"/>
        </w:rPr>
        <w:t>2. Equity Frameworks and Supporting Evidence</w:t>
      </w:r>
    </w:p>
    <w:p w14:paraId="0F7A5499" w14:textId="77777777" w:rsidR="0007366F" w:rsidRPr="0007366F" w:rsidRDefault="0007366F" w:rsidP="0007366F">
      <w:p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These frameworks and research areas address the ethical and social dimensions of data visualization, moving beyond technical compliance to focus on responsible communication.</w:t>
      </w:r>
    </w:p>
    <w:p w14:paraId="630C1EFD" w14:textId="77777777" w:rsidR="0007366F" w:rsidRPr="0007366F" w:rsidRDefault="0007366F" w:rsidP="0007366F">
      <w:pPr>
        <w:numPr>
          <w:ilvl w:val="0"/>
          <w:numId w:val="5"/>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Urban Institute "Do No Harm" Guide</w:t>
      </w:r>
    </w:p>
    <w:p w14:paraId="630DAC98" w14:textId="77777777" w:rsidR="0007366F" w:rsidRPr="0007366F" w:rsidRDefault="0007366F" w:rsidP="0007366F">
      <w:pPr>
        <w:numPr>
          <w:ilvl w:val="1"/>
          <w:numId w:val="5"/>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Publication Date: The "Do No Harm Guide: Applying Equity Awareness in Data Visualization" was published on June 9, 2021.</w:t>
      </w:r>
    </w:p>
    <w:p w14:paraId="1EA33783" w14:textId="77777777" w:rsidR="0007366F" w:rsidRPr="0007366F" w:rsidRDefault="0007366F" w:rsidP="0007366F">
      <w:pPr>
        <w:numPr>
          <w:ilvl w:val="1"/>
          <w:numId w:val="5"/>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Core Recommendations:</w:t>
      </w:r>
    </w:p>
    <w:p w14:paraId="76954C77" w14:textId="77777777" w:rsidR="0007366F" w:rsidRPr="0007366F" w:rsidRDefault="0007366F" w:rsidP="0007366F">
      <w:pPr>
        <w:numPr>
          <w:ilvl w:val="2"/>
          <w:numId w:val="5"/>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Use People-First Language: Center the humanity of individuals (e.g., "people with disabilities" not "the disabled").</w:t>
      </w:r>
    </w:p>
    <w:p w14:paraId="58A3740E" w14:textId="77777777" w:rsidR="0007366F" w:rsidRPr="0007366F" w:rsidRDefault="0007366F" w:rsidP="0007366F">
      <w:pPr>
        <w:numPr>
          <w:ilvl w:val="2"/>
          <w:numId w:val="5"/>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Thoughtfully Order Demographic Groups: Avoid default orderings that reinforce social hierarchies (e.g., placing "White" or "Male" first).</w:t>
      </w:r>
    </w:p>
    <w:p w14:paraId="11A81C9F" w14:textId="77777777" w:rsidR="0007366F" w:rsidRPr="0007366F" w:rsidRDefault="0007366F" w:rsidP="0007366F">
      <w:pPr>
        <w:numPr>
          <w:ilvl w:val="2"/>
          <w:numId w:val="5"/>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Purposeful Color Selection: Avoid colors that reinforce stereotypes (e.g., pink for women, blue for men) or create visual hierarchies.</w:t>
      </w:r>
    </w:p>
    <w:p w14:paraId="795EC9F0" w14:textId="77777777" w:rsidR="0007366F" w:rsidRPr="0007366F" w:rsidRDefault="0007366F" w:rsidP="0007366F">
      <w:pPr>
        <w:numPr>
          <w:ilvl w:val="2"/>
          <w:numId w:val="5"/>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Responsibly Frame Disparities: Provide systemic context to avoid "deficit framing" that can lead to blaming marginalized communities for their outcomes.</w:t>
      </w:r>
    </w:p>
    <w:p w14:paraId="4475F5A5" w14:textId="77777777" w:rsidR="0007366F" w:rsidRPr="0007366F" w:rsidRDefault="0007366F" w:rsidP="0007366F">
      <w:pPr>
        <w:numPr>
          <w:ilvl w:val="1"/>
          <w:numId w:val="5"/>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Evidence Quality: The guide is based on a qualitative methodology, including over a dozen interviews with nearly 20 data practitioners, and is presented as a set of expert recommendations and principles rather than a quantitative empirical study. Its strength lies in its practitioner-informed, ethics-driven approach.</w:t>
      </w:r>
    </w:p>
    <w:p w14:paraId="7C5DA5B6" w14:textId="77777777" w:rsidR="0007366F" w:rsidRPr="0007366F" w:rsidRDefault="0007366F" w:rsidP="0007366F">
      <w:pPr>
        <w:numPr>
          <w:ilvl w:val="0"/>
          <w:numId w:val="5"/>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Empirical Research on Bias and Framing</w:t>
      </w:r>
    </w:p>
    <w:p w14:paraId="2FAB311A" w14:textId="77777777" w:rsidR="0007366F" w:rsidRPr="0007366F" w:rsidRDefault="0007366F" w:rsidP="0007366F">
      <w:pPr>
        <w:numPr>
          <w:ilvl w:val="1"/>
          <w:numId w:val="5"/>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Implicit Bias and Framing Effects:</w:t>
      </w:r>
    </w:p>
    <w:p w14:paraId="55878132" w14:textId="77777777" w:rsidR="0007366F" w:rsidRPr="0007366F" w:rsidRDefault="0007366F" w:rsidP="0007366F">
      <w:pPr>
        <w:numPr>
          <w:ilvl w:val="2"/>
          <w:numId w:val="5"/>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Evidence: Research by Xiong et al. (2023, 2024) demonstrates that visualization design choices can significantly influence viewer interpretation and increase political polarization. One study found that highlighting partisan gaps can induce social conformity, while another showed that viewers' pre-existing beliefs bias their interpretation of data, a phenomenon that can be mitigated or exacerbated by textual annotations.</w:t>
      </w:r>
    </w:p>
    <w:p w14:paraId="4A743155" w14:textId="77777777" w:rsidR="0007366F" w:rsidRPr="0007366F" w:rsidRDefault="0007366F" w:rsidP="0007366F">
      <w:pPr>
        <w:numPr>
          <w:ilvl w:val="2"/>
          <w:numId w:val="5"/>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Evidence Quality: High. These are peer-reviewed empirical studies published in top-tier visualization conferences (IEEE VIS) and journals (IEEE TVCG), employing controlled experiments with human subjects.</w:t>
      </w:r>
    </w:p>
    <w:p w14:paraId="66955F5F" w14:textId="77777777" w:rsidR="0007366F" w:rsidRPr="0007366F" w:rsidRDefault="0007366F" w:rsidP="0007366F">
      <w:pPr>
        <w:numPr>
          <w:ilvl w:val="1"/>
          <w:numId w:val="5"/>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Color Associations and Stereotypes:</w:t>
      </w:r>
    </w:p>
    <w:p w14:paraId="0B78A305" w14:textId="77777777" w:rsidR="0007366F" w:rsidRPr="0007366F" w:rsidRDefault="0007366F" w:rsidP="0007366F">
      <w:pPr>
        <w:numPr>
          <w:ilvl w:val="2"/>
          <w:numId w:val="5"/>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 xml:space="preserve">Evidence: While direct empirical studies on racial/gender color stereotypes in data visualization are an emerging area, practitioner-focused articles and guides strongly advise against </w:t>
      </w:r>
      <w:proofErr w:type="gramStart"/>
      <w:r w:rsidRPr="0007366F">
        <w:rPr>
          <w:rFonts w:ascii="Roboto" w:eastAsia="Times New Roman" w:hAnsi="Roboto" w:cs="Times New Roman"/>
          <w:color w:val="1F1F1F"/>
          <w:kern w:val="0"/>
          <w14:ligatures w14:val="none"/>
        </w:rPr>
        <w:t xml:space="preserve">stereotypical </w:t>
      </w:r>
      <w:r w:rsidRPr="0007366F">
        <w:rPr>
          <w:rFonts w:ascii="Roboto" w:eastAsia="Times New Roman" w:hAnsi="Roboto" w:cs="Times New Roman"/>
          <w:color w:val="1F1F1F"/>
          <w:kern w:val="0"/>
          <w14:ligatures w14:val="none"/>
        </w:rPr>
        <w:lastRenderedPageBreak/>
        <w:t>color</w:t>
      </w:r>
      <w:proofErr w:type="gramEnd"/>
      <w:r w:rsidRPr="0007366F">
        <w:rPr>
          <w:rFonts w:ascii="Roboto" w:eastAsia="Times New Roman" w:hAnsi="Roboto" w:cs="Times New Roman"/>
          <w:color w:val="1F1F1F"/>
          <w:kern w:val="0"/>
          <w14:ligatures w14:val="none"/>
        </w:rPr>
        <w:t xml:space="preserve"> use based on established principles of inclusive design. The "Do No Harm Guide" explicitly warns against using colors like pink for women and blue for men.</w:t>
      </w:r>
    </w:p>
    <w:p w14:paraId="2E12B2AF" w14:textId="77777777" w:rsidR="0007366F" w:rsidRPr="0007366F" w:rsidRDefault="0007366F" w:rsidP="0007366F">
      <w:pPr>
        <w:numPr>
          <w:ilvl w:val="2"/>
          <w:numId w:val="5"/>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Evidence Quality: Medium to High. The recommendations are based on well-established principles of inclusive design and social psychology, though more direct, quantitative experimental research on the specific impact of stereotypical color use in charts is still developing.</w:t>
      </w:r>
    </w:p>
    <w:p w14:paraId="1E5DC270" w14:textId="77777777" w:rsidR="0007366F" w:rsidRPr="0007366F" w:rsidRDefault="0007366F" w:rsidP="0007366F">
      <w:pPr>
        <w:spacing w:after="0" w:line="240" w:lineRule="auto"/>
        <w:rPr>
          <w:rFonts w:ascii="Roboto" w:eastAsia="Times New Roman" w:hAnsi="Roboto" w:cs="Times New Roman"/>
          <w:kern w:val="0"/>
          <w14:ligatures w14:val="none"/>
        </w:rPr>
      </w:pPr>
      <w:r w:rsidRPr="0007366F">
        <w:rPr>
          <w:rFonts w:ascii="Times New Roman" w:eastAsia="Times New Roman" w:hAnsi="Times New Roman" w:cs="Times New Roman"/>
          <w:kern w:val="0"/>
          <w14:ligatures w14:val="none"/>
        </w:rPr>
        <w:pict w14:anchorId="5567A704">
          <v:rect id="_x0000_i1213" style="width:0;height:1.5pt" o:hralign="center" o:hrstd="t" o:hr="t" fillcolor="#a0a0a0" stroked="f"/>
        </w:pict>
      </w:r>
    </w:p>
    <w:p w14:paraId="0DF8F485" w14:textId="77777777" w:rsidR="0007366F" w:rsidRPr="0007366F" w:rsidRDefault="0007366F" w:rsidP="0007366F">
      <w:pPr>
        <w:shd w:val="clear" w:color="auto" w:fill="F8FAFD"/>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07366F">
        <w:rPr>
          <w:rFonts w:ascii="Roboto" w:eastAsia="Times New Roman" w:hAnsi="Roboto" w:cs="Times New Roman"/>
          <w:color w:val="1F1F1F"/>
          <w:kern w:val="0"/>
          <w14:ligatures w14:val="none"/>
        </w:rPr>
        <w:t>3. Government Agency Practices</w:t>
      </w:r>
    </w:p>
    <w:p w14:paraId="22C93DC7" w14:textId="77777777" w:rsidR="0007366F" w:rsidRPr="0007366F" w:rsidRDefault="0007366F" w:rsidP="0007366F">
      <w:pPr>
        <w:numPr>
          <w:ilvl w:val="0"/>
          <w:numId w:val="6"/>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Congressional Research Service (CRS)</w:t>
      </w:r>
    </w:p>
    <w:p w14:paraId="1D53BC42" w14:textId="77777777" w:rsidR="0007366F" w:rsidRPr="0007366F" w:rsidRDefault="0007366F" w:rsidP="0007366F">
      <w:pPr>
        <w:numPr>
          <w:ilvl w:val="1"/>
          <w:numId w:val="6"/>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 xml:space="preserve">Official Standards: A specific, publicly available "data visualization style guide" for the CRS was not found in the search results. Their reports are traditionally </w:t>
      </w:r>
      <w:proofErr w:type="gramStart"/>
      <w:r w:rsidRPr="0007366F">
        <w:rPr>
          <w:rFonts w:ascii="Roboto" w:eastAsia="Times New Roman" w:hAnsi="Roboto" w:cs="Times New Roman"/>
          <w:color w:val="1F1F1F"/>
          <w:kern w:val="0"/>
          <w14:ligatures w14:val="none"/>
        </w:rPr>
        <w:t>text-heavy</w:t>
      </w:r>
      <w:proofErr w:type="gramEnd"/>
      <w:r w:rsidRPr="0007366F">
        <w:rPr>
          <w:rFonts w:ascii="Roboto" w:eastAsia="Times New Roman" w:hAnsi="Roboto" w:cs="Times New Roman"/>
          <w:color w:val="1F1F1F"/>
          <w:kern w:val="0"/>
          <w14:ligatures w14:val="none"/>
        </w:rPr>
        <w:t>.</w:t>
      </w:r>
    </w:p>
    <w:p w14:paraId="3069F5F6" w14:textId="77777777" w:rsidR="0007366F" w:rsidRPr="0007366F" w:rsidRDefault="0007366F" w:rsidP="0007366F">
      <w:pPr>
        <w:numPr>
          <w:ilvl w:val="1"/>
          <w:numId w:val="6"/>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Source for Modernization Recommendation: The claim in the original document about "recent recommendations for modernizing CRS reports" is verified. In April 2023, the non-profit, non-partisan organization </w:t>
      </w:r>
      <w:proofErr w:type="spellStart"/>
      <w:r w:rsidRPr="0007366F">
        <w:rPr>
          <w:rFonts w:ascii="Roboto" w:eastAsia="Times New Roman" w:hAnsi="Roboto" w:cs="Times New Roman"/>
          <w:color w:val="1F1F1F"/>
          <w:kern w:val="0"/>
          <w14:ligatures w14:val="none"/>
        </w:rPr>
        <w:t>USAFacts</w:t>
      </w:r>
      <w:proofErr w:type="spellEnd"/>
      <w:r w:rsidRPr="0007366F">
        <w:rPr>
          <w:rFonts w:ascii="Roboto" w:eastAsia="Times New Roman" w:hAnsi="Roboto" w:cs="Times New Roman"/>
          <w:color w:val="1F1F1F"/>
          <w:kern w:val="0"/>
          <w14:ligatures w14:val="none"/>
        </w:rPr>
        <w:t> testified before the House Subcommittee on Modernization. Their recommendations, published in October 2023, explicitly advised the CRS to "Modernize reports with shorter content summaries that emphasize data visualizations" and "Produce and regularly update interactive dashboards".</w:t>
      </w:r>
    </w:p>
    <w:p w14:paraId="6C0DAADE" w14:textId="77777777" w:rsidR="0007366F" w:rsidRPr="0007366F" w:rsidRDefault="0007366F" w:rsidP="0007366F">
      <w:pPr>
        <w:numPr>
          <w:ilvl w:val="0"/>
          <w:numId w:val="6"/>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Government Accountability Office (GAO)</w:t>
      </w:r>
    </w:p>
    <w:p w14:paraId="6360F1F2" w14:textId="77777777" w:rsidR="0007366F" w:rsidRPr="0007366F" w:rsidRDefault="0007366F" w:rsidP="0007366F">
      <w:pPr>
        <w:numPr>
          <w:ilvl w:val="1"/>
          <w:numId w:val="6"/>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Official Guidelines: A single, comprehensive "GAO data visualization guidelines" document was not located. However, their principles are embedded within their core reporting standards. The "Government Auditing Standards" (the "Yellow Book") requires reports to be accurate, objective, complete, convincing, and clear. These principles implicitly govern their use of visualizations. Examination of GAO reports shows a consistent practice of using clear, simple charts (bars, lines, pies) with meticulous sourcing and integration into the narrative text.</w:t>
      </w:r>
    </w:p>
    <w:p w14:paraId="192EAEF4" w14:textId="77777777" w:rsidR="0007366F" w:rsidRPr="0007366F" w:rsidRDefault="0007366F" w:rsidP="0007366F">
      <w:pPr>
        <w:numPr>
          <w:ilvl w:val="0"/>
          <w:numId w:val="6"/>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Centers for Disease Control and Prevention (CDC)</w:t>
      </w:r>
    </w:p>
    <w:p w14:paraId="2EFA788B" w14:textId="77777777" w:rsidR="0007366F" w:rsidRPr="0007366F" w:rsidRDefault="0007366F" w:rsidP="0007366F">
      <w:pPr>
        <w:numPr>
          <w:ilvl w:val="1"/>
          <w:numId w:val="6"/>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Official Guidelines: The CDC provides extensive and specific guidance through its CDC Open-Source Visualization Editor (COVE) platform. This includes a "Best Practices for Data Visualization" document (March 2021) and detailed guidance pages for specific chart types.</w:t>
      </w:r>
    </w:p>
    <w:p w14:paraId="59EF4549" w14:textId="77777777" w:rsidR="0007366F" w:rsidRPr="0007366F" w:rsidRDefault="0007366F" w:rsidP="0007366F">
      <w:pPr>
        <w:numPr>
          <w:ilvl w:val="1"/>
          <w:numId w:val="6"/>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 xml:space="preserve">Specific Practices: The COVE documentation provides best practices for various charts, including sparklines and data bites, and offers guidance on accessibility, such as ensuring all data in tooltips is also available </w:t>
      </w:r>
      <w:proofErr w:type="gramStart"/>
      <w:r w:rsidRPr="0007366F">
        <w:rPr>
          <w:rFonts w:ascii="Roboto" w:eastAsia="Times New Roman" w:hAnsi="Roboto" w:cs="Times New Roman"/>
          <w:color w:val="1F1F1F"/>
          <w:kern w:val="0"/>
          <w14:ligatures w14:val="none"/>
        </w:rPr>
        <w:t>in</w:t>
      </w:r>
      <w:proofErr w:type="gramEnd"/>
      <w:r w:rsidRPr="0007366F">
        <w:rPr>
          <w:rFonts w:ascii="Roboto" w:eastAsia="Times New Roman" w:hAnsi="Roboto" w:cs="Times New Roman"/>
          <w:color w:val="1F1F1F"/>
          <w:kern w:val="0"/>
          <w14:ligatures w14:val="none"/>
        </w:rPr>
        <w:t xml:space="preserve"> a data table.</w:t>
      </w:r>
    </w:p>
    <w:p w14:paraId="4B41E4B9" w14:textId="77777777" w:rsidR="0007366F" w:rsidRPr="0007366F" w:rsidRDefault="0007366F" w:rsidP="0007366F">
      <w:pPr>
        <w:numPr>
          <w:ilvl w:val="1"/>
          <w:numId w:val="6"/>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Link: </w:t>
      </w:r>
      <w:hyperlink r:id="rId9" w:tgtFrame="_blank" w:tooltip="https://www.cdc.gov/cove/" w:history="1">
        <w:r w:rsidRPr="0007366F">
          <w:rPr>
            <w:rFonts w:ascii="Roboto" w:eastAsia="Times New Roman" w:hAnsi="Roboto" w:cs="Times New Roman"/>
            <w:color w:val="0B57D0"/>
            <w:kern w:val="0"/>
            <w:u w:val="single"/>
            <w14:ligatures w14:val="none"/>
          </w:rPr>
          <w:t>https://www.cdc.gov/cove/</w:t>
        </w:r>
      </w:hyperlink>
    </w:p>
    <w:p w14:paraId="2F5E7E6C" w14:textId="77777777" w:rsidR="0007366F" w:rsidRDefault="0007366F"/>
    <w:p w14:paraId="52FF6889" w14:textId="77777777" w:rsidR="0007366F" w:rsidRPr="0007366F" w:rsidRDefault="0007366F" w:rsidP="0007366F">
      <w:pPr>
        <w:shd w:val="clear" w:color="auto" w:fill="F8FAFD"/>
        <w:spacing w:after="100" w:afterAutospacing="1" w:line="360" w:lineRule="atLeast"/>
        <w:outlineLvl w:val="2"/>
        <w:rPr>
          <w:rFonts w:ascii="Roboto" w:eastAsia="Times New Roman" w:hAnsi="Roboto" w:cs="Times New Roman"/>
          <w:b/>
          <w:bCs/>
          <w:color w:val="1F1F1F"/>
          <w:kern w:val="0"/>
          <w14:ligatures w14:val="none"/>
        </w:rPr>
      </w:pPr>
      <w:r w:rsidRPr="0007366F">
        <w:rPr>
          <w:rFonts w:ascii="Roboto" w:eastAsia="Times New Roman" w:hAnsi="Roboto" w:cs="Times New Roman"/>
          <w:color w:val="1F1F1F"/>
          <w:kern w:val="0"/>
          <w14:ligatures w14:val="none"/>
        </w:rPr>
        <w:lastRenderedPageBreak/>
        <w:t>Debate Analysis 1: "</w:t>
      </w:r>
      <w:proofErr w:type="spellStart"/>
      <w:r w:rsidRPr="0007366F">
        <w:rPr>
          <w:rFonts w:ascii="Roboto" w:eastAsia="Times New Roman" w:hAnsi="Roboto" w:cs="Times New Roman"/>
          <w:color w:val="1F1F1F"/>
          <w:kern w:val="0"/>
          <w14:ligatures w14:val="none"/>
        </w:rPr>
        <w:t>Chartjunk</w:t>
      </w:r>
      <w:proofErr w:type="spellEnd"/>
      <w:r w:rsidRPr="0007366F">
        <w:rPr>
          <w:rFonts w:ascii="Roboto" w:eastAsia="Times New Roman" w:hAnsi="Roboto" w:cs="Times New Roman"/>
          <w:color w:val="1F1F1F"/>
          <w:kern w:val="0"/>
          <w14:ligatures w14:val="none"/>
        </w:rPr>
        <w:t>" and Minimalism</w:t>
      </w:r>
    </w:p>
    <w:p w14:paraId="2B5A3A18" w14:textId="77777777" w:rsidR="0007366F" w:rsidRPr="0007366F" w:rsidRDefault="0007366F" w:rsidP="0007366F">
      <w:p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This debate centers on whether visual embellishments that are not essential to displaying the data ("</w:t>
      </w:r>
      <w:proofErr w:type="spellStart"/>
      <w:r w:rsidRPr="0007366F">
        <w:rPr>
          <w:rFonts w:ascii="Roboto" w:eastAsia="Times New Roman" w:hAnsi="Roboto" w:cs="Times New Roman"/>
          <w:color w:val="1F1F1F"/>
          <w:kern w:val="0"/>
          <w14:ligatures w14:val="none"/>
        </w:rPr>
        <w:t>chartjunk</w:t>
      </w:r>
      <w:proofErr w:type="spellEnd"/>
      <w:r w:rsidRPr="0007366F">
        <w:rPr>
          <w:rFonts w:ascii="Roboto" w:eastAsia="Times New Roman" w:hAnsi="Roboto" w:cs="Times New Roman"/>
          <w:color w:val="1F1F1F"/>
          <w:kern w:val="0"/>
          <w14:ligatures w14:val="none"/>
        </w:rPr>
        <w:t xml:space="preserve">") are always detrimental to </w:t>
      </w:r>
      <w:proofErr w:type="gramStart"/>
      <w:r w:rsidRPr="0007366F">
        <w:rPr>
          <w:rFonts w:ascii="Roboto" w:eastAsia="Times New Roman" w:hAnsi="Roboto" w:cs="Times New Roman"/>
          <w:color w:val="1F1F1F"/>
          <w:kern w:val="0"/>
          <w14:ligatures w14:val="none"/>
        </w:rPr>
        <w:t>a visualization</w:t>
      </w:r>
      <w:proofErr w:type="gramEnd"/>
      <w:r w:rsidRPr="0007366F">
        <w:rPr>
          <w:rFonts w:ascii="Roboto" w:eastAsia="Times New Roman" w:hAnsi="Roboto" w:cs="Times New Roman"/>
          <w:color w:val="1F1F1F"/>
          <w:kern w:val="0"/>
          <w14:ligatures w14:val="none"/>
        </w:rPr>
        <w:t>.</w:t>
      </w:r>
    </w:p>
    <w:tbl>
      <w:tblPr>
        <w:tblW w:w="10020" w:type="dxa"/>
        <w:tblCellMar>
          <w:top w:w="15" w:type="dxa"/>
          <w:left w:w="15" w:type="dxa"/>
          <w:bottom w:w="15" w:type="dxa"/>
          <w:right w:w="15" w:type="dxa"/>
        </w:tblCellMar>
        <w:tblLook w:val="04A0" w:firstRow="1" w:lastRow="0" w:firstColumn="1" w:lastColumn="0" w:noHBand="0" w:noVBand="1"/>
      </w:tblPr>
      <w:tblGrid>
        <w:gridCol w:w="2129"/>
        <w:gridCol w:w="4843"/>
        <w:gridCol w:w="3048"/>
      </w:tblGrid>
      <w:tr w:rsidR="0007366F" w:rsidRPr="0007366F" w14:paraId="1F67203D" w14:textId="77777777">
        <w:tc>
          <w:tcPr>
            <w:tcW w:w="0" w:type="auto"/>
            <w:tcBorders>
              <w:bottom w:val="single" w:sz="6" w:space="0" w:color="E1E3E1"/>
            </w:tcBorders>
            <w:tcMar>
              <w:top w:w="120" w:type="dxa"/>
              <w:left w:w="120" w:type="dxa"/>
              <w:bottom w:w="120" w:type="dxa"/>
              <w:right w:w="120" w:type="dxa"/>
            </w:tcMar>
            <w:hideMark/>
          </w:tcPr>
          <w:p w14:paraId="3F737AE4"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Position</w:t>
            </w:r>
          </w:p>
        </w:tc>
        <w:tc>
          <w:tcPr>
            <w:tcW w:w="0" w:type="auto"/>
            <w:tcBorders>
              <w:bottom w:val="single" w:sz="6" w:space="0" w:color="E1E3E1"/>
            </w:tcBorders>
            <w:tcMar>
              <w:top w:w="120" w:type="dxa"/>
              <w:left w:w="120" w:type="dxa"/>
              <w:bottom w:w="120" w:type="dxa"/>
              <w:right w:w="120" w:type="dxa"/>
            </w:tcMar>
            <w:hideMark/>
          </w:tcPr>
          <w:p w14:paraId="4C3E644E"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Supporting Arguments &amp; Evidence</w:t>
            </w:r>
          </w:p>
        </w:tc>
        <w:tc>
          <w:tcPr>
            <w:tcW w:w="0" w:type="auto"/>
            <w:tcBorders>
              <w:bottom w:val="single" w:sz="6" w:space="0" w:color="E1E3E1"/>
            </w:tcBorders>
            <w:tcMar>
              <w:top w:w="120" w:type="dxa"/>
              <w:left w:w="120" w:type="dxa"/>
              <w:bottom w:w="120" w:type="dxa"/>
              <w:right w:w="120" w:type="dxa"/>
            </w:tcMar>
            <w:hideMark/>
          </w:tcPr>
          <w:p w14:paraId="109AD842"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Evidence Quality</w:t>
            </w:r>
          </w:p>
        </w:tc>
      </w:tr>
      <w:tr w:rsidR="0007366F" w:rsidRPr="0007366F" w14:paraId="0FEC0B0F" w14:textId="77777777">
        <w:tc>
          <w:tcPr>
            <w:tcW w:w="0" w:type="auto"/>
            <w:tcBorders>
              <w:bottom w:val="single" w:sz="6" w:space="0" w:color="E1E3E1"/>
            </w:tcBorders>
            <w:tcMar>
              <w:top w:w="120" w:type="dxa"/>
              <w:left w:w="120" w:type="dxa"/>
              <w:bottom w:w="120" w:type="dxa"/>
              <w:right w:w="120" w:type="dxa"/>
            </w:tcMar>
            <w:hideMark/>
          </w:tcPr>
          <w:p w14:paraId="524C89D8"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Position A: Minimalism is Paramount (Anti-</w:t>
            </w:r>
            <w:proofErr w:type="spellStart"/>
            <w:r w:rsidRPr="0007366F">
              <w:rPr>
                <w:rFonts w:ascii="Roboto" w:eastAsia="Times New Roman" w:hAnsi="Roboto" w:cs="Times New Roman"/>
                <w:color w:val="1F1F1F"/>
                <w:kern w:val="0"/>
                <w14:ligatures w14:val="none"/>
              </w:rPr>
              <w:t>Chartjunk</w:t>
            </w:r>
            <w:proofErr w:type="spellEnd"/>
            <w:r w:rsidRPr="0007366F">
              <w:rPr>
                <w:rFonts w:ascii="Roboto" w:eastAsia="Times New Roman" w:hAnsi="Roboto" w:cs="Times New Roman"/>
                <w:color w:val="1F1F1F"/>
                <w:kern w:val="0"/>
                <w14:ligatures w14:val="none"/>
              </w:rPr>
              <w:t>)</w:t>
            </w:r>
          </w:p>
        </w:tc>
        <w:tc>
          <w:tcPr>
            <w:tcW w:w="0" w:type="auto"/>
            <w:tcBorders>
              <w:bottom w:val="single" w:sz="6" w:space="0" w:color="E1E3E1"/>
            </w:tcBorders>
            <w:tcMar>
              <w:top w:w="120" w:type="dxa"/>
              <w:left w:w="120" w:type="dxa"/>
              <w:bottom w:w="120" w:type="dxa"/>
              <w:right w:w="120" w:type="dxa"/>
            </w:tcMar>
            <w:hideMark/>
          </w:tcPr>
          <w:p w14:paraId="5D50FA76"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1. Tufte's Foundational Principles:</w:t>
            </w:r>
            <w:r w:rsidRPr="0007366F">
              <w:rPr>
                <w:rFonts w:ascii="Times New Roman" w:eastAsia="Times New Roman" w:hAnsi="Times New Roman" w:cs="Times New Roman"/>
                <w:color w:val="1F1F1F"/>
                <w:kern w:val="0"/>
                <w14:ligatures w14:val="none"/>
              </w:rPr>
              <w:t> Edward Tufte, in </w:t>
            </w:r>
            <w:r w:rsidRPr="0007366F">
              <w:rPr>
                <w:rFonts w:ascii="Times New Roman" w:eastAsia="Times New Roman" w:hAnsi="Times New Roman" w:cs="Times New Roman"/>
                <w:i/>
                <w:iCs/>
                <w:color w:val="1F1F1F"/>
                <w:kern w:val="0"/>
                <w14:ligatures w14:val="none"/>
              </w:rPr>
              <w:t>The Visual Display of Quantitative Information</w:t>
            </w:r>
            <w:r w:rsidRPr="0007366F">
              <w:rPr>
                <w:rFonts w:ascii="Times New Roman" w:eastAsia="Times New Roman" w:hAnsi="Times New Roman" w:cs="Times New Roman"/>
                <w:color w:val="1F1F1F"/>
                <w:kern w:val="0"/>
                <w14:ligatures w14:val="none"/>
              </w:rPr>
              <w:t> (1983), argues that good graphics should maximize the </w:t>
            </w:r>
            <w:r w:rsidRPr="0007366F">
              <w:rPr>
                <w:rFonts w:ascii="Roboto" w:eastAsia="Times New Roman" w:hAnsi="Roboto" w:cs="Times New Roman"/>
                <w:color w:val="1F1F1F"/>
                <w:kern w:val="0"/>
                <w14:ligatures w14:val="none"/>
              </w:rPr>
              <w:t>data-ink ratio</w:t>
            </w:r>
            <w:r w:rsidRPr="0007366F">
              <w:rPr>
                <w:rFonts w:ascii="Times New Roman" w:eastAsia="Times New Roman" w:hAnsi="Times New Roman" w:cs="Times New Roman"/>
                <w:color w:val="1F1F1F"/>
                <w:kern w:val="0"/>
                <w14:ligatures w14:val="none"/>
              </w:rPr>
              <w:t> (the proportion of ink used for data). Any non-data ink that doesn't aid comprehension is "</w:t>
            </w:r>
            <w:proofErr w:type="spellStart"/>
            <w:r w:rsidRPr="0007366F">
              <w:rPr>
                <w:rFonts w:ascii="Times New Roman" w:eastAsia="Times New Roman" w:hAnsi="Times New Roman" w:cs="Times New Roman"/>
                <w:color w:val="1F1F1F"/>
                <w:kern w:val="0"/>
                <w14:ligatures w14:val="none"/>
              </w:rPr>
              <w:t>chartjunk</w:t>
            </w:r>
            <w:proofErr w:type="spellEnd"/>
            <w:r w:rsidRPr="0007366F">
              <w:rPr>
                <w:rFonts w:ascii="Times New Roman" w:eastAsia="Times New Roman" w:hAnsi="Times New Roman" w:cs="Times New Roman"/>
                <w:color w:val="1F1F1F"/>
                <w:kern w:val="0"/>
                <w14:ligatures w14:val="none"/>
              </w:rPr>
              <w:t xml:space="preserve">" and should be erased. He posits that </w:t>
            </w:r>
            <w:proofErr w:type="spellStart"/>
            <w:r w:rsidRPr="0007366F">
              <w:rPr>
                <w:rFonts w:ascii="Times New Roman" w:eastAsia="Times New Roman" w:hAnsi="Times New Roman" w:cs="Times New Roman"/>
                <w:color w:val="1F1F1F"/>
                <w:kern w:val="0"/>
                <w14:ligatures w14:val="none"/>
              </w:rPr>
              <w:t>chartjunk</w:t>
            </w:r>
            <w:proofErr w:type="spellEnd"/>
            <w:r w:rsidRPr="0007366F">
              <w:rPr>
                <w:rFonts w:ascii="Times New Roman" w:eastAsia="Times New Roman" w:hAnsi="Times New Roman" w:cs="Times New Roman"/>
                <w:color w:val="1F1F1F"/>
                <w:kern w:val="0"/>
                <w14:ligatures w14:val="none"/>
              </w:rPr>
              <w:t xml:space="preserve"> increases cognitive load and can distort the data, hindering clear communication.</w:t>
            </w:r>
          </w:p>
        </w:tc>
        <w:tc>
          <w:tcPr>
            <w:tcW w:w="0" w:type="auto"/>
            <w:tcBorders>
              <w:bottom w:val="single" w:sz="6" w:space="0" w:color="E1E3E1"/>
            </w:tcBorders>
            <w:tcMar>
              <w:top w:w="120" w:type="dxa"/>
              <w:left w:w="120" w:type="dxa"/>
              <w:bottom w:w="120" w:type="dxa"/>
              <w:right w:w="120" w:type="dxa"/>
            </w:tcMar>
            <w:hideMark/>
          </w:tcPr>
          <w:p w14:paraId="06A5564A"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Medium:</w:t>
            </w:r>
            <w:r w:rsidRPr="0007366F">
              <w:rPr>
                <w:rFonts w:ascii="Times New Roman" w:eastAsia="Times New Roman" w:hAnsi="Times New Roman" w:cs="Times New Roman"/>
                <w:color w:val="1F1F1F"/>
                <w:kern w:val="0"/>
                <w14:ligatures w14:val="none"/>
              </w:rPr>
              <w:t xml:space="preserve"> Based on strong theoretical principles and expert </w:t>
            </w:r>
            <w:proofErr w:type="gramStart"/>
            <w:r w:rsidRPr="0007366F">
              <w:rPr>
                <w:rFonts w:ascii="Times New Roman" w:eastAsia="Times New Roman" w:hAnsi="Times New Roman" w:cs="Times New Roman"/>
                <w:color w:val="1F1F1F"/>
                <w:kern w:val="0"/>
                <w14:ligatures w14:val="none"/>
              </w:rPr>
              <w:t>opinion, but</w:t>
            </w:r>
            <w:proofErr w:type="gramEnd"/>
            <w:r w:rsidRPr="0007366F">
              <w:rPr>
                <w:rFonts w:ascii="Times New Roman" w:eastAsia="Times New Roman" w:hAnsi="Times New Roman" w:cs="Times New Roman"/>
                <w:color w:val="1F1F1F"/>
                <w:kern w:val="0"/>
                <w14:ligatures w14:val="none"/>
              </w:rPr>
              <w:t xml:space="preserve"> not originally supported by controlled experiments.</w:t>
            </w:r>
          </w:p>
        </w:tc>
      </w:tr>
      <w:tr w:rsidR="0007366F" w:rsidRPr="0007366F" w14:paraId="5F854EF6" w14:textId="77777777">
        <w:tc>
          <w:tcPr>
            <w:tcW w:w="0" w:type="auto"/>
            <w:tcBorders>
              <w:bottom w:val="nil"/>
            </w:tcBorders>
            <w:tcMar>
              <w:top w:w="120" w:type="dxa"/>
              <w:left w:w="120" w:type="dxa"/>
              <w:bottom w:w="120" w:type="dxa"/>
              <w:right w:w="120" w:type="dxa"/>
            </w:tcMar>
            <w:hideMark/>
          </w:tcPr>
          <w:p w14:paraId="6D70FE6F"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Position B: Embellishment Can Be Beneficial</w:t>
            </w:r>
          </w:p>
        </w:tc>
        <w:tc>
          <w:tcPr>
            <w:tcW w:w="0" w:type="auto"/>
            <w:tcBorders>
              <w:bottom w:val="nil"/>
            </w:tcBorders>
            <w:tcMar>
              <w:top w:w="120" w:type="dxa"/>
              <w:left w:w="120" w:type="dxa"/>
              <w:bottom w:w="120" w:type="dxa"/>
              <w:right w:w="120" w:type="dxa"/>
            </w:tcMar>
            <w:hideMark/>
          </w:tcPr>
          <w:p w14:paraId="22DDED2D"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1. Bateman et al. (2010):</w:t>
            </w:r>
            <w:r w:rsidRPr="0007366F">
              <w:rPr>
                <w:rFonts w:ascii="Times New Roman" w:eastAsia="Times New Roman" w:hAnsi="Times New Roman" w:cs="Times New Roman"/>
                <w:color w:val="1F1F1F"/>
                <w:kern w:val="0"/>
                <w14:ligatures w14:val="none"/>
              </w:rPr>
              <w:t> In "Useful Junk? The Effects of Visual Embellishment on Comprehension and Memorability of Charts," this study compared plain charts to embellished charts by designer Nigel Holmes. </w:t>
            </w:r>
            <w:r w:rsidRPr="0007366F">
              <w:rPr>
                <w:rFonts w:ascii="Roboto" w:eastAsia="Times New Roman" w:hAnsi="Roboto" w:cs="Times New Roman"/>
                <w:color w:val="1F1F1F"/>
                <w:kern w:val="0"/>
                <w14:ligatures w14:val="none"/>
              </w:rPr>
              <w:t>Findings:</w:t>
            </w:r>
            <w:r w:rsidRPr="0007366F">
              <w:rPr>
                <w:rFonts w:ascii="Times New Roman" w:eastAsia="Times New Roman" w:hAnsi="Times New Roman" w:cs="Times New Roman"/>
                <w:color w:val="1F1F1F"/>
                <w:kern w:val="0"/>
                <w14:ligatures w14:val="none"/>
              </w:rPr>
              <w:t> While there was no significant difference in comprehension, participants' </w:t>
            </w:r>
            <w:r w:rsidRPr="0007366F">
              <w:rPr>
                <w:rFonts w:ascii="Roboto" w:eastAsia="Times New Roman" w:hAnsi="Roboto" w:cs="Times New Roman"/>
                <w:color w:val="1F1F1F"/>
                <w:kern w:val="0"/>
                <w14:ligatures w14:val="none"/>
              </w:rPr>
              <w:t>long-term recall</w:t>
            </w:r>
            <w:r w:rsidRPr="0007366F">
              <w:rPr>
                <w:rFonts w:ascii="Times New Roman" w:eastAsia="Times New Roman" w:hAnsi="Times New Roman" w:cs="Times New Roman"/>
                <w:color w:val="1F1F1F"/>
                <w:kern w:val="0"/>
                <w14:ligatures w14:val="none"/>
              </w:rPr>
              <w:t xml:space="preserve"> (after 2-3 weeks) of both the chart's topic and its details </w:t>
            </w:r>
            <w:proofErr w:type="gramStart"/>
            <w:r w:rsidRPr="0007366F">
              <w:rPr>
                <w:rFonts w:ascii="Times New Roman" w:eastAsia="Times New Roman" w:hAnsi="Times New Roman" w:cs="Times New Roman"/>
                <w:color w:val="1F1F1F"/>
                <w:kern w:val="0"/>
                <w14:ligatures w14:val="none"/>
              </w:rPr>
              <w:t>was</w:t>
            </w:r>
            <w:proofErr w:type="gramEnd"/>
            <w:r w:rsidRPr="0007366F">
              <w:rPr>
                <w:rFonts w:ascii="Times New Roman" w:eastAsia="Times New Roman" w:hAnsi="Times New Roman" w:cs="Times New Roman"/>
                <w:color w:val="1F1F1F"/>
                <w:kern w:val="0"/>
                <w14:ligatures w14:val="none"/>
              </w:rPr>
              <w:t xml:space="preserve"> significantly better for the embellished charts. Participants also found them more attractive. </w:t>
            </w:r>
            <w:r w:rsidRPr="0007366F">
              <w:rPr>
                <w:rFonts w:ascii="Roboto" w:eastAsia="Times New Roman" w:hAnsi="Roboto" w:cs="Times New Roman"/>
                <w:color w:val="1F1F1F"/>
                <w:kern w:val="0"/>
                <w14:ligatures w14:val="none"/>
              </w:rPr>
              <w:t>2. Borkin et al. (2013):</w:t>
            </w:r>
            <w:r w:rsidRPr="0007366F">
              <w:rPr>
                <w:rFonts w:ascii="Times New Roman" w:eastAsia="Times New Roman" w:hAnsi="Times New Roman" w:cs="Times New Roman"/>
                <w:color w:val="1F1F1F"/>
                <w:kern w:val="0"/>
                <w14:ligatures w14:val="none"/>
              </w:rPr>
              <w:t> In "What Makes a Visualization Memorable?", this large-scale study found that visualizations with human-recognizable objects, more color, and higher visual density were more memorable than minimalist charts. Unique chart types were also more memorable than common bar or line graphs.</w:t>
            </w:r>
          </w:p>
        </w:tc>
        <w:tc>
          <w:tcPr>
            <w:tcW w:w="0" w:type="auto"/>
            <w:tcBorders>
              <w:bottom w:val="nil"/>
            </w:tcBorders>
            <w:tcMar>
              <w:top w:w="120" w:type="dxa"/>
              <w:left w:w="120" w:type="dxa"/>
              <w:bottom w:w="120" w:type="dxa"/>
              <w:right w:w="120" w:type="dxa"/>
            </w:tcMar>
            <w:hideMark/>
          </w:tcPr>
          <w:p w14:paraId="36E08CC6"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High:</w:t>
            </w:r>
            <w:r w:rsidRPr="0007366F">
              <w:rPr>
                <w:rFonts w:ascii="Times New Roman" w:eastAsia="Times New Roman" w:hAnsi="Times New Roman" w:cs="Times New Roman"/>
                <w:color w:val="1F1F1F"/>
                <w:kern w:val="0"/>
                <w14:ligatures w14:val="none"/>
              </w:rPr>
              <w:t xml:space="preserve"> Both are peer-reviewed empirical studies published in top-tier visualization conferences (ACM CHI and IEEE </w:t>
            </w:r>
            <w:proofErr w:type="spellStart"/>
            <w:r w:rsidRPr="0007366F">
              <w:rPr>
                <w:rFonts w:ascii="Times New Roman" w:eastAsia="Times New Roman" w:hAnsi="Times New Roman" w:cs="Times New Roman"/>
                <w:color w:val="1F1F1F"/>
                <w:kern w:val="0"/>
                <w14:ligatures w14:val="none"/>
              </w:rPr>
              <w:t>InfoVis</w:t>
            </w:r>
            <w:proofErr w:type="spellEnd"/>
            <w:r w:rsidRPr="0007366F">
              <w:rPr>
                <w:rFonts w:ascii="Times New Roman" w:eastAsia="Times New Roman" w:hAnsi="Times New Roman" w:cs="Times New Roman"/>
                <w:color w:val="1F1F1F"/>
                <w:kern w:val="0"/>
                <w14:ligatures w14:val="none"/>
              </w:rPr>
              <w:t>, respectively), using controlled experiments with human subjects.</w:t>
            </w:r>
          </w:p>
        </w:tc>
      </w:tr>
    </w:tbl>
    <w:p w14:paraId="183314B4" w14:textId="77777777" w:rsidR="0007366F" w:rsidRPr="0007366F" w:rsidRDefault="0007366F" w:rsidP="0007366F">
      <w:pPr>
        <w:spacing w:after="0" w:line="240" w:lineRule="auto"/>
        <w:rPr>
          <w:rFonts w:ascii="Times New Roman" w:eastAsia="Times New Roman" w:hAnsi="Times New Roman" w:cs="Times New Roman"/>
          <w:kern w:val="0"/>
          <w14:ligatures w14:val="none"/>
        </w:rPr>
      </w:pPr>
      <w:r w:rsidRPr="0007366F">
        <w:rPr>
          <w:rFonts w:ascii="Times New Roman" w:eastAsia="Times New Roman" w:hAnsi="Times New Roman" w:cs="Times New Roman"/>
          <w:kern w:val="0"/>
          <w14:ligatures w14:val="none"/>
        </w:rPr>
        <w:t> </w:t>
      </w:r>
    </w:p>
    <w:p w14:paraId="7AADEEFD" w14:textId="77777777" w:rsidR="0007366F" w:rsidRPr="0007366F" w:rsidRDefault="0007366F" w:rsidP="0007366F">
      <w:pPr>
        <w:shd w:val="clear" w:color="auto" w:fill="F8FAFD"/>
        <w:spacing w:before="100" w:beforeAutospacing="1" w:after="120" w:line="360" w:lineRule="atLeast"/>
        <w:outlineLvl w:val="3"/>
        <w:rPr>
          <w:rFonts w:ascii="Roboto" w:eastAsia="Times New Roman" w:hAnsi="Roboto" w:cs="Times New Roman"/>
          <w:b/>
          <w:bCs/>
          <w:color w:val="1F1F1F"/>
          <w:kern w:val="0"/>
          <w14:ligatures w14:val="none"/>
        </w:rPr>
      </w:pPr>
      <w:r w:rsidRPr="0007366F">
        <w:rPr>
          <w:rFonts w:ascii="Roboto" w:eastAsia="Times New Roman" w:hAnsi="Roboto" w:cs="Times New Roman"/>
          <w:color w:val="1F1F1F"/>
          <w:kern w:val="0"/>
          <w14:ligatures w14:val="none"/>
        </w:rPr>
        <w:t>Reconciliation and Analysis</w:t>
      </w:r>
    </w:p>
    <w:p w14:paraId="7DB6698D" w14:textId="77777777" w:rsidR="0007366F" w:rsidRPr="0007366F" w:rsidRDefault="0007366F" w:rsidP="0007366F">
      <w:pPr>
        <w:numPr>
          <w:ilvl w:val="0"/>
          <w:numId w:val="7"/>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Experimental Evidence vs. Expert Opinion: The minimalist position, as originally articulated by Tufte, is primarily based on strong design principles and expert opinion. The position that embellishment can be beneficial is supported by high-quality experimental evidence from cognitive science.</w:t>
      </w:r>
    </w:p>
    <w:p w14:paraId="59FC39FC" w14:textId="77777777" w:rsidR="0007366F" w:rsidRPr="0007366F" w:rsidRDefault="0007366F" w:rsidP="0007366F">
      <w:pPr>
        <w:numPr>
          <w:ilvl w:val="0"/>
          <w:numId w:val="7"/>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lastRenderedPageBreak/>
        <w:t xml:space="preserve">Contextual Merit: Both sides have merit, but their applicability is highly </w:t>
      </w:r>
      <w:proofErr w:type="gramStart"/>
      <w:r w:rsidRPr="0007366F">
        <w:rPr>
          <w:rFonts w:ascii="Roboto" w:eastAsia="Times New Roman" w:hAnsi="Roboto" w:cs="Times New Roman"/>
          <w:color w:val="1F1F1F"/>
          <w:kern w:val="0"/>
          <w14:ligatures w14:val="none"/>
        </w:rPr>
        <w:t>context-dependent</w:t>
      </w:r>
      <w:proofErr w:type="gramEnd"/>
      <w:r w:rsidRPr="0007366F">
        <w:rPr>
          <w:rFonts w:ascii="Roboto" w:eastAsia="Times New Roman" w:hAnsi="Roboto" w:cs="Times New Roman"/>
          <w:color w:val="1F1F1F"/>
          <w:kern w:val="0"/>
          <w14:ligatures w14:val="none"/>
        </w:rPr>
        <w:t>.</w:t>
      </w:r>
    </w:p>
    <w:p w14:paraId="3C496AD0" w14:textId="77777777" w:rsidR="0007366F" w:rsidRPr="0007366F" w:rsidRDefault="0007366F" w:rsidP="0007366F">
      <w:pPr>
        <w:numPr>
          <w:ilvl w:val="1"/>
          <w:numId w:val="7"/>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Minimalism excels in contexts where the primary goal is analytical clarity, precision, and rapid data extraction, such as in scientific papers, financial reports, or expert-level dashboards.</w:t>
      </w:r>
    </w:p>
    <w:p w14:paraId="67938779" w14:textId="77777777" w:rsidR="0007366F" w:rsidRPr="0007366F" w:rsidRDefault="0007366F" w:rsidP="0007366F">
      <w:pPr>
        <w:numPr>
          <w:ilvl w:val="1"/>
          <w:numId w:val="7"/>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Thoughtful Embellishment is more effective in contexts where audience engagement, long-term memorability, and storytelling are the primary goals, such as in data journalism, marketing materials, or presentations for a general audience. The key is that the embellishments should be thematically relevant and not distort the data.</w:t>
      </w:r>
    </w:p>
    <w:p w14:paraId="21C12BF6" w14:textId="77777777" w:rsidR="0007366F" w:rsidRPr="0007366F" w:rsidRDefault="0007366F" w:rsidP="0007366F">
      <w:pPr>
        <w:numPr>
          <w:ilvl w:val="0"/>
          <w:numId w:val="7"/>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Genuinely Unresolved Questions: The main unresolved question is not </w:t>
      </w:r>
      <w:proofErr w:type="gramStart"/>
      <w:r w:rsidRPr="0007366F">
        <w:rPr>
          <w:rFonts w:ascii="Roboto" w:eastAsia="Times New Roman" w:hAnsi="Roboto" w:cs="Times New Roman"/>
          <w:i/>
          <w:iCs/>
          <w:color w:val="1F1F1F"/>
          <w:kern w:val="0"/>
          <w14:ligatures w14:val="none"/>
        </w:rPr>
        <w:t>if</w:t>
      </w:r>
      <w:proofErr w:type="gramEnd"/>
      <w:r w:rsidRPr="0007366F">
        <w:rPr>
          <w:rFonts w:ascii="Roboto" w:eastAsia="Times New Roman" w:hAnsi="Roboto" w:cs="Times New Roman"/>
          <w:color w:val="1F1F1F"/>
          <w:kern w:val="0"/>
          <w14:ligatures w14:val="none"/>
        </w:rPr>
        <w:t> embellishments work, but </w:t>
      </w:r>
      <w:r w:rsidRPr="0007366F">
        <w:rPr>
          <w:rFonts w:ascii="Roboto" w:eastAsia="Times New Roman" w:hAnsi="Roboto" w:cs="Times New Roman"/>
          <w:i/>
          <w:iCs/>
          <w:color w:val="1F1F1F"/>
          <w:kern w:val="0"/>
          <w14:ligatures w14:val="none"/>
        </w:rPr>
        <w:t>how</w:t>
      </w:r>
      <w:r w:rsidRPr="0007366F">
        <w:rPr>
          <w:rFonts w:ascii="Roboto" w:eastAsia="Times New Roman" w:hAnsi="Roboto" w:cs="Times New Roman"/>
          <w:color w:val="1F1F1F"/>
          <w:kern w:val="0"/>
          <w14:ligatures w14:val="none"/>
        </w:rPr>
        <w:t> and </w:t>
      </w:r>
      <w:r w:rsidRPr="0007366F">
        <w:rPr>
          <w:rFonts w:ascii="Roboto" w:eastAsia="Times New Roman" w:hAnsi="Roboto" w:cs="Times New Roman"/>
          <w:i/>
          <w:iCs/>
          <w:color w:val="1F1F1F"/>
          <w:kern w:val="0"/>
          <w14:ligatures w14:val="none"/>
        </w:rPr>
        <w:t>when</w:t>
      </w:r>
      <w:r w:rsidRPr="0007366F">
        <w:rPr>
          <w:rFonts w:ascii="Roboto" w:eastAsia="Times New Roman" w:hAnsi="Roboto" w:cs="Times New Roman"/>
          <w:color w:val="1F1F1F"/>
          <w:kern w:val="0"/>
          <w14:ligatures w14:val="none"/>
        </w:rPr>
        <w:t> they work best. What is the precise boundary between "useful junk" that aids recall and "harmful junk" that distorts perception? How do these effects vary across different chart types, audiences, and levels of data literacy?</w:t>
      </w:r>
    </w:p>
    <w:p w14:paraId="0AC051A4" w14:textId="77777777" w:rsidR="0007366F" w:rsidRPr="0007366F" w:rsidRDefault="0007366F" w:rsidP="0007366F">
      <w:pPr>
        <w:spacing w:after="0" w:line="240" w:lineRule="auto"/>
        <w:rPr>
          <w:rFonts w:ascii="Roboto" w:eastAsia="Times New Roman" w:hAnsi="Roboto" w:cs="Times New Roman"/>
          <w:kern w:val="0"/>
          <w14:ligatures w14:val="none"/>
        </w:rPr>
      </w:pPr>
      <w:r w:rsidRPr="0007366F">
        <w:rPr>
          <w:rFonts w:ascii="Times New Roman" w:eastAsia="Times New Roman" w:hAnsi="Times New Roman" w:cs="Times New Roman"/>
          <w:kern w:val="0"/>
          <w14:ligatures w14:val="none"/>
        </w:rPr>
        <w:pict w14:anchorId="7B56FB9B">
          <v:rect id="_x0000_i1229" style="width:0;height:1.5pt" o:hralign="center" o:hrstd="t" o:hr="t" fillcolor="#a0a0a0" stroked="f"/>
        </w:pict>
      </w:r>
    </w:p>
    <w:p w14:paraId="0F08A8D1" w14:textId="77777777" w:rsidR="0007366F" w:rsidRPr="0007366F" w:rsidRDefault="0007366F" w:rsidP="0007366F">
      <w:pPr>
        <w:shd w:val="clear" w:color="auto" w:fill="F8FAFD"/>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07366F">
        <w:rPr>
          <w:rFonts w:ascii="Roboto" w:eastAsia="Times New Roman" w:hAnsi="Roboto" w:cs="Times New Roman"/>
          <w:color w:val="1F1F1F"/>
          <w:kern w:val="0"/>
          <w14:ligatures w14:val="none"/>
        </w:rPr>
        <w:t>Debate Analysis 2: Specific Chart Controversies</w:t>
      </w:r>
    </w:p>
    <w:p w14:paraId="5A412228" w14:textId="77777777" w:rsidR="0007366F" w:rsidRPr="0007366F" w:rsidRDefault="0007366F" w:rsidP="0007366F">
      <w:pPr>
        <w:shd w:val="clear" w:color="auto" w:fill="F8FAFD"/>
        <w:spacing w:after="120" w:line="360" w:lineRule="atLeast"/>
        <w:outlineLvl w:val="3"/>
        <w:rPr>
          <w:rFonts w:ascii="Roboto" w:eastAsia="Times New Roman" w:hAnsi="Roboto" w:cs="Times New Roman"/>
          <w:b/>
          <w:bCs/>
          <w:color w:val="1F1F1F"/>
          <w:kern w:val="0"/>
          <w14:ligatures w14:val="none"/>
        </w:rPr>
      </w:pPr>
      <w:r w:rsidRPr="0007366F">
        <w:rPr>
          <w:rFonts w:ascii="Roboto" w:eastAsia="Times New Roman" w:hAnsi="Roboto" w:cs="Times New Roman"/>
          <w:color w:val="1F1F1F"/>
          <w:kern w:val="0"/>
          <w14:ligatures w14:val="none"/>
        </w:rPr>
        <w:t>A. Dual-Axis Charts</w:t>
      </w:r>
    </w:p>
    <w:tbl>
      <w:tblPr>
        <w:tblW w:w="10020" w:type="dxa"/>
        <w:tblCellMar>
          <w:top w:w="15" w:type="dxa"/>
          <w:left w:w="15" w:type="dxa"/>
          <w:bottom w:w="15" w:type="dxa"/>
          <w:right w:w="15" w:type="dxa"/>
        </w:tblCellMar>
        <w:tblLook w:val="04A0" w:firstRow="1" w:lastRow="0" w:firstColumn="1" w:lastColumn="0" w:noHBand="0" w:noVBand="1"/>
      </w:tblPr>
      <w:tblGrid>
        <w:gridCol w:w="1697"/>
        <w:gridCol w:w="5083"/>
        <w:gridCol w:w="3240"/>
      </w:tblGrid>
      <w:tr w:rsidR="0007366F" w:rsidRPr="0007366F" w14:paraId="303DBA00" w14:textId="77777777">
        <w:tc>
          <w:tcPr>
            <w:tcW w:w="0" w:type="auto"/>
            <w:tcBorders>
              <w:bottom w:val="single" w:sz="6" w:space="0" w:color="E1E3E1"/>
            </w:tcBorders>
            <w:tcMar>
              <w:top w:w="120" w:type="dxa"/>
              <w:left w:w="120" w:type="dxa"/>
              <w:bottom w:w="120" w:type="dxa"/>
              <w:right w:w="120" w:type="dxa"/>
            </w:tcMar>
            <w:hideMark/>
          </w:tcPr>
          <w:p w14:paraId="0FC83645"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Position</w:t>
            </w:r>
          </w:p>
        </w:tc>
        <w:tc>
          <w:tcPr>
            <w:tcW w:w="0" w:type="auto"/>
            <w:tcBorders>
              <w:bottom w:val="single" w:sz="6" w:space="0" w:color="E1E3E1"/>
            </w:tcBorders>
            <w:tcMar>
              <w:top w:w="120" w:type="dxa"/>
              <w:left w:w="120" w:type="dxa"/>
              <w:bottom w:w="120" w:type="dxa"/>
              <w:right w:w="120" w:type="dxa"/>
            </w:tcMar>
            <w:hideMark/>
          </w:tcPr>
          <w:p w14:paraId="0ED6B176"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Supporting Arguments &amp; Evidence</w:t>
            </w:r>
          </w:p>
        </w:tc>
        <w:tc>
          <w:tcPr>
            <w:tcW w:w="0" w:type="auto"/>
            <w:tcBorders>
              <w:bottom w:val="single" w:sz="6" w:space="0" w:color="E1E3E1"/>
            </w:tcBorders>
            <w:tcMar>
              <w:top w:w="120" w:type="dxa"/>
              <w:left w:w="120" w:type="dxa"/>
              <w:bottom w:w="120" w:type="dxa"/>
              <w:right w:w="120" w:type="dxa"/>
            </w:tcMar>
            <w:hideMark/>
          </w:tcPr>
          <w:p w14:paraId="5D62BEC7"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Evidence Quality</w:t>
            </w:r>
          </w:p>
        </w:tc>
      </w:tr>
      <w:tr w:rsidR="0007366F" w:rsidRPr="0007366F" w14:paraId="1296C034" w14:textId="77777777">
        <w:tc>
          <w:tcPr>
            <w:tcW w:w="0" w:type="auto"/>
            <w:tcBorders>
              <w:bottom w:val="single" w:sz="6" w:space="0" w:color="E1E3E1"/>
            </w:tcBorders>
            <w:tcMar>
              <w:top w:w="120" w:type="dxa"/>
              <w:left w:w="120" w:type="dxa"/>
              <w:bottom w:w="120" w:type="dxa"/>
              <w:right w:w="120" w:type="dxa"/>
            </w:tcMar>
            <w:hideMark/>
          </w:tcPr>
          <w:p w14:paraId="4B156672"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Position A: Useful for Comparing Trends</w:t>
            </w:r>
          </w:p>
        </w:tc>
        <w:tc>
          <w:tcPr>
            <w:tcW w:w="0" w:type="auto"/>
            <w:tcBorders>
              <w:bottom w:val="single" w:sz="6" w:space="0" w:color="E1E3E1"/>
            </w:tcBorders>
            <w:tcMar>
              <w:top w:w="120" w:type="dxa"/>
              <w:left w:w="120" w:type="dxa"/>
              <w:bottom w:w="120" w:type="dxa"/>
              <w:right w:w="120" w:type="dxa"/>
            </w:tcMar>
            <w:hideMark/>
          </w:tcPr>
          <w:p w14:paraId="0F07F218"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Proponents argue they are a space-efficient way to show the relationship between two variables with different units or scales on the same timeline (e.g., plotting revenue in dollars and units sold as a count).</w:t>
            </w:r>
          </w:p>
        </w:tc>
        <w:tc>
          <w:tcPr>
            <w:tcW w:w="0" w:type="auto"/>
            <w:tcBorders>
              <w:bottom w:val="single" w:sz="6" w:space="0" w:color="E1E3E1"/>
            </w:tcBorders>
            <w:tcMar>
              <w:top w:w="120" w:type="dxa"/>
              <w:left w:w="120" w:type="dxa"/>
              <w:bottom w:w="120" w:type="dxa"/>
              <w:right w:w="120" w:type="dxa"/>
            </w:tcMar>
            <w:hideMark/>
          </w:tcPr>
          <w:p w14:paraId="3EDF2B8E"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Low:</w:t>
            </w:r>
            <w:r w:rsidRPr="0007366F">
              <w:rPr>
                <w:rFonts w:ascii="Times New Roman" w:eastAsia="Times New Roman" w:hAnsi="Times New Roman" w:cs="Times New Roman"/>
                <w:color w:val="1F1F1F"/>
                <w:kern w:val="0"/>
                <w14:ligatures w14:val="none"/>
              </w:rPr>
              <w:t> Primarily based on anecdotal claims of convenience and expert opinion from practitioners who use them. There is little to no empirical evidence supporting their perceptual effectiveness.</w:t>
            </w:r>
          </w:p>
        </w:tc>
      </w:tr>
      <w:tr w:rsidR="0007366F" w:rsidRPr="0007366F" w14:paraId="5D10BC94" w14:textId="77777777">
        <w:tc>
          <w:tcPr>
            <w:tcW w:w="0" w:type="auto"/>
            <w:tcBorders>
              <w:bottom w:val="nil"/>
            </w:tcBorders>
            <w:tcMar>
              <w:top w:w="120" w:type="dxa"/>
              <w:left w:w="120" w:type="dxa"/>
              <w:bottom w:w="120" w:type="dxa"/>
              <w:right w:w="120" w:type="dxa"/>
            </w:tcMar>
            <w:hideMark/>
          </w:tcPr>
          <w:p w14:paraId="3C5847A8"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Position B: Confusing and Misleading</w:t>
            </w:r>
          </w:p>
        </w:tc>
        <w:tc>
          <w:tcPr>
            <w:tcW w:w="0" w:type="auto"/>
            <w:tcBorders>
              <w:bottom w:val="nil"/>
            </w:tcBorders>
            <w:tcMar>
              <w:top w:w="120" w:type="dxa"/>
              <w:left w:w="120" w:type="dxa"/>
              <w:bottom w:w="120" w:type="dxa"/>
              <w:right w:w="120" w:type="dxa"/>
            </w:tcMar>
            <w:hideMark/>
          </w:tcPr>
          <w:p w14:paraId="21C1DDC9"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1. Potential for Manipulation:</w:t>
            </w:r>
            <w:r w:rsidRPr="0007366F">
              <w:rPr>
                <w:rFonts w:ascii="Times New Roman" w:eastAsia="Times New Roman" w:hAnsi="Times New Roman" w:cs="Times New Roman"/>
                <w:color w:val="1F1F1F"/>
                <w:kern w:val="0"/>
                <w14:ligatures w14:val="none"/>
              </w:rPr>
              <w:t> Critics, including Stephen Few and Alberto Cairo, argue that because the two y-axes are independent, their scales can be manipulated to create the illusion of a strong correlation or to obscure a weak one. </w:t>
            </w:r>
            <w:r w:rsidRPr="0007366F">
              <w:rPr>
                <w:rFonts w:ascii="Roboto" w:eastAsia="Times New Roman" w:hAnsi="Roboto" w:cs="Times New Roman"/>
                <w:color w:val="1F1F1F"/>
                <w:kern w:val="0"/>
                <w14:ligatures w14:val="none"/>
              </w:rPr>
              <w:t>2. Perceptual Confusion:</w:t>
            </w:r>
            <w:r w:rsidRPr="0007366F">
              <w:rPr>
                <w:rFonts w:ascii="Times New Roman" w:eastAsia="Times New Roman" w:hAnsi="Times New Roman" w:cs="Times New Roman"/>
                <w:color w:val="1F1F1F"/>
                <w:kern w:val="0"/>
                <w14:ligatures w14:val="none"/>
              </w:rPr>
              <w:t> Viewers can easily misinterpret which data series corresponds to which axis. The point where two lines cross on a dual-axis chart is visually salient but mathematically meaningless. </w:t>
            </w:r>
            <w:r w:rsidRPr="0007366F">
              <w:rPr>
                <w:rFonts w:ascii="Roboto" w:eastAsia="Times New Roman" w:hAnsi="Roboto" w:cs="Times New Roman"/>
                <w:color w:val="1F1F1F"/>
                <w:kern w:val="0"/>
                <w14:ligatures w14:val="none"/>
              </w:rPr>
              <w:t>3. Empirical Evidence:</w:t>
            </w:r>
            <w:r w:rsidRPr="0007366F">
              <w:rPr>
                <w:rFonts w:ascii="Times New Roman" w:eastAsia="Times New Roman" w:hAnsi="Times New Roman" w:cs="Times New Roman"/>
                <w:color w:val="1F1F1F"/>
                <w:kern w:val="0"/>
                <w14:ligatures w14:val="none"/>
              </w:rPr>
              <w:t xml:space="preserve"> A study by Isenberg et al. on dual-scale data charts found that participants rated "superimposed charts" (dual-axis) as "very </w:t>
            </w:r>
            <w:r w:rsidRPr="0007366F">
              <w:rPr>
                <w:rFonts w:ascii="Times New Roman" w:eastAsia="Times New Roman" w:hAnsi="Times New Roman" w:cs="Times New Roman"/>
                <w:color w:val="1F1F1F"/>
                <w:kern w:val="0"/>
                <w14:ligatures w14:val="none"/>
              </w:rPr>
              <w:lastRenderedPageBreak/>
              <w:t>confusing" and that they performed poorly in terms of both accuracy and interpretation time.</w:t>
            </w:r>
          </w:p>
        </w:tc>
        <w:tc>
          <w:tcPr>
            <w:tcW w:w="0" w:type="auto"/>
            <w:tcBorders>
              <w:bottom w:val="nil"/>
            </w:tcBorders>
            <w:tcMar>
              <w:top w:w="120" w:type="dxa"/>
              <w:left w:w="120" w:type="dxa"/>
              <w:bottom w:w="120" w:type="dxa"/>
              <w:right w:w="120" w:type="dxa"/>
            </w:tcMar>
            <w:hideMark/>
          </w:tcPr>
          <w:p w14:paraId="2566351F"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lastRenderedPageBreak/>
              <w:t>High:</w:t>
            </w:r>
            <w:r w:rsidRPr="0007366F">
              <w:rPr>
                <w:rFonts w:ascii="Times New Roman" w:eastAsia="Times New Roman" w:hAnsi="Times New Roman" w:cs="Times New Roman"/>
                <w:color w:val="1F1F1F"/>
                <w:kern w:val="0"/>
                <w14:ligatures w14:val="none"/>
              </w:rPr>
              <w:t xml:space="preserve"> The arguments </w:t>
            </w:r>
            <w:proofErr w:type="gramStart"/>
            <w:r w:rsidRPr="0007366F">
              <w:rPr>
                <w:rFonts w:ascii="Times New Roman" w:eastAsia="Times New Roman" w:hAnsi="Times New Roman" w:cs="Times New Roman"/>
                <w:color w:val="1F1F1F"/>
                <w:kern w:val="0"/>
                <w14:ligatures w14:val="none"/>
              </w:rPr>
              <w:t>against</w:t>
            </w:r>
            <w:proofErr w:type="gramEnd"/>
            <w:r w:rsidRPr="0007366F">
              <w:rPr>
                <w:rFonts w:ascii="Times New Roman" w:eastAsia="Times New Roman" w:hAnsi="Times New Roman" w:cs="Times New Roman"/>
                <w:color w:val="1F1F1F"/>
                <w:kern w:val="0"/>
                <w14:ligatures w14:val="none"/>
              </w:rPr>
              <w:t xml:space="preserve"> are supported by strong logical principles of graphical integrity and backed by empirical studies on perceptual effectiveness.</w:t>
            </w:r>
          </w:p>
        </w:tc>
      </w:tr>
    </w:tbl>
    <w:p w14:paraId="661F5D32" w14:textId="77777777" w:rsidR="0007366F" w:rsidRPr="0007366F" w:rsidRDefault="0007366F" w:rsidP="0007366F">
      <w:pPr>
        <w:spacing w:after="0" w:line="240" w:lineRule="auto"/>
        <w:rPr>
          <w:rFonts w:ascii="Times New Roman" w:eastAsia="Times New Roman" w:hAnsi="Times New Roman" w:cs="Times New Roman"/>
          <w:kern w:val="0"/>
          <w14:ligatures w14:val="none"/>
        </w:rPr>
      </w:pPr>
      <w:r w:rsidRPr="0007366F">
        <w:rPr>
          <w:rFonts w:ascii="Times New Roman" w:eastAsia="Times New Roman" w:hAnsi="Times New Roman" w:cs="Times New Roman"/>
          <w:kern w:val="0"/>
          <w14:ligatures w14:val="none"/>
        </w:rPr>
        <w:t> </w:t>
      </w:r>
    </w:p>
    <w:p w14:paraId="5C47226D" w14:textId="77777777" w:rsidR="0007366F" w:rsidRPr="0007366F" w:rsidRDefault="0007366F" w:rsidP="0007366F">
      <w:pPr>
        <w:shd w:val="clear" w:color="auto" w:fill="F8FAFD"/>
        <w:spacing w:before="100" w:beforeAutospacing="1" w:after="120" w:line="360" w:lineRule="atLeast"/>
        <w:outlineLvl w:val="3"/>
        <w:rPr>
          <w:rFonts w:ascii="Roboto" w:eastAsia="Times New Roman" w:hAnsi="Roboto" w:cs="Times New Roman"/>
          <w:b/>
          <w:bCs/>
          <w:color w:val="1F1F1F"/>
          <w:kern w:val="0"/>
          <w14:ligatures w14:val="none"/>
        </w:rPr>
      </w:pPr>
      <w:r w:rsidRPr="0007366F">
        <w:rPr>
          <w:rFonts w:ascii="Roboto" w:eastAsia="Times New Roman" w:hAnsi="Roboto" w:cs="Times New Roman"/>
          <w:color w:val="1F1F1F"/>
          <w:kern w:val="0"/>
          <w14:ligatures w14:val="none"/>
        </w:rPr>
        <w:t>Reconciliation and Analysis</w:t>
      </w:r>
    </w:p>
    <w:p w14:paraId="30009294" w14:textId="77777777" w:rsidR="0007366F" w:rsidRPr="0007366F" w:rsidRDefault="0007366F" w:rsidP="0007366F">
      <w:pPr>
        <w:numPr>
          <w:ilvl w:val="0"/>
          <w:numId w:val="8"/>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Experimental Evidence vs. Expert Opinion: The arguments </w:t>
      </w:r>
      <w:r w:rsidRPr="0007366F">
        <w:rPr>
          <w:rFonts w:ascii="Roboto" w:eastAsia="Times New Roman" w:hAnsi="Roboto" w:cs="Times New Roman"/>
          <w:i/>
          <w:iCs/>
          <w:color w:val="1F1F1F"/>
          <w:kern w:val="0"/>
          <w14:ligatures w14:val="none"/>
        </w:rPr>
        <w:t>against</w:t>
      </w:r>
      <w:r w:rsidRPr="0007366F">
        <w:rPr>
          <w:rFonts w:ascii="Roboto" w:eastAsia="Times New Roman" w:hAnsi="Roboto" w:cs="Times New Roman"/>
          <w:color w:val="1F1F1F"/>
          <w:kern w:val="0"/>
          <w14:ligatures w14:val="none"/>
        </w:rPr>
        <w:t> dual-axis charts are supported by both strong expert consensus and empirical evidence. The arguments </w:t>
      </w:r>
      <w:r w:rsidRPr="0007366F">
        <w:rPr>
          <w:rFonts w:ascii="Roboto" w:eastAsia="Times New Roman" w:hAnsi="Roboto" w:cs="Times New Roman"/>
          <w:i/>
          <w:iCs/>
          <w:color w:val="1F1F1F"/>
          <w:kern w:val="0"/>
          <w14:ligatures w14:val="none"/>
        </w:rPr>
        <w:t>for</w:t>
      </w:r>
      <w:r w:rsidRPr="0007366F">
        <w:rPr>
          <w:rFonts w:ascii="Roboto" w:eastAsia="Times New Roman" w:hAnsi="Roboto" w:cs="Times New Roman"/>
          <w:color w:val="1F1F1F"/>
          <w:kern w:val="0"/>
          <w14:ligatures w14:val="none"/>
        </w:rPr>
        <w:t> them are based almost entirely on anecdotal claims of space-saving.</w:t>
      </w:r>
    </w:p>
    <w:p w14:paraId="21040F95" w14:textId="77777777" w:rsidR="0007366F" w:rsidRPr="0007366F" w:rsidRDefault="0007366F" w:rsidP="0007366F">
      <w:pPr>
        <w:numPr>
          <w:ilvl w:val="0"/>
          <w:numId w:val="8"/>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Contextual Merit: The potential for misinterpretation is so high that most experts recommend avoiding them in almost all contexts. A clearer alternative, such as two separate charts (small multiples) or a connected scatterplot, is almost always preferable.</w:t>
      </w:r>
    </w:p>
    <w:p w14:paraId="33D69C79" w14:textId="77777777" w:rsidR="0007366F" w:rsidRPr="0007366F" w:rsidRDefault="0007366F" w:rsidP="0007366F">
      <w:pPr>
        <w:numPr>
          <w:ilvl w:val="0"/>
          <w:numId w:val="8"/>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Genuinely Unresolved Questions: Given the strong evidence against them, the main unresolved question is why they remain so prevalent in business and media reporting.</w:t>
      </w:r>
    </w:p>
    <w:p w14:paraId="4B3DA386" w14:textId="77777777" w:rsidR="0007366F" w:rsidRPr="0007366F" w:rsidRDefault="0007366F" w:rsidP="0007366F">
      <w:pPr>
        <w:shd w:val="clear" w:color="auto" w:fill="F8FAFD"/>
        <w:spacing w:before="100" w:beforeAutospacing="1" w:after="120" w:line="360" w:lineRule="atLeast"/>
        <w:outlineLvl w:val="3"/>
        <w:rPr>
          <w:rFonts w:ascii="Roboto" w:eastAsia="Times New Roman" w:hAnsi="Roboto" w:cs="Times New Roman"/>
          <w:b/>
          <w:bCs/>
          <w:color w:val="1F1F1F"/>
          <w:kern w:val="0"/>
          <w14:ligatures w14:val="none"/>
        </w:rPr>
      </w:pPr>
      <w:r w:rsidRPr="0007366F">
        <w:rPr>
          <w:rFonts w:ascii="Roboto" w:eastAsia="Times New Roman" w:hAnsi="Roboto" w:cs="Times New Roman"/>
          <w:color w:val="1F1F1F"/>
          <w:kern w:val="0"/>
          <w14:ligatures w14:val="none"/>
        </w:rPr>
        <w:t>B. Stacked Bar Charts</w:t>
      </w:r>
    </w:p>
    <w:tbl>
      <w:tblPr>
        <w:tblW w:w="10020" w:type="dxa"/>
        <w:tblCellMar>
          <w:top w:w="15" w:type="dxa"/>
          <w:left w:w="15" w:type="dxa"/>
          <w:bottom w:w="15" w:type="dxa"/>
          <w:right w:w="15" w:type="dxa"/>
        </w:tblCellMar>
        <w:tblLook w:val="04A0" w:firstRow="1" w:lastRow="0" w:firstColumn="1" w:lastColumn="0" w:noHBand="0" w:noVBand="1"/>
      </w:tblPr>
      <w:tblGrid>
        <w:gridCol w:w="1774"/>
        <w:gridCol w:w="5304"/>
        <w:gridCol w:w="2942"/>
      </w:tblGrid>
      <w:tr w:rsidR="0007366F" w:rsidRPr="0007366F" w14:paraId="61DD6C36" w14:textId="77777777">
        <w:tc>
          <w:tcPr>
            <w:tcW w:w="0" w:type="auto"/>
            <w:tcBorders>
              <w:bottom w:val="single" w:sz="6" w:space="0" w:color="E1E3E1"/>
            </w:tcBorders>
            <w:tcMar>
              <w:top w:w="120" w:type="dxa"/>
              <w:left w:w="120" w:type="dxa"/>
              <w:bottom w:w="120" w:type="dxa"/>
              <w:right w:w="120" w:type="dxa"/>
            </w:tcMar>
            <w:hideMark/>
          </w:tcPr>
          <w:p w14:paraId="16B73628"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Position</w:t>
            </w:r>
          </w:p>
        </w:tc>
        <w:tc>
          <w:tcPr>
            <w:tcW w:w="0" w:type="auto"/>
            <w:tcBorders>
              <w:bottom w:val="single" w:sz="6" w:space="0" w:color="E1E3E1"/>
            </w:tcBorders>
            <w:tcMar>
              <w:top w:w="120" w:type="dxa"/>
              <w:left w:w="120" w:type="dxa"/>
              <w:bottom w:w="120" w:type="dxa"/>
              <w:right w:w="120" w:type="dxa"/>
            </w:tcMar>
            <w:hideMark/>
          </w:tcPr>
          <w:p w14:paraId="0DA55448"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Supporting Arguments &amp; Evidence</w:t>
            </w:r>
          </w:p>
        </w:tc>
        <w:tc>
          <w:tcPr>
            <w:tcW w:w="0" w:type="auto"/>
            <w:tcBorders>
              <w:bottom w:val="single" w:sz="6" w:space="0" w:color="E1E3E1"/>
            </w:tcBorders>
            <w:tcMar>
              <w:top w:w="120" w:type="dxa"/>
              <w:left w:w="120" w:type="dxa"/>
              <w:bottom w:w="120" w:type="dxa"/>
              <w:right w:w="120" w:type="dxa"/>
            </w:tcMar>
            <w:hideMark/>
          </w:tcPr>
          <w:p w14:paraId="1A9F0708"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Evidence Quality</w:t>
            </w:r>
          </w:p>
        </w:tc>
      </w:tr>
      <w:tr w:rsidR="0007366F" w:rsidRPr="0007366F" w14:paraId="62A24151" w14:textId="77777777">
        <w:tc>
          <w:tcPr>
            <w:tcW w:w="0" w:type="auto"/>
            <w:tcBorders>
              <w:bottom w:val="single" w:sz="6" w:space="0" w:color="E1E3E1"/>
            </w:tcBorders>
            <w:tcMar>
              <w:top w:w="120" w:type="dxa"/>
              <w:left w:w="120" w:type="dxa"/>
              <w:bottom w:w="120" w:type="dxa"/>
              <w:right w:w="120" w:type="dxa"/>
            </w:tcMar>
            <w:hideMark/>
          </w:tcPr>
          <w:p w14:paraId="068D3733"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Position A: Useful for Part-to-Whole</w:t>
            </w:r>
          </w:p>
        </w:tc>
        <w:tc>
          <w:tcPr>
            <w:tcW w:w="0" w:type="auto"/>
            <w:tcBorders>
              <w:bottom w:val="single" w:sz="6" w:space="0" w:color="E1E3E1"/>
            </w:tcBorders>
            <w:tcMar>
              <w:top w:w="120" w:type="dxa"/>
              <w:left w:w="120" w:type="dxa"/>
              <w:bottom w:w="120" w:type="dxa"/>
              <w:right w:w="120" w:type="dxa"/>
            </w:tcMar>
            <w:hideMark/>
          </w:tcPr>
          <w:p w14:paraId="728B625C"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 xml:space="preserve">Proponents argue they are effective for showing how a total is divided into parts and how the composition of </w:t>
            </w:r>
            <w:proofErr w:type="gramStart"/>
            <w:r w:rsidRPr="0007366F">
              <w:rPr>
                <w:rFonts w:ascii="Times New Roman" w:eastAsia="Times New Roman" w:hAnsi="Times New Roman" w:cs="Times New Roman"/>
                <w:color w:val="1F1F1F"/>
                <w:kern w:val="0"/>
                <w14:ligatures w14:val="none"/>
              </w:rPr>
              <w:t>that total changes</w:t>
            </w:r>
            <w:proofErr w:type="gramEnd"/>
            <w:r w:rsidRPr="0007366F">
              <w:rPr>
                <w:rFonts w:ascii="Times New Roman" w:eastAsia="Times New Roman" w:hAnsi="Times New Roman" w:cs="Times New Roman"/>
                <w:color w:val="1F1F1F"/>
                <w:kern w:val="0"/>
                <w14:ligatures w14:val="none"/>
              </w:rPr>
              <w:t xml:space="preserve"> across categories.</w:t>
            </w:r>
          </w:p>
        </w:tc>
        <w:tc>
          <w:tcPr>
            <w:tcW w:w="0" w:type="auto"/>
            <w:tcBorders>
              <w:bottom w:val="single" w:sz="6" w:space="0" w:color="E1E3E1"/>
            </w:tcBorders>
            <w:tcMar>
              <w:top w:w="120" w:type="dxa"/>
              <w:left w:w="120" w:type="dxa"/>
              <w:bottom w:w="120" w:type="dxa"/>
              <w:right w:w="120" w:type="dxa"/>
            </w:tcMar>
            <w:hideMark/>
          </w:tcPr>
          <w:p w14:paraId="68496485"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Low:</w:t>
            </w:r>
            <w:r w:rsidRPr="0007366F">
              <w:rPr>
                <w:rFonts w:ascii="Times New Roman" w:eastAsia="Times New Roman" w:hAnsi="Times New Roman" w:cs="Times New Roman"/>
                <w:color w:val="1F1F1F"/>
                <w:kern w:val="0"/>
                <w14:ligatures w14:val="none"/>
              </w:rPr>
              <w:t> Based on convention and their common use in business reporting.</w:t>
            </w:r>
          </w:p>
        </w:tc>
      </w:tr>
      <w:tr w:rsidR="0007366F" w:rsidRPr="0007366F" w14:paraId="10A2AA61" w14:textId="77777777">
        <w:tc>
          <w:tcPr>
            <w:tcW w:w="0" w:type="auto"/>
            <w:tcBorders>
              <w:bottom w:val="nil"/>
            </w:tcBorders>
            <w:tcMar>
              <w:top w:w="120" w:type="dxa"/>
              <w:left w:w="120" w:type="dxa"/>
              <w:bottom w:w="120" w:type="dxa"/>
              <w:right w:w="120" w:type="dxa"/>
            </w:tcMar>
            <w:hideMark/>
          </w:tcPr>
          <w:p w14:paraId="05B0BC10"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Position B: Difficult to Interpret Accurately</w:t>
            </w:r>
          </w:p>
        </w:tc>
        <w:tc>
          <w:tcPr>
            <w:tcW w:w="0" w:type="auto"/>
            <w:tcBorders>
              <w:bottom w:val="nil"/>
            </w:tcBorders>
            <w:tcMar>
              <w:top w:w="120" w:type="dxa"/>
              <w:left w:w="120" w:type="dxa"/>
              <w:bottom w:w="120" w:type="dxa"/>
              <w:right w:w="120" w:type="dxa"/>
            </w:tcMar>
            <w:hideMark/>
          </w:tcPr>
          <w:p w14:paraId="682B5A0C"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1. Cleveland &amp; McGill (1984):</w:t>
            </w:r>
            <w:r w:rsidRPr="0007366F">
              <w:rPr>
                <w:rFonts w:ascii="Times New Roman" w:eastAsia="Times New Roman" w:hAnsi="Times New Roman" w:cs="Times New Roman"/>
                <w:color w:val="1F1F1F"/>
                <w:kern w:val="0"/>
                <w14:ligatures w14:val="none"/>
              </w:rPr>
              <w:t> Their hierarchy of perceptual tasks provides the theoretical basis for the critique. Except for the bottom-most segment, all other segments in a stacked bar chart do not share a common baseline. This forces viewers to judge </w:t>
            </w:r>
            <w:r w:rsidRPr="0007366F">
              <w:rPr>
                <w:rFonts w:ascii="Roboto" w:eastAsia="Times New Roman" w:hAnsi="Roboto" w:cs="Times New Roman"/>
                <w:color w:val="1F1F1F"/>
                <w:kern w:val="0"/>
                <w14:ligatures w14:val="none"/>
              </w:rPr>
              <w:t>length on unaligned scales</w:t>
            </w:r>
            <w:r w:rsidRPr="0007366F">
              <w:rPr>
                <w:rFonts w:ascii="Times New Roman" w:eastAsia="Times New Roman" w:hAnsi="Times New Roman" w:cs="Times New Roman"/>
                <w:color w:val="1F1F1F"/>
                <w:kern w:val="0"/>
                <w14:ligatures w14:val="none"/>
              </w:rPr>
              <w:t>, a less accurate perceptual task than judging position on a common scale. </w:t>
            </w:r>
            <w:r w:rsidRPr="0007366F">
              <w:rPr>
                <w:rFonts w:ascii="Roboto" w:eastAsia="Times New Roman" w:hAnsi="Roboto" w:cs="Times New Roman"/>
                <w:color w:val="1F1F1F"/>
                <w:kern w:val="0"/>
                <w14:ligatures w14:val="none"/>
              </w:rPr>
              <w:t>2. Talbot, Setlur, &amp; Anand (2014):</w:t>
            </w:r>
            <w:r w:rsidRPr="0007366F">
              <w:rPr>
                <w:rFonts w:ascii="Times New Roman" w:eastAsia="Times New Roman" w:hAnsi="Times New Roman" w:cs="Times New Roman"/>
                <w:color w:val="1F1F1F"/>
                <w:kern w:val="0"/>
                <w14:ligatures w14:val="none"/>
              </w:rPr>
              <w:t> This study, "An Empirical Investigation of the Impact of Distractors on the Perception of Stacked Bar Charts," experimentally confirmed the difficulty. They found that the presence of other bars in the stack (distractors) significantly increased the error rate when comparing the sizes of target segments.</w:t>
            </w:r>
          </w:p>
        </w:tc>
        <w:tc>
          <w:tcPr>
            <w:tcW w:w="0" w:type="auto"/>
            <w:tcBorders>
              <w:bottom w:val="nil"/>
            </w:tcBorders>
            <w:tcMar>
              <w:top w:w="120" w:type="dxa"/>
              <w:left w:w="120" w:type="dxa"/>
              <w:bottom w:w="120" w:type="dxa"/>
              <w:right w:w="120" w:type="dxa"/>
            </w:tcMar>
            <w:hideMark/>
          </w:tcPr>
          <w:p w14:paraId="622A6CF4"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High:</w:t>
            </w:r>
            <w:r w:rsidRPr="0007366F">
              <w:rPr>
                <w:rFonts w:ascii="Times New Roman" w:eastAsia="Times New Roman" w:hAnsi="Times New Roman" w:cs="Times New Roman"/>
                <w:color w:val="1F1F1F"/>
                <w:kern w:val="0"/>
                <w14:ligatures w14:val="none"/>
              </w:rPr>
              <w:t> The critique is grounded in foundational perceptual science and has been validated by specific, peer-reviewed experimental studies.</w:t>
            </w:r>
          </w:p>
        </w:tc>
      </w:tr>
    </w:tbl>
    <w:p w14:paraId="4B6F07A1" w14:textId="77777777" w:rsidR="0007366F" w:rsidRPr="0007366F" w:rsidRDefault="0007366F" w:rsidP="0007366F">
      <w:pPr>
        <w:spacing w:after="0" w:line="240" w:lineRule="auto"/>
        <w:rPr>
          <w:rFonts w:ascii="Times New Roman" w:eastAsia="Times New Roman" w:hAnsi="Times New Roman" w:cs="Times New Roman"/>
          <w:kern w:val="0"/>
          <w14:ligatures w14:val="none"/>
        </w:rPr>
      </w:pPr>
      <w:r w:rsidRPr="0007366F">
        <w:rPr>
          <w:rFonts w:ascii="Times New Roman" w:eastAsia="Times New Roman" w:hAnsi="Times New Roman" w:cs="Times New Roman"/>
          <w:kern w:val="0"/>
          <w14:ligatures w14:val="none"/>
        </w:rPr>
        <w:t> </w:t>
      </w:r>
    </w:p>
    <w:p w14:paraId="7D8494C2" w14:textId="77777777" w:rsidR="0007366F" w:rsidRPr="0007366F" w:rsidRDefault="0007366F" w:rsidP="0007366F">
      <w:pPr>
        <w:shd w:val="clear" w:color="auto" w:fill="F8FAFD"/>
        <w:spacing w:before="100" w:beforeAutospacing="1" w:after="120" w:line="360" w:lineRule="atLeast"/>
        <w:outlineLvl w:val="3"/>
        <w:rPr>
          <w:rFonts w:ascii="Roboto" w:eastAsia="Times New Roman" w:hAnsi="Roboto" w:cs="Times New Roman"/>
          <w:b/>
          <w:bCs/>
          <w:color w:val="1F1F1F"/>
          <w:kern w:val="0"/>
          <w14:ligatures w14:val="none"/>
        </w:rPr>
      </w:pPr>
      <w:r w:rsidRPr="0007366F">
        <w:rPr>
          <w:rFonts w:ascii="Roboto" w:eastAsia="Times New Roman" w:hAnsi="Roboto" w:cs="Times New Roman"/>
          <w:color w:val="1F1F1F"/>
          <w:kern w:val="0"/>
          <w14:ligatures w14:val="none"/>
        </w:rPr>
        <w:t>Reconciliation and Analysis</w:t>
      </w:r>
    </w:p>
    <w:p w14:paraId="624BDE8B" w14:textId="77777777" w:rsidR="0007366F" w:rsidRPr="0007366F" w:rsidRDefault="0007366F" w:rsidP="0007366F">
      <w:pPr>
        <w:numPr>
          <w:ilvl w:val="0"/>
          <w:numId w:val="9"/>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lastRenderedPageBreak/>
        <w:t>Experimental Evidence vs. Expert Opinion: The difficulty of interpreting stacked bar charts is supported by high-quality experimental evidence.</w:t>
      </w:r>
    </w:p>
    <w:p w14:paraId="13A5754E" w14:textId="77777777" w:rsidR="0007366F" w:rsidRPr="0007366F" w:rsidRDefault="0007366F" w:rsidP="0007366F">
      <w:pPr>
        <w:numPr>
          <w:ilvl w:val="0"/>
          <w:numId w:val="9"/>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Contextual Merit: Stacked bar charts can be effective for showing the change in the </w:t>
      </w:r>
      <w:r w:rsidRPr="0007366F">
        <w:rPr>
          <w:rFonts w:ascii="Roboto" w:eastAsia="Times New Roman" w:hAnsi="Roboto" w:cs="Times New Roman"/>
          <w:i/>
          <w:iCs/>
          <w:color w:val="1F1F1F"/>
          <w:kern w:val="0"/>
          <w14:ligatures w14:val="none"/>
        </w:rPr>
        <w:t>total</w:t>
      </w:r>
      <w:r w:rsidRPr="0007366F">
        <w:rPr>
          <w:rFonts w:ascii="Roboto" w:eastAsia="Times New Roman" w:hAnsi="Roboto" w:cs="Times New Roman"/>
          <w:color w:val="1F1F1F"/>
          <w:kern w:val="0"/>
          <w14:ligatures w14:val="none"/>
        </w:rPr>
        <w:t> across categories and for seeing the general composition of that total. However, they are demonstrably poor for making precise comparisons between the individual segments (other than the one at the base). If the primary goal is to compare the components, grouped bar charts or line charts (for time-series data) are superior alternatives.</w:t>
      </w:r>
    </w:p>
    <w:p w14:paraId="4D920003" w14:textId="77777777" w:rsidR="0007366F" w:rsidRPr="0007366F" w:rsidRDefault="0007366F" w:rsidP="0007366F">
      <w:pPr>
        <w:numPr>
          <w:ilvl w:val="0"/>
          <w:numId w:val="9"/>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Genuinely Unresolved Questions: Research could further explore how the number of segments and the use of color or labeling might mitigate the known perceptual difficulties.</w:t>
      </w:r>
    </w:p>
    <w:p w14:paraId="75174249" w14:textId="77777777" w:rsidR="0007366F" w:rsidRPr="0007366F" w:rsidRDefault="0007366F" w:rsidP="0007366F">
      <w:pPr>
        <w:shd w:val="clear" w:color="auto" w:fill="F8FAFD"/>
        <w:spacing w:before="100" w:beforeAutospacing="1" w:after="120" w:line="360" w:lineRule="atLeast"/>
        <w:outlineLvl w:val="3"/>
        <w:rPr>
          <w:rFonts w:ascii="Roboto" w:eastAsia="Times New Roman" w:hAnsi="Roboto" w:cs="Times New Roman"/>
          <w:b/>
          <w:bCs/>
          <w:color w:val="1F1F1F"/>
          <w:kern w:val="0"/>
          <w14:ligatures w14:val="none"/>
        </w:rPr>
      </w:pPr>
      <w:r w:rsidRPr="0007366F">
        <w:rPr>
          <w:rFonts w:ascii="Roboto" w:eastAsia="Times New Roman" w:hAnsi="Roboto" w:cs="Times New Roman"/>
          <w:color w:val="1F1F1F"/>
          <w:kern w:val="0"/>
          <w14:ligatures w14:val="none"/>
        </w:rPr>
        <w:t>C. Choropleth Maps</w:t>
      </w:r>
    </w:p>
    <w:tbl>
      <w:tblPr>
        <w:tblW w:w="10020" w:type="dxa"/>
        <w:tblCellMar>
          <w:top w:w="15" w:type="dxa"/>
          <w:left w:w="15" w:type="dxa"/>
          <w:bottom w:w="15" w:type="dxa"/>
          <w:right w:w="15" w:type="dxa"/>
        </w:tblCellMar>
        <w:tblLook w:val="04A0" w:firstRow="1" w:lastRow="0" w:firstColumn="1" w:lastColumn="0" w:noHBand="0" w:noVBand="1"/>
      </w:tblPr>
      <w:tblGrid>
        <w:gridCol w:w="1683"/>
        <w:gridCol w:w="4449"/>
        <w:gridCol w:w="3888"/>
      </w:tblGrid>
      <w:tr w:rsidR="0007366F" w:rsidRPr="0007366F" w14:paraId="4FD6689B" w14:textId="77777777">
        <w:tc>
          <w:tcPr>
            <w:tcW w:w="0" w:type="auto"/>
            <w:tcBorders>
              <w:bottom w:val="single" w:sz="6" w:space="0" w:color="E1E3E1"/>
            </w:tcBorders>
            <w:tcMar>
              <w:top w:w="120" w:type="dxa"/>
              <w:left w:w="120" w:type="dxa"/>
              <w:bottom w:w="120" w:type="dxa"/>
              <w:right w:w="120" w:type="dxa"/>
            </w:tcMar>
            <w:hideMark/>
          </w:tcPr>
          <w:p w14:paraId="1856EA80"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Position</w:t>
            </w:r>
          </w:p>
        </w:tc>
        <w:tc>
          <w:tcPr>
            <w:tcW w:w="0" w:type="auto"/>
            <w:tcBorders>
              <w:bottom w:val="single" w:sz="6" w:space="0" w:color="E1E3E1"/>
            </w:tcBorders>
            <w:tcMar>
              <w:top w:w="120" w:type="dxa"/>
              <w:left w:w="120" w:type="dxa"/>
              <w:bottom w:w="120" w:type="dxa"/>
              <w:right w:w="120" w:type="dxa"/>
            </w:tcMar>
            <w:hideMark/>
          </w:tcPr>
          <w:p w14:paraId="596EED44"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Supporting Arguments &amp; Evidence</w:t>
            </w:r>
          </w:p>
        </w:tc>
        <w:tc>
          <w:tcPr>
            <w:tcW w:w="0" w:type="auto"/>
            <w:tcBorders>
              <w:bottom w:val="single" w:sz="6" w:space="0" w:color="E1E3E1"/>
            </w:tcBorders>
            <w:tcMar>
              <w:top w:w="120" w:type="dxa"/>
              <w:left w:w="120" w:type="dxa"/>
              <w:bottom w:w="120" w:type="dxa"/>
              <w:right w:w="120" w:type="dxa"/>
            </w:tcMar>
            <w:hideMark/>
          </w:tcPr>
          <w:p w14:paraId="0F912F76"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Evidence Quality</w:t>
            </w:r>
          </w:p>
        </w:tc>
      </w:tr>
      <w:tr w:rsidR="0007366F" w:rsidRPr="0007366F" w14:paraId="47D45EAF" w14:textId="77777777">
        <w:tc>
          <w:tcPr>
            <w:tcW w:w="0" w:type="auto"/>
            <w:tcBorders>
              <w:bottom w:val="single" w:sz="6" w:space="0" w:color="E1E3E1"/>
            </w:tcBorders>
            <w:tcMar>
              <w:top w:w="120" w:type="dxa"/>
              <w:left w:w="120" w:type="dxa"/>
              <w:bottom w:w="120" w:type="dxa"/>
              <w:right w:w="120" w:type="dxa"/>
            </w:tcMar>
            <w:hideMark/>
          </w:tcPr>
          <w:p w14:paraId="6F77D8A0"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Position A: Standard for Geospatial Data</w:t>
            </w:r>
          </w:p>
        </w:tc>
        <w:tc>
          <w:tcPr>
            <w:tcW w:w="0" w:type="auto"/>
            <w:tcBorders>
              <w:bottom w:val="single" w:sz="6" w:space="0" w:color="E1E3E1"/>
            </w:tcBorders>
            <w:tcMar>
              <w:top w:w="120" w:type="dxa"/>
              <w:left w:w="120" w:type="dxa"/>
              <w:bottom w:w="120" w:type="dxa"/>
              <w:right w:w="120" w:type="dxa"/>
            </w:tcMar>
            <w:hideMark/>
          </w:tcPr>
          <w:p w14:paraId="63BE558E"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Choropleth maps are a conventional and widely understood method for displaying data aggregated by geographic regions (e.g., states, counties).</w:t>
            </w:r>
          </w:p>
        </w:tc>
        <w:tc>
          <w:tcPr>
            <w:tcW w:w="0" w:type="auto"/>
            <w:tcBorders>
              <w:bottom w:val="single" w:sz="6" w:space="0" w:color="E1E3E1"/>
            </w:tcBorders>
            <w:tcMar>
              <w:top w:w="120" w:type="dxa"/>
              <w:left w:w="120" w:type="dxa"/>
              <w:bottom w:w="120" w:type="dxa"/>
              <w:right w:w="120" w:type="dxa"/>
            </w:tcMar>
            <w:hideMark/>
          </w:tcPr>
          <w:p w14:paraId="17E503ED"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Medium:</w:t>
            </w:r>
            <w:r w:rsidRPr="0007366F">
              <w:rPr>
                <w:rFonts w:ascii="Times New Roman" w:eastAsia="Times New Roman" w:hAnsi="Times New Roman" w:cs="Times New Roman"/>
                <w:color w:val="1F1F1F"/>
                <w:kern w:val="0"/>
                <w14:ligatures w14:val="none"/>
              </w:rPr>
              <w:t> Based on long-standing cartographic convention.</w:t>
            </w:r>
          </w:p>
        </w:tc>
      </w:tr>
      <w:tr w:rsidR="0007366F" w:rsidRPr="0007366F" w14:paraId="253A7A0C" w14:textId="77777777">
        <w:tc>
          <w:tcPr>
            <w:tcW w:w="0" w:type="auto"/>
            <w:tcBorders>
              <w:bottom w:val="nil"/>
            </w:tcBorders>
            <w:tcMar>
              <w:top w:w="120" w:type="dxa"/>
              <w:left w:w="120" w:type="dxa"/>
              <w:bottom w:w="120" w:type="dxa"/>
              <w:right w:w="120" w:type="dxa"/>
            </w:tcMar>
            <w:hideMark/>
          </w:tcPr>
          <w:p w14:paraId="39413345"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Position B: Prone to Perceptual Distortion</w:t>
            </w:r>
          </w:p>
        </w:tc>
        <w:tc>
          <w:tcPr>
            <w:tcW w:w="0" w:type="auto"/>
            <w:tcBorders>
              <w:bottom w:val="nil"/>
            </w:tcBorders>
            <w:tcMar>
              <w:top w:w="120" w:type="dxa"/>
              <w:left w:w="120" w:type="dxa"/>
              <w:bottom w:w="120" w:type="dxa"/>
              <w:right w:w="120" w:type="dxa"/>
            </w:tcMar>
            <w:hideMark/>
          </w:tcPr>
          <w:p w14:paraId="1558B3CA"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1. Perceptual Bias:</w:t>
            </w:r>
            <w:r w:rsidRPr="0007366F">
              <w:rPr>
                <w:rFonts w:ascii="Times New Roman" w:eastAsia="Times New Roman" w:hAnsi="Times New Roman" w:cs="Times New Roman"/>
                <w:color w:val="1F1F1F"/>
                <w:kern w:val="0"/>
                <w14:ligatures w14:val="none"/>
              </w:rPr>
              <w:t> A major critique is that large geographic areas visually dominate the map, regardless of their data value or population, which can be highly misleading. </w:t>
            </w:r>
            <w:r w:rsidRPr="0007366F">
              <w:rPr>
                <w:rFonts w:ascii="Roboto" w:eastAsia="Times New Roman" w:hAnsi="Roboto" w:cs="Times New Roman"/>
                <w:color w:val="1F1F1F"/>
                <w:kern w:val="0"/>
                <w14:ligatures w14:val="none"/>
              </w:rPr>
              <w:t>2. The Modifiable Areal Unit Problem (MAUP):</w:t>
            </w:r>
            <w:r w:rsidRPr="0007366F">
              <w:rPr>
                <w:rFonts w:ascii="Times New Roman" w:eastAsia="Times New Roman" w:hAnsi="Times New Roman" w:cs="Times New Roman"/>
                <w:color w:val="1F1F1F"/>
                <w:kern w:val="0"/>
                <w14:ligatures w14:val="none"/>
              </w:rPr>
              <w:t> This is a well-documented statistical issue where the visual patterns on a map can be an artifact of the chosen geographic boundaries (the "scale effect" and "zoning effect") rather than a true reflection of the underlying data. </w:t>
            </w:r>
            <w:r w:rsidRPr="0007366F">
              <w:rPr>
                <w:rFonts w:ascii="Roboto" w:eastAsia="Times New Roman" w:hAnsi="Roboto" w:cs="Times New Roman"/>
                <w:color w:val="1F1F1F"/>
                <w:kern w:val="0"/>
                <w14:ligatures w14:val="none"/>
              </w:rPr>
              <w:t>3. Usability Studies:</w:t>
            </w:r>
            <w:r w:rsidRPr="0007366F">
              <w:rPr>
                <w:rFonts w:ascii="Times New Roman" w:eastAsia="Times New Roman" w:hAnsi="Times New Roman" w:cs="Times New Roman"/>
                <w:color w:val="1F1F1F"/>
                <w:kern w:val="0"/>
                <w14:ligatures w14:val="none"/>
              </w:rPr>
              <w:t> While direct A/B test usability studies comparing choropleths to tile grid maps are not abundant in the provided search results, the widespread adoption of </w:t>
            </w:r>
            <w:r w:rsidRPr="0007366F">
              <w:rPr>
                <w:rFonts w:ascii="Roboto" w:eastAsia="Times New Roman" w:hAnsi="Roboto" w:cs="Times New Roman"/>
                <w:color w:val="1F1F1F"/>
                <w:kern w:val="0"/>
                <w14:ligatures w14:val="none"/>
              </w:rPr>
              <w:t>tile grid maps</w:t>
            </w:r>
            <w:r w:rsidRPr="0007366F">
              <w:rPr>
                <w:rFonts w:ascii="Times New Roman" w:eastAsia="Times New Roman" w:hAnsi="Times New Roman" w:cs="Times New Roman"/>
                <w:color w:val="1F1F1F"/>
                <w:kern w:val="0"/>
                <w14:ligatures w14:val="none"/>
              </w:rPr>
              <w:t> by data journalists and analysts serves as strong practitioner evidence of their utility in overcoming the perceptual bias of choropleths. Tile grid maps give each region equal visual weight, eliminating size-based distortion.</w:t>
            </w:r>
          </w:p>
        </w:tc>
        <w:tc>
          <w:tcPr>
            <w:tcW w:w="0" w:type="auto"/>
            <w:tcBorders>
              <w:bottom w:val="nil"/>
            </w:tcBorders>
            <w:tcMar>
              <w:top w:w="120" w:type="dxa"/>
              <w:left w:w="120" w:type="dxa"/>
              <w:bottom w:w="120" w:type="dxa"/>
              <w:right w:w="120" w:type="dxa"/>
            </w:tcMar>
            <w:hideMark/>
          </w:tcPr>
          <w:p w14:paraId="06F5F812"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High:</w:t>
            </w:r>
            <w:r w:rsidRPr="0007366F">
              <w:rPr>
                <w:rFonts w:ascii="Times New Roman" w:eastAsia="Times New Roman" w:hAnsi="Times New Roman" w:cs="Times New Roman"/>
                <w:color w:val="1F1F1F"/>
                <w:kern w:val="0"/>
                <w14:ligatures w14:val="none"/>
              </w:rPr>
              <w:t> The critiques are based on well-established principles of cartography and statistical geography (MAUP). The effectiveness of alternatives like tile grid maps is supported by strong practitioner consensus and logical principles of graphical perception.</w:t>
            </w:r>
          </w:p>
        </w:tc>
      </w:tr>
    </w:tbl>
    <w:p w14:paraId="4F68D7FB" w14:textId="77777777" w:rsidR="0007366F" w:rsidRPr="0007366F" w:rsidRDefault="0007366F" w:rsidP="0007366F">
      <w:pPr>
        <w:spacing w:after="0" w:line="240" w:lineRule="auto"/>
        <w:rPr>
          <w:rFonts w:ascii="Times New Roman" w:eastAsia="Times New Roman" w:hAnsi="Times New Roman" w:cs="Times New Roman"/>
          <w:kern w:val="0"/>
          <w14:ligatures w14:val="none"/>
        </w:rPr>
      </w:pPr>
      <w:r w:rsidRPr="0007366F">
        <w:rPr>
          <w:rFonts w:ascii="Times New Roman" w:eastAsia="Times New Roman" w:hAnsi="Times New Roman" w:cs="Times New Roman"/>
          <w:kern w:val="0"/>
          <w14:ligatures w14:val="none"/>
        </w:rPr>
        <w:t> </w:t>
      </w:r>
    </w:p>
    <w:p w14:paraId="043285D0" w14:textId="77777777" w:rsidR="0007366F" w:rsidRPr="0007366F" w:rsidRDefault="0007366F" w:rsidP="0007366F">
      <w:pPr>
        <w:shd w:val="clear" w:color="auto" w:fill="F8FAFD"/>
        <w:spacing w:before="100" w:beforeAutospacing="1" w:after="120" w:line="360" w:lineRule="atLeast"/>
        <w:outlineLvl w:val="3"/>
        <w:rPr>
          <w:rFonts w:ascii="Roboto" w:eastAsia="Times New Roman" w:hAnsi="Roboto" w:cs="Times New Roman"/>
          <w:b/>
          <w:bCs/>
          <w:color w:val="1F1F1F"/>
          <w:kern w:val="0"/>
          <w14:ligatures w14:val="none"/>
        </w:rPr>
      </w:pPr>
      <w:r w:rsidRPr="0007366F">
        <w:rPr>
          <w:rFonts w:ascii="Roboto" w:eastAsia="Times New Roman" w:hAnsi="Roboto" w:cs="Times New Roman"/>
          <w:color w:val="1F1F1F"/>
          <w:kern w:val="0"/>
          <w14:ligatures w14:val="none"/>
        </w:rPr>
        <w:lastRenderedPageBreak/>
        <w:t>Reconciliation and Analysis</w:t>
      </w:r>
    </w:p>
    <w:p w14:paraId="214436EF" w14:textId="77777777" w:rsidR="0007366F" w:rsidRPr="0007366F" w:rsidRDefault="0007366F" w:rsidP="0007366F">
      <w:pPr>
        <w:numPr>
          <w:ilvl w:val="0"/>
          <w:numId w:val="10"/>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Experimental Evidence vs. Expert Opinion: The problems with choropleth maps are based on strong theoretical and statistical principles. The benefits of alternatives like tile grid maps are supported by strong practitioner consensus and logical design principles, though more formal usability studies would be beneficial.</w:t>
      </w:r>
    </w:p>
    <w:p w14:paraId="50FC3568" w14:textId="77777777" w:rsidR="0007366F" w:rsidRPr="0007366F" w:rsidRDefault="0007366F" w:rsidP="0007366F">
      <w:pPr>
        <w:numPr>
          <w:ilvl w:val="0"/>
          <w:numId w:val="10"/>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Contextual Merit: Choropleth maps can still be useful for showing broad regional patterns where the geography itself is important. However, when the goal is to compare values across regions without the distortion of land area (e.g., comparing election results state-by-state), tile grid maps or cartograms are superior alternatives.</w:t>
      </w:r>
    </w:p>
    <w:p w14:paraId="7699B4AA" w14:textId="77777777" w:rsidR="0007366F" w:rsidRPr="0007366F" w:rsidRDefault="0007366F" w:rsidP="0007366F">
      <w:pPr>
        <w:numPr>
          <w:ilvl w:val="0"/>
          <w:numId w:val="10"/>
        </w:num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Genuinely Unresolved Questions: More empirical research is needed to directly compare the usability and interpretation accuracy of choropleth maps versus tile grid maps and other alternatives across different tasks and audiences.</w:t>
      </w:r>
    </w:p>
    <w:p w14:paraId="33B57892" w14:textId="77777777" w:rsidR="0007366F" w:rsidRDefault="0007366F"/>
    <w:p w14:paraId="04275B6C" w14:textId="77777777" w:rsidR="0007366F" w:rsidRPr="0007366F" w:rsidRDefault="0007366F" w:rsidP="0007366F">
      <w:pPr>
        <w:shd w:val="clear" w:color="auto" w:fill="F8FAFD"/>
        <w:spacing w:after="100" w:afterAutospacing="1" w:line="360" w:lineRule="atLeast"/>
        <w:outlineLvl w:val="2"/>
        <w:rPr>
          <w:rFonts w:ascii="Roboto" w:eastAsia="Times New Roman" w:hAnsi="Roboto" w:cs="Times New Roman"/>
          <w:b/>
          <w:bCs/>
          <w:color w:val="1F1F1F"/>
          <w:kern w:val="0"/>
          <w14:ligatures w14:val="none"/>
        </w:rPr>
      </w:pPr>
      <w:r w:rsidRPr="0007366F">
        <w:rPr>
          <w:rFonts w:ascii="Roboto" w:eastAsia="Times New Roman" w:hAnsi="Roboto" w:cs="Times New Roman"/>
          <w:color w:val="1F1F1F"/>
          <w:kern w:val="0"/>
          <w14:ligatures w14:val="none"/>
        </w:rPr>
        <w:t>Evidence Analysis: Data Visualization for Executive Audiences</w:t>
      </w:r>
    </w:p>
    <w:p w14:paraId="74EAFC0C" w14:textId="77777777" w:rsidR="0007366F" w:rsidRPr="0007366F" w:rsidRDefault="0007366F" w:rsidP="0007366F">
      <w:pPr>
        <w:shd w:val="clear" w:color="auto" w:fill="F8FAFD"/>
        <w:spacing w:after="0" w:line="240" w:lineRule="auto"/>
        <w:rPr>
          <w:rFonts w:ascii="Roboto" w:eastAsia="Times New Roman" w:hAnsi="Roboto" w:cs="Times New Roman"/>
          <w:color w:val="1F1F1F"/>
          <w:kern w:val="0"/>
          <w14:ligatures w14:val="none"/>
        </w:rPr>
      </w:pPr>
      <w:r w:rsidRPr="0007366F">
        <w:rPr>
          <w:rFonts w:ascii="Roboto" w:eastAsia="Times New Roman" w:hAnsi="Roboto" w:cs="Times New Roman"/>
          <w:color w:val="1F1F1F"/>
          <w:kern w:val="0"/>
          <w14:ligatures w14:val="none"/>
        </w:rPr>
        <w:t>This analysis examines the evidentiary basis for common recommendations regarding executive dashboards, narrative techniques, and designing for time constraints.</w:t>
      </w:r>
    </w:p>
    <w:p w14:paraId="75D452F0" w14:textId="77777777" w:rsidR="0007366F" w:rsidRPr="0007366F" w:rsidRDefault="0007366F" w:rsidP="0007366F">
      <w:pPr>
        <w:shd w:val="clear" w:color="auto" w:fill="F8FAFD"/>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07366F">
        <w:rPr>
          <w:rFonts w:ascii="Roboto" w:eastAsia="Times New Roman" w:hAnsi="Roboto" w:cs="Times New Roman"/>
          <w:color w:val="1F1F1F"/>
          <w:kern w:val="0"/>
          <w14:ligatures w14:val="none"/>
        </w:rPr>
        <w:t>1. Dashboard Effectiveness</w:t>
      </w:r>
    </w:p>
    <w:tbl>
      <w:tblPr>
        <w:tblW w:w="10020" w:type="dxa"/>
        <w:tblCellMar>
          <w:top w:w="15" w:type="dxa"/>
          <w:left w:w="15" w:type="dxa"/>
          <w:bottom w:w="15" w:type="dxa"/>
          <w:right w:w="15" w:type="dxa"/>
        </w:tblCellMar>
        <w:tblLook w:val="04A0" w:firstRow="1" w:lastRow="0" w:firstColumn="1" w:lastColumn="0" w:noHBand="0" w:noVBand="1"/>
      </w:tblPr>
      <w:tblGrid>
        <w:gridCol w:w="2298"/>
        <w:gridCol w:w="2638"/>
        <w:gridCol w:w="5084"/>
      </w:tblGrid>
      <w:tr w:rsidR="0007366F" w:rsidRPr="0007366F" w14:paraId="197CBD5A" w14:textId="77777777">
        <w:tc>
          <w:tcPr>
            <w:tcW w:w="0" w:type="auto"/>
            <w:tcBorders>
              <w:bottom w:val="single" w:sz="6" w:space="0" w:color="E1E3E1"/>
            </w:tcBorders>
            <w:tcMar>
              <w:top w:w="120" w:type="dxa"/>
              <w:left w:w="120" w:type="dxa"/>
              <w:bottom w:w="120" w:type="dxa"/>
              <w:right w:w="120" w:type="dxa"/>
            </w:tcMar>
            <w:hideMark/>
          </w:tcPr>
          <w:p w14:paraId="6D7EC7AE"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Recommendation</w:t>
            </w:r>
          </w:p>
        </w:tc>
        <w:tc>
          <w:tcPr>
            <w:tcW w:w="0" w:type="auto"/>
            <w:tcBorders>
              <w:bottom w:val="single" w:sz="6" w:space="0" w:color="E1E3E1"/>
            </w:tcBorders>
            <w:tcMar>
              <w:top w:w="120" w:type="dxa"/>
              <w:left w:w="120" w:type="dxa"/>
              <w:bottom w:w="120" w:type="dxa"/>
              <w:right w:w="120" w:type="dxa"/>
            </w:tcMar>
            <w:hideMark/>
          </w:tcPr>
          <w:p w14:paraId="33BF6036"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Evidence Type</w:t>
            </w:r>
          </w:p>
        </w:tc>
        <w:tc>
          <w:tcPr>
            <w:tcW w:w="0" w:type="auto"/>
            <w:tcBorders>
              <w:bottom w:val="single" w:sz="6" w:space="0" w:color="E1E3E1"/>
            </w:tcBorders>
            <w:tcMar>
              <w:top w:w="120" w:type="dxa"/>
              <w:left w:w="120" w:type="dxa"/>
              <w:bottom w:w="120" w:type="dxa"/>
              <w:right w:w="120" w:type="dxa"/>
            </w:tcMar>
            <w:hideMark/>
          </w:tcPr>
          <w:p w14:paraId="4FDAD726"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Supporting Arguments &amp; Evidence</w:t>
            </w:r>
          </w:p>
        </w:tc>
      </w:tr>
      <w:tr w:rsidR="0007366F" w:rsidRPr="0007366F" w14:paraId="0DA3A74A" w14:textId="77777777">
        <w:tc>
          <w:tcPr>
            <w:tcW w:w="0" w:type="auto"/>
            <w:tcBorders>
              <w:bottom w:val="single" w:sz="6" w:space="0" w:color="E1E3E1"/>
            </w:tcBorders>
            <w:tcMar>
              <w:top w:w="120" w:type="dxa"/>
              <w:left w:w="120" w:type="dxa"/>
              <w:bottom w:w="120" w:type="dxa"/>
              <w:right w:w="120" w:type="dxa"/>
            </w:tcMar>
            <w:hideMark/>
          </w:tcPr>
          <w:p w14:paraId="6178D26D"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Dashboards should fit on a single screen.</w:t>
            </w:r>
          </w:p>
        </w:tc>
        <w:tc>
          <w:tcPr>
            <w:tcW w:w="0" w:type="auto"/>
            <w:tcBorders>
              <w:bottom w:val="single" w:sz="6" w:space="0" w:color="E1E3E1"/>
            </w:tcBorders>
            <w:tcMar>
              <w:top w:w="120" w:type="dxa"/>
              <w:left w:w="120" w:type="dxa"/>
              <w:bottom w:w="120" w:type="dxa"/>
              <w:right w:w="120" w:type="dxa"/>
            </w:tcMar>
            <w:hideMark/>
          </w:tcPr>
          <w:p w14:paraId="732D8A4B"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Theoretical Reasoning &amp; Professional Consensus</w:t>
            </w:r>
          </w:p>
        </w:tc>
        <w:tc>
          <w:tcPr>
            <w:tcW w:w="0" w:type="auto"/>
            <w:tcBorders>
              <w:bottom w:val="single" w:sz="6" w:space="0" w:color="E1E3E1"/>
            </w:tcBorders>
            <w:tcMar>
              <w:top w:w="120" w:type="dxa"/>
              <w:left w:w="120" w:type="dxa"/>
              <w:bottom w:w="120" w:type="dxa"/>
              <w:right w:w="120" w:type="dxa"/>
            </w:tcMar>
            <w:hideMark/>
          </w:tcPr>
          <w:p w14:paraId="351F5243"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1. Stephen Few's Rationale:</w:t>
            </w:r>
            <w:r w:rsidRPr="0007366F">
              <w:rPr>
                <w:rFonts w:ascii="Times New Roman" w:eastAsia="Times New Roman" w:hAnsi="Times New Roman" w:cs="Times New Roman"/>
                <w:color w:val="1F1F1F"/>
                <w:kern w:val="0"/>
                <w14:ligatures w14:val="none"/>
              </w:rPr>
              <w:t> Stephen Few's "single screen" rule is not based on a single empirical study he conducted, but on established principles of </w:t>
            </w:r>
            <w:r w:rsidRPr="0007366F">
              <w:rPr>
                <w:rFonts w:ascii="Roboto" w:eastAsia="Times New Roman" w:hAnsi="Roboto" w:cs="Times New Roman"/>
                <w:color w:val="1F1F1F"/>
                <w:kern w:val="0"/>
                <w14:ligatures w14:val="none"/>
              </w:rPr>
              <w:t>cognitive psychology</w:t>
            </w:r>
            <w:r w:rsidRPr="0007366F">
              <w:rPr>
                <w:rFonts w:ascii="Times New Roman" w:eastAsia="Times New Roman" w:hAnsi="Times New Roman" w:cs="Times New Roman"/>
                <w:color w:val="1F1F1F"/>
                <w:kern w:val="0"/>
                <w14:ligatures w14:val="none"/>
              </w:rPr>
              <w:t>. His argument is that scrolling and switching between screens fragments attention and burdens </w:t>
            </w:r>
            <w:r w:rsidRPr="0007366F">
              <w:rPr>
                <w:rFonts w:ascii="Roboto" w:eastAsia="Times New Roman" w:hAnsi="Roboto" w:cs="Times New Roman"/>
                <w:color w:val="1F1F1F"/>
                <w:kern w:val="0"/>
                <w14:ligatures w14:val="none"/>
              </w:rPr>
              <w:t>working memory</w:t>
            </w:r>
            <w:r w:rsidRPr="0007366F">
              <w:rPr>
                <w:rFonts w:ascii="Times New Roman" w:eastAsia="Times New Roman" w:hAnsi="Times New Roman" w:cs="Times New Roman"/>
                <w:color w:val="1F1F1F"/>
                <w:kern w:val="0"/>
                <w14:ligatures w14:val="none"/>
              </w:rPr>
              <w:t>. By keeping all critical information in a single field of view, a user can make rapid comparisons and maintain situational awareness, which is the core purpose of a dashboard. </w:t>
            </w:r>
            <w:r w:rsidRPr="0007366F">
              <w:rPr>
                <w:rFonts w:ascii="Roboto" w:eastAsia="Times New Roman" w:hAnsi="Roboto" w:cs="Times New Roman"/>
                <w:color w:val="1F1F1F"/>
                <w:kern w:val="0"/>
                <w14:ligatures w14:val="none"/>
              </w:rPr>
              <w:t>2. Supporting Theory:</w:t>
            </w:r>
            <w:r w:rsidRPr="0007366F">
              <w:rPr>
                <w:rFonts w:ascii="Times New Roman" w:eastAsia="Times New Roman" w:hAnsi="Times New Roman" w:cs="Times New Roman"/>
                <w:color w:val="1F1F1F"/>
                <w:kern w:val="0"/>
                <w14:ligatures w14:val="none"/>
              </w:rPr>
              <w:t> This aligns with theories of </w:t>
            </w:r>
            <w:r w:rsidRPr="0007366F">
              <w:rPr>
                <w:rFonts w:ascii="Roboto" w:eastAsia="Times New Roman" w:hAnsi="Roboto" w:cs="Times New Roman"/>
                <w:color w:val="1F1F1F"/>
                <w:kern w:val="0"/>
                <w14:ligatures w14:val="none"/>
              </w:rPr>
              <w:t>cognitive load</w:t>
            </w:r>
            <w:r w:rsidRPr="0007366F">
              <w:rPr>
                <w:rFonts w:ascii="Times New Roman" w:eastAsia="Times New Roman" w:hAnsi="Times New Roman" w:cs="Times New Roman"/>
                <w:color w:val="1F1F1F"/>
                <w:kern w:val="0"/>
                <w14:ligatures w14:val="none"/>
              </w:rPr>
              <w:t>, which suggest that minimizing extraneous mental effort (like navigating a complex interface) improves the user's ability to process the actual information.</w:t>
            </w:r>
          </w:p>
        </w:tc>
      </w:tr>
      <w:tr w:rsidR="0007366F" w:rsidRPr="0007366F" w14:paraId="68FC9E4D" w14:textId="77777777">
        <w:tc>
          <w:tcPr>
            <w:tcW w:w="0" w:type="auto"/>
            <w:tcBorders>
              <w:bottom w:val="single" w:sz="6" w:space="0" w:color="E1E3E1"/>
            </w:tcBorders>
            <w:tcMar>
              <w:top w:w="120" w:type="dxa"/>
              <w:left w:w="120" w:type="dxa"/>
              <w:bottom w:w="120" w:type="dxa"/>
              <w:right w:w="120" w:type="dxa"/>
            </w:tcMar>
            <w:hideMark/>
          </w:tcPr>
          <w:p w14:paraId="5A557848"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Executives prefer simple, summary-level dashboards.</w:t>
            </w:r>
          </w:p>
        </w:tc>
        <w:tc>
          <w:tcPr>
            <w:tcW w:w="0" w:type="auto"/>
            <w:tcBorders>
              <w:bottom w:val="single" w:sz="6" w:space="0" w:color="E1E3E1"/>
            </w:tcBorders>
            <w:tcMar>
              <w:top w:w="120" w:type="dxa"/>
              <w:left w:w="120" w:type="dxa"/>
              <w:bottom w:w="120" w:type="dxa"/>
              <w:right w:w="120" w:type="dxa"/>
            </w:tcMar>
            <w:hideMark/>
          </w:tcPr>
          <w:p w14:paraId="1BF4370D"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Empirical Evidence (Survey/Qualitative)</w:t>
            </w:r>
          </w:p>
        </w:tc>
        <w:tc>
          <w:tcPr>
            <w:tcW w:w="0" w:type="auto"/>
            <w:tcBorders>
              <w:bottom w:val="single" w:sz="6" w:space="0" w:color="E1E3E1"/>
            </w:tcBorders>
            <w:tcMar>
              <w:top w:w="120" w:type="dxa"/>
              <w:left w:w="120" w:type="dxa"/>
              <w:bottom w:w="120" w:type="dxa"/>
              <w:right w:w="120" w:type="dxa"/>
            </w:tcMar>
            <w:hideMark/>
          </w:tcPr>
          <w:p w14:paraId="02F0BFD9"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1. C-Suite Preferences Study (LBI, 2014):</w:t>
            </w:r>
            <w:r w:rsidRPr="0007366F">
              <w:rPr>
                <w:rFonts w:ascii="Times New Roman" w:eastAsia="Times New Roman" w:hAnsi="Times New Roman" w:cs="Times New Roman"/>
                <w:color w:val="1F1F1F"/>
                <w:kern w:val="0"/>
                <w14:ligatures w14:val="none"/>
              </w:rPr>
              <w:t xml:space="preserve"> A study by the LBI Research Institute surveyed 250 C-level executives and found that their primary </w:t>
            </w:r>
            <w:r w:rsidRPr="0007366F">
              <w:rPr>
                <w:rFonts w:ascii="Times New Roman" w:eastAsia="Times New Roman" w:hAnsi="Times New Roman" w:cs="Times New Roman"/>
                <w:color w:val="1F1F1F"/>
                <w:kern w:val="0"/>
                <w14:ligatures w14:val="none"/>
              </w:rPr>
              <w:lastRenderedPageBreak/>
              <w:t>frustration with BI tools was that they were "too complex" and "too slow." Executives expressed a strong preference for dashboards that were easy to use and provided quick, high-level overviews rather than complex analytical tools. </w:t>
            </w:r>
            <w:r w:rsidRPr="0007366F">
              <w:rPr>
                <w:rFonts w:ascii="Roboto" w:eastAsia="Times New Roman" w:hAnsi="Roboto" w:cs="Times New Roman"/>
                <w:color w:val="1F1F1F"/>
                <w:kern w:val="0"/>
                <w14:ligatures w14:val="none"/>
              </w:rPr>
              <w:t>2. Managerial Usability Studies:</w:t>
            </w:r>
            <w:r w:rsidRPr="0007366F">
              <w:rPr>
                <w:rFonts w:ascii="Times New Roman" w:eastAsia="Times New Roman" w:hAnsi="Times New Roman" w:cs="Times New Roman"/>
                <w:color w:val="1F1F1F"/>
                <w:kern w:val="0"/>
                <w14:ligatures w14:val="none"/>
              </w:rPr>
              <w:t xml:space="preserve"> Research by </w:t>
            </w:r>
            <w:proofErr w:type="spellStart"/>
            <w:r w:rsidRPr="0007366F">
              <w:rPr>
                <w:rFonts w:ascii="Times New Roman" w:eastAsia="Times New Roman" w:hAnsi="Times New Roman" w:cs="Times New Roman"/>
                <w:color w:val="1F1F1F"/>
                <w:kern w:val="0"/>
                <w14:ligatures w14:val="none"/>
              </w:rPr>
              <w:t>Yigitbasioglu</w:t>
            </w:r>
            <w:proofErr w:type="spellEnd"/>
            <w:r w:rsidRPr="0007366F">
              <w:rPr>
                <w:rFonts w:ascii="Times New Roman" w:eastAsia="Times New Roman" w:hAnsi="Times New Roman" w:cs="Times New Roman"/>
                <w:color w:val="1F1F1F"/>
                <w:kern w:val="0"/>
                <w14:ligatures w14:val="none"/>
              </w:rPr>
              <w:t xml:space="preserve"> &amp; </w:t>
            </w:r>
            <w:proofErr w:type="spellStart"/>
            <w:r w:rsidRPr="0007366F">
              <w:rPr>
                <w:rFonts w:ascii="Times New Roman" w:eastAsia="Times New Roman" w:hAnsi="Times New Roman" w:cs="Times New Roman"/>
                <w:color w:val="1F1F1F"/>
                <w:kern w:val="0"/>
                <w14:ligatures w14:val="none"/>
              </w:rPr>
              <w:t>Velcu</w:t>
            </w:r>
            <w:proofErr w:type="spellEnd"/>
            <w:r w:rsidRPr="0007366F">
              <w:rPr>
                <w:rFonts w:ascii="Times New Roman" w:eastAsia="Times New Roman" w:hAnsi="Times New Roman" w:cs="Times New Roman"/>
                <w:color w:val="1F1F1F"/>
                <w:kern w:val="0"/>
                <w14:ligatures w14:val="none"/>
              </w:rPr>
              <w:t xml:space="preserve"> (2012) reviewing the literature on executive information systems found that factors like "ease of use" and "information overload" were consistently cited as critical determinants of dashboard adoption and success among managers.</w:t>
            </w:r>
          </w:p>
        </w:tc>
      </w:tr>
      <w:tr w:rsidR="0007366F" w:rsidRPr="0007366F" w14:paraId="39FE8663" w14:textId="77777777">
        <w:tc>
          <w:tcPr>
            <w:tcW w:w="0" w:type="auto"/>
            <w:tcBorders>
              <w:bottom w:val="single" w:sz="6" w:space="0" w:color="E1E3E1"/>
            </w:tcBorders>
            <w:tcMar>
              <w:top w:w="120" w:type="dxa"/>
              <w:left w:w="120" w:type="dxa"/>
              <w:bottom w:w="120" w:type="dxa"/>
              <w:right w:w="120" w:type="dxa"/>
            </w:tcMar>
            <w:hideMark/>
          </w:tcPr>
          <w:p w14:paraId="3E51F233"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lastRenderedPageBreak/>
              <w:t>Bullet graphs are more effective than gauges/meters.</w:t>
            </w:r>
          </w:p>
        </w:tc>
        <w:tc>
          <w:tcPr>
            <w:tcW w:w="0" w:type="auto"/>
            <w:tcBorders>
              <w:bottom w:val="single" w:sz="6" w:space="0" w:color="E1E3E1"/>
            </w:tcBorders>
            <w:tcMar>
              <w:top w:w="120" w:type="dxa"/>
              <w:left w:w="120" w:type="dxa"/>
              <w:bottom w:w="120" w:type="dxa"/>
              <w:right w:w="120" w:type="dxa"/>
            </w:tcMar>
            <w:hideMark/>
          </w:tcPr>
          <w:p w14:paraId="68C57387"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Theoretical Reasoning &amp; Professional Consensus</w:t>
            </w:r>
          </w:p>
        </w:tc>
        <w:tc>
          <w:tcPr>
            <w:tcW w:w="0" w:type="auto"/>
            <w:tcBorders>
              <w:bottom w:val="single" w:sz="6" w:space="0" w:color="E1E3E1"/>
            </w:tcBorders>
            <w:tcMar>
              <w:top w:w="120" w:type="dxa"/>
              <w:left w:w="120" w:type="dxa"/>
              <w:bottom w:w="120" w:type="dxa"/>
              <w:right w:w="120" w:type="dxa"/>
            </w:tcMar>
            <w:hideMark/>
          </w:tcPr>
          <w:p w14:paraId="79EDFC8C"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1. Perceptual Principles:</w:t>
            </w:r>
            <w:r w:rsidRPr="0007366F">
              <w:rPr>
                <w:rFonts w:ascii="Times New Roman" w:eastAsia="Times New Roman" w:hAnsi="Times New Roman" w:cs="Times New Roman"/>
                <w:color w:val="1F1F1F"/>
                <w:kern w:val="0"/>
                <w14:ligatures w14:val="none"/>
              </w:rPr>
              <w:t> Stephen Few designed the bullet graph based on principles of </w:t>
            </w:r>
            <w:r w:rsidRPr="0007366F">
              <w:rPr>
                <w:rFonts w:ascii="Roboto" w:eastAsia="Times New Roman" w:hAnsi="Roboto" w:cs="Times New Roman"/>
                <w:color w:val="1F1F1F"/>
                <w:kern w:val="0"/>
                <w14:ligatures w14:val="none"/>
              </w:rPr>
              <w:t>graphical perception</w:t>
            </w:r>
            <w:r w:rsidRPr="0007366F">
              <w:rPr>
                <w:rFonts w:ascii="Times New Roman" w:eastAsia="Times New Roman" w:hAnsi="Times New Roman" w:cs="Times New Roman"/>
                <w:color w:val="1F1F1F"/>
                <w:kern w:val="0"/>
                <w14:ligatures w14:val="none"/>
              </w:rPr>
              <w:t>. Unlike gauges, which use less accurate angle judgments, bullet graphs use </w:t>
            </w:r>
            <w:r w:rsidRPr="0007366F">
              <w:rPr>
                <w:rFonts w:ascii="Roboto" w:eastAsia="Times New Roman" w:hAnsi="Roboto" w:cs="Times New Roman"/>
                <w:color w:val="1F1F1F"/>
                <w:kern w:val="0"/>
                <w14:ligatures w14:val="none"/>
              </w:rPr>
              <w:t>length and position on a common scale</w:t>
            </w:r>
            <w:r w:rsidRPr="0007366F">
              <w:rPr>
                <w:rFonts w:ascii="Times New Roman" w:eastAsia="Times New Roman" w:hAnsi="Times New Roman" w:cs="Times New Roman"/>
                <w:color w:val="1F1F1F"/>
                <w:kern w:val="0"/>
                <w14:ligatures w14:val="none"/>
              </w:rPr>
              <w:t> (higher on the Cleveland &amp; McGill hierarchy) for comparison. </w:t>
            </w:r>
            <w:r w:rsidRPr="0007366F">
              <w:rPr>
                <w:rFonts w:ascii="Roboto" w:eastAsia="Times New Roman" w:hAnsi="Roboto" w:cs="Times New Roman"/>
                <w:color w:val="1F1F1F"/>
                <w:kern w:val="0"/>
                <w14:ligatures w14:val="none"/>
              </w:rPr>
              <w:t>2. Information Density:</w:t>
            </w:r>
            <w:r w:rsidRPr="0007366F">
              <w:rPr>
                <w:rFonts w:ascii="Times New Roman" w:eastAsia="Times New Roman" w:hAnsi="Times New Roman" w:cs="Times New Roman"/>
                <w:color w:val="1F1F1F"/>
                <w:kern w:val="0"/>
                <w14:ligatures w14:val="none"/>
              </w:rPr>
              <w:t xml:space="preserve"> The design is objectively more </w:t>
            </w:r>
            <w:proofErr w:type="gramStart"/>
            <w:r w:rsidRPr="0007366F">
              <w:rPr>
                <w:rFonts w:ascii="Times New Roman" w:eastAsia="Times New Roman" w:hAnsi="Times New Roman" w:cs="Times New Roman"/>
                <w:color w:val="1F1F1F"/>
                <w:kern w:val="0"/>
                <w14:ligatures w14:val="none"/>
              </w:rPr>
              <w:t>information-dense</w:t>
            </w:r>
            <w:proofErr w:type="gramEnd"/>
            <w:r w:rsidRPr="0007366F">
              <w:rPr>
                <w:rFonts w:ascii="Times New Roman" w:eastAsia="Times New Roman" w:hAnsi="Times New Roman" w:cs="Times New Roman"/>
                <w:color w:val="1F1F1F"/>
                <w:kern w:val="0"/>
                <w14:ligatures w14:val="none"/>
              </w:rPr>
              <w:t>. A bullet graph encodes a primary measure, a target, and qualitative ranges in a compact, linear format, whereas a gauge typically shows only a single measure in a much larger space. </w:t>
            </w:r>
            <w:r w:rsidRPr="0007366F">
              <w:rPr>
                <w:rFonts w:ascii="Roboto" w:eastAsia="Times New Roman" w:hAnsi="Roboto" w:cs="Times New Roman"/>
                <w:color w:val="1F1F1F"/>
                <w:kern w:val="0"/>
                <w14:ligatures w14:val="none"/>
              </w:rPr>
              <w:t>3. Expert Consensus:</w:t>
            </w:r>
            <w:r w:rsidRPr="0007366F">
              <w:rPr>
                <w:rFonts w:ascii="Times New Roman" w:eastAsia="Times New Roman" w:hAnsi="Times New Roman" w:cs="Times New Roman"/>
                <w:color w:val="1F1F1F"/>
                <w:kern w:val="0"/>
                <w14:ligatures w14:val="none"/>
              </w:rPr>
              <w:t> There is a strong consensus among data visualization experts (e.g., Alberto Cairo, Cole Nussbaumer Knaflic) that bullet graphs are a superior choice for displaying KPI performance due to their clarity and efficiency.</w:t>
            </w:r>
          </w:p>
        </w:tc>
      </w:tr>
      <w:tr w:rsidR="0007366F" w:rsidRPr="0007366F" w14:paraId="166ED0AA" w14:textId="77777777">
        <w:tc>
          <w:tcPr>
            <w:tcW w:w="0" w:type="auto"/>
            <w:tcBorders>
              <w:bottom w:val="nil"/>
            </w:tcBorders>
            <w:tcMar>
              <w:top w:w="120" w:type="dxa"/>
              <w:left w:w="120" w:type="dxa"/>
              <w:bottom w:w="120" w:type="dxa"/>
              <w:right w:w="120" w:type="dxa"/>
            </w:tcMar>
            <w:hideMark/>
          </w:tcPr>
          <w:p w14:paraId="747663CC"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 xml:space="preserve">Sparklines effectively show </w:t>
            </w:r>
            <w:proofErr w:type="gramStart"/>
            <w:r w:rsidRPr="0007366F">
              <w:rPr>
                <w:rFonts w:ascii="Roboto" w:eastAsia="Times New Roman" w:hAnsi="Roboto" w:cs="Times New Roman"/>
                <w:color w:val="1F1F1F"/>
                <w:kern w:val="0"/>
                <w14:ligatures w14:val="none"/>
              </w:rPr>
              <w:t>trend</w:t>
            </w:r>
            <w:proofErr w:type="gramEnd"/>
            <w:r w:rsidRPr="0007366F">
              <w:rPr>
                <w:rFonts w:ascii="Roboto" w:eastAsia="Times New Roman" w:hAnsi="Roboto" w:cs="Times New Roman"/>
                <w:color w:val="1F1F1F"/>
                <w:kern w:val="0"/>
                <w14:ligatures w14:val="none"/>
              </w:rPr>
              <w:t xml:space="preserve"> context.</w:t>
            </w:r>
          </w:p>
        </w:tc>
        <w:tc>
          <w:tcPr>
            <w:tcW w:w="0" w:type="auto"/>
            <w:tcBorders>
              <w:bottom w:val="nil"/>
            </w:tcBorders>
            <w:tcMar>
              <w:top w:w="120" w:type="dxa"/>
              <w:left w:w="120" w:type="dxa"/>
              <w:bottom w:w="120" w:type="dxa"/>
              <w:right w:w="120" w:type="dxa"/>
            </w:tcMar>
            <w:hideMark/>
          </w:tcPr>
          <w:p w14:paraId="7CDF6F29"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Theoretical Reasoning &amp; Professional Consensus</w:t>
            </w:r>
          </w:p>
        </w:tc>
        <w:tc>
          <w:tcPr>
            <w:tcW w:w="0" w:type="auto"/>
            <w:tcBorders>
              <w:bottom w:val="nil"/>
            </w:tcBorders>
            <w:tcMar>
              <w:top w:w="120" w:type="dxa"/>
              <w:left w:w="120" w:type="dxa"/>
              <w:bottom w:w="120" w:type="dxa"/>
              <w:right w:w="120" w:type="dxa"/>
            </w:tcMar>
            <w:hideMark/>
          </w:tcPr>
          <w:p w14:paraId="22B86105"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1. Tufte's Rationale:</w:t>
            </w:r>
            <w:r w:rsidRPr="0007366F">
              <w:rPr>
                <w:rFonts w:ascii="Times New Roman" w:eastAsia="Times New Roman" w:hAnsi="Times New Roman" w:cs="Times New Roman"/>
                <w:color w:val="1F1F1F"/>
                <w:kern w:val="0"/>
                <w14:ligatures w14:val="none"/>
              </w:rPr>
              <w:t> Edward Tufte, who popularized sparklines, described them as "data-intense, design-simple, word-sized graphics." Their effectiveness is based on the idea that they provide immediate, high-bandwidth trend information without cluttering a display. </w:t>
            </w:r>
            <w:r w:rsidRPr="0007366F">
              <w:rPr>
                <w:rFonts w:ascii="Roboto" w:eastAsia="Times New Roman" w:hAnsi="Roboto" w:cs="Times New Roman"/>
                <w:color w:val="1F1F1F"/>
                <w:kern w:val="0"/>
                <w14:ligatures w14:val="none"/>
              </w:rPr>
              <w:t>2. Perceptual Principles:</w:t>
            </w:r>
            <w:r w:rsidRPr="0007366F">
              <w:rPr>
                <w:rFonts w:ascii="Times New Roman" w:eastAsia="Times New Roman" w:hAnsi="Times New Roman" w:cs="Times New Roman"/>
                <w:color w:val="1F1F1F"/>
                <w:kern w:val="0"/>
                <w14:ligatures w14:val="none"/>
              </w:rPr>
              <w:t xml:space="preserve"> Sparklines leverage the human ability to rapidly perceive the shape and direction of a line to understand trends and volatility. They provide crucial context (e.g., "Is this number trending up or down?") to a single metric in a highly space-efficient manner. While direct A/B tests are scarce, their design is </w:t>
            </w:r>
            <w:r w:rsidRPr="0007366F">
              <w:rPr>
                <w:rFonts w:ascii="Times New Roman" w:eastAsia="Times New Roman" w:hAnsi="Times New Roman" w:cs="Times New Roman"/>
                <w:color w:val="1F1F1F"/>
                <w:kern w:val="0"/>
                <w14:ligatures w14:val="none"/>
              </w:rPr>
              <w:lastRenderedPageBreak/>
              <w:t>consistent with principles of maximizing the data-ink ratio.</w:t>
            </w:r>
          </w:p>
        </w:tc>
      </w:tr>
    </w:tbl>
    <w:p w14:paraId="3447C70D" w14:textId="77777777" w:rsidR="0007366F" w:rsidRPr="0007366F" w:rsidRDefault="0007366F" w:rsidP="0007366F">
      <w:pPr>
        <w:spacing w:after="0" w:line="240" w:lineRule="auto"/>
        <w:rPr>
          <w:rFonts w:ascii="Times New Roman" w:eastAsia="Times New Roman" w:hAnsi="Times New Roman" w:cs="Times New Roman"/>
          <w:kern w:val="0"/>
          <w14:ligatures w14:val="none"/>
        </w:rPr>
      </w:pPr>
      <w:r w:rsidRPr="0007366F">
        <w:rPr>
          <w:rFonts w:ascii="Times New Roman" w:eastAsia="Times New Roman" w:hAnsi="Times New Roman" w:cs="Times New Roman"/>
          <w:kern w:val="0"/>
          <w14:ligatures w14:val="none"/>
        </w:rPr>
        <w:lastRenderedPageBreak/>
        <w:t> </w:t>
      </w:r>
    </w:p>
    <w:p w14:paraId="40AC0787" w14:textId="77777777" w:rsidR="0007366F" w:rsidRPr="0007366F" w:rsidRDefault="0007366F" w:rsidP="0007366F">
      <w:pPr>
        <w:spacing w:after="0" w:line="240" w:lineRule="auto"/>
        <w:rPr>
          <w:rFonts w:ascii="Roboto" w:eastAsia="Times New Roman" w:hAnsi="Roboto" w:cs="Times New Roman"/>
          <w:kern w:val="0"/>
          <w14:ligatures w14:val="none"/>
        </w:rPr>
      </w:pPr>
      <w:r w:rsidRPr="0007366F">
        <w:rPr>
          <w:rFonts w:ascii="Times New Roman" w:eastAsia="Times New Roman" w:hAnsi="Times New Roman" w:cs="Times New Roman"/>
          <w:kern w:val="0"/>
          <w14:ligatures w14:val="none"/>
        </w:rPr>
        <w:pict w14:anchorId="2C9AAC06">
          <v:rect id="_x0000_i1255" style="width:0;height:1.5pt" o:hralign="center" o:hrstd="t" o:hr="t" fillcolor="#a0a0a0" stroked="f"/>
        </w:pict>
      </w:r>
    </w:p>
    <w:p w14:paraId="22A99CAA" w14:textId="77777777" w:rsidR="0007366F" w:rsidRPr="0007366F" w:rsidRDefault="0007366F" w:rsidP="0007366F">
      <w:pPr>
        <w:shd w:val="clear" w:color="auto" w:fill="F8FAFD"/>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07366F">
        <w:rPr>
          <w:rFonts w:ascii="Roboto" w:eastAsia="Times New Roman" w:hAnsi="Roboto" w:cs="Times New Roman"/>
          <w:color w:val="1F1F1F"/>
          <w:kern w:val="0"/>
          <w14:ligatures w14:val="none"/>
        </w:rPr>
        <w:t>2. Narrative Techniques</w:t>
      </w:r>
    </w:p>
    <w:tbl>
      <w:tblPr>
        <w:tblW w:w="10020" w:type="dxa"/>
        <w:tblCellMar>
          <w:top w:w="15" w:type="dxa"/>
          <w:left w:w="15" w:type="dxa"/>
          <w:bottom w:w="15" w:type="dxa"/>
          <w:right w:w="15" w:type="dxa"/>
        </w:tblCellMar>
        <w:tblLook w:val="04A0" w:firstRow="1" w:lastRow="0" w:firstColumn="1" w:lastColumn="0" w:noHBand="0" w:noVBand="1"/>
      </w:tblPr>
      <w:tblGrid>
        <w:gridCol w:w="2425"/>
        <w:gridCol w:w="1964"/>
        <w:gridCol w:w="5631"/>
      </w:tblGrid>
      <w:tr w:rsidR="0007366F" w:rsidRPr="0007366F" w14:paraId="2C5F976A" w14:textId="77777777">
        <w:tc>
          <w:tcPr>
            <w:tcW w:w="0" w:type="auto"/>
            <w:tcBorders>
              <w:bottom w:val="single" w:sz="6" w:space="0" w:color="E1E3E1"/>
            </w:tcBorders>
            <w:tcMar>
              <w:top w:w="120" w:type="dxa"/>
              <w:left w:w="120" w:type="dxa"/>
              <w:bottom w:w="120" w:type="dxa"/>
              <w:right w:w="120" w:type="dxa"/>
            </w:tcMar>
            <w:hideMark/>
          </w:tcPr>
          <w:p w14:paraId="5FEBD855"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Recommendation</w:t>
            </w:r>
          </w:p>
        </w:tc>
        <w:tc>
          <w:tcPr>
            <w:tcW w:w="0" w:type="auto"/>
            <w:tcBorders>
              <w:bottom w:val="single" w:sz="6" w:space="0" w:color="E1E3E1"/>
            </w:tcBorders>
            <w:tcMar>
              <w:top w:w="120" w:type="dxa"/>
              <w:left w:w="120" w:type="dxa"/>
              <w:bottom w:w="120" w:type="dxa"/>
              <w:right w:w="120" w:type="dxa"/>
            </w:tcMar>
            <w:hideMark/>
          </w:tcPr>
          <w:p w14:paraId="75D72605"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Evidence Type</w:t>
            </w:r>
          </w:p>
        </w:tc>
        <w:tc>
          <w:tcPr>
            <w:tcW w:w="0" w:type="auto"/>
            <w:tcBorders>
              <w:bottom w:val="single" w:sz="6" w:space="0" w:color="E1E3E1"/>
            </w:tcBorders>
            <w:tcMar>
              <w:top w:w="120" w:type="dxa"/>
              <w:left w:w="120" w:type="dxa"/>
              <w:bottom w:w="120" w:type="dxa"/>
              <w:right w:w="120" w:type="dxa"/>
            </w:tcMar>
            <w:hideMark/>
          </w:tcPr>
          <w:p w14:paraId="59DA724B"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Supporting Arguments &amp; Evidence</w:t>
            </w:r>
          </w:p>
        </w:tc>
      </w:tr>
      <w:tr w:rsidR="0007366F" w:rsidRPr="0007366F" w14:paraId="3C373F9F" w14:textId="77777777">
        <w:tc>
          <w:tcPr>
            <w:tcW w:w="0" w:type="auto"/>
            <w:tcBorders>
              <w:bottom w:val="single" w:sz="6" w:space="0" w:color="E1E3E1"/>
            </w:tcBorders>
            <w:tcMar>
              <w:top w:w="120" w:type="dxa"/>
              <w:left w:w="120" w:type="dxa"/>
              <w:bottom w:w="120" w:type="dxa"/>
              <w:right w:w="120" w:type="dxa"/>
            </w:tcMar>
            <w:hideMark/>
          </w:tcPr>
          <w:p w14:paraId="6A40941F"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Frame the presentation around a "Big Idea."</w:t>
            </w:r>
          </w:p>
        </w:tc>
        <w:tc>
          <w:tcPr>
            <w:tcW w:w="0" w:type="auto"/>
            <w:tcBorders>
              <w:bottom w:val="single" w:sz="6" w:space="0" w:color="E1E3E1"/>
            </w:tcBorders>
            <w:tcMar>
              <w:top w:w="120" w:type="dxa"/>
              <w:left w:w="120" w:type="dxa"/>
              <w:bottom w:w="120" w:type="dxa"/>
              <w:right w:w="120" w:type="dxa"/>
            </w:tcMar>
            <w:hideMark/>
          </w:tcPr>
          <w:p w14:paraId="4A7F6891"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Theoretical Reasoning &amp; Professional Consensus</w:t>
            </w:r>
          </w:p>
        </w:tc>
        <w:tc>
          <w:tcPr>
            <w:tcW w:w="0" w:type="auto"/>
            <w:tcBorders>
              <w:bottom w:val="single" w:sz="6" w:space="0" w:color="E1E3E1"/>
            </w:tcBorders>
            <w:tcMar>
              <w:top w:w="120" w:type="dxa"/>
              <w:left w:w="120" w:type="dxa"/>
              <w:bottom w:w="120" w:type="dxa"/>
              <w:right w:w="120" w:type="dxa"/>
            </w:tcMar>
            <w:hideMark/>
          </w:tcPr>
          <w:p w14:paraId="14DB4D75"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 xml:space="preserve">1. </w:t>
            </w:r>
            <w:proofErr w:type="spellStart"/>
            <w:r w:rsidRPr="0007366F">
              <w:rPr>
                <w:rFonts w:ascii="Roboto" w:eastAsia="Times New Roman" w:hAnsi="Roboto" w:cs="Times New Roman"/>
                <w:color w:val="1F1F1F"/>
                <w:kern w:val="0"/>
                <w14:ligatures w14:val="none"/>
              </w:rPr>
              <w:t>Knaflic's</w:t>
            </w:r>
            <w:proofErr w:type="spellEnd"/>
            <w:r w:rsidRPr="0007366F">
              <w:rPr>
                <w:rFonts w:ascii="Roboto" w:eastAsia="Times New Roman" w:hAnsi="Roboto" w:cs="Times New Roman"/>
                <w:color w:val="1F1F1F"/>
                <w:kern w:val="0"/>
                <w14:ligatures w14:val="none"/>
              </w:rPr>
              <w:t xml:space="preserve"> Methodology:</w:t>
            </w:r>
            <w:r w:rsidRPr="0007366F">
              <w:rPr>
                <w:rFonts w:ascii="Times New Roman" w:eastAsia="Times New Roman" w:hAnsi="Times New Roman" w:cs="Times New Roman"/>
                <w:color w:val="1F1F1F"/>
                <w:kern w:val="0"/>
                <w14:ligatures w14:val="none"/>
              </w:rPr>
              <w:t> Cole Nussbaumer Knaflic's "Big Idea" is a communication heuristic, not a concept derived from a specific empirical study. It is based on established principles of </w:t>
            </w:r>
            <w:r w:rsidRPr="0007366F">
              <w:rPr>
                <w:rFonts w:ascii="Roboto" w:eastAsia="Times New Roman" w:hAnsi="Roboto" w:cs="Times New Roman"/>
                <w:color w:val="1F1F1F"/>
                <w:kern w:val="0"/>
                <w14:ligatures w14:val="none"/>
              </w:rPr>
              <w:t>rhetoric and communication theory</w:t>
            </w:r>
            <w:r w:rsidRPr="0007366F">
              <w:rPr>
                <w:rFonts w:ascii="Times New Roman" w:eastAsia="Times New Roman" w:hAnsi="Times New Roman" w:cs="Times New Roman"/>
                <w:color w:val="1F1F1F"/>
                <w:kern w:val="0"/>
                <w14:ligatures w14:val="none"/>
              </w:rPr>
              <w:t>, which emphasize the importance of having a clear, upfront thesis statement to guide an audience. </w:t>
            </w:r>
            <w:r w:rsidRPr="0007366F">
              <w:rPr>
                <w:rFonts w:ascii="Roboto" w:eastAsia="Times New Roman" w:hAnsi="Roboto" w:cs="Times New Roman"/>
                <w:color w:val="1F1F1F"/>
                <w:kern w:val="0"/>
                <w14:ligatures w14:val="none"/>
              </w:rPr>
              <w:t>2. Analogy to Cognitive Science:</w:t>
            </w:r>
            <w:r w:rsidRPr="0007366F">
              <w:rPr>
                <w:rFonts w:ascii="Times New Roman" w:eastAsia="Times New Roman" w:hAnsi="Times New Roman" w:cs="Times New Roman"/>
                <w:color w:val="1F1F1F"/>
                <w:kern w:val="0"/>
                <w14:ligatures w14:val="none"/>
              </w:rPr>
              <w:t> This approach is analogous to the "topic sentence" in writing. Research in cognitive psychology has shown that providing a clear organizing theme or schema upfront improves reading comprehension and memory recall. The "Big Idea" serves as this organizing schema for a data story.</w:t>
            </w:r>
          </w:p>
        </w:tc>
      </w:tr>
      <w:tr w:rsidR="0007366F" w:rsidRPr="0007366F" w14:paraId="51CF032A" w14:textId="77777777">
        <w:tc>
          <w:tcPr>
            <w:tcW w:w="0" w:type="auto"/>
            <w:tcBorders>
              <w:bottom w:val="single" w:sz="6" w:space="0" w:color="E1E3E1"/>
            </w:tcBorders>
            <w:tcMar>
              <w:top w:w="120" w:type="dxa"/>
              <w:left w:w="120" w:type="dxa"/>
              <w:bottom w:w="120" w:type="dxa"/>
              <w:right w:w="120" w:type="dxa"/>
            </w:tcMar>
            <w:hideMark/>
          </w:tcPr>
          <w:p w14:paraId="2E90807E"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Data storytelling is more effective than presenting charts alone.</w:t>
            </w:r>
          </w:p>
        </w:tc>
        <w:tc>
          <w:tcPr>
            <w:tcW w:w="0" w:type="auto"/>
            <w:tcBorders>
              <w:bottom w:val="single" w:sz="6" w:space="0" w:color="E1E3E1"/>
            </w:tcBorders>
            <w:tcMar>
              <w:top w:w="120" w:type="dxa"/>
              <w:left w:w="120" w:type="dxa"/>
              <w:bottom w:w="120" w:type="dxa"/>
              <w:right w:w="120" w:type="dxa"/>
            </w:tcMar>
            <w:hideMark/>
          </w:tcPr>
          <w:p w14:paraId="789E316B"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Empirical Evidence</w:t>
            </w:r>
          </w:p>
        </w:tc>
        <w:tc>
          <w:tcPr>
            <w:tcW w:w="0" w:type="auto"/>
            <w:tcBorders>
              <w:bottom w:val="single" w:sz="6" w:space="0" w:color="E1E3E1"/>
            </w:tcBorders>
            <w:tcMar>
              <w:top w:w="120" w:type="dxa"/>
              <w:left w:w="120" w:type="dxa"/>
              <w:bottom w:w="120" w:type="dxa"/>
              <w:right w:w="120" w:type="dxa"/>
            </w:tcMar>
            <w:hideMark/>
          </w:tcPr>
          <w:p w14:paraId="67DAD94B"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1. Narrative Structure &amp; Recall (Kosara &amp; Mackinlay, 2013):</w:t>
            </w:r>
            <w:r w:rsidRPr="0007366F">
              <w:rPr>
                <w:rFonts w:ascii="Times New Roman" w:eastAsia="Times New Roman" w:hAnsi="Times New Roman" w:cs="Times New Roman"/>
                <w:color w:val="1F1F1F"/>
                <w:kern w:val="0"/>
                <w14:ligatures w14:val="none"/>
              </w:rPr>
              <w:t> In their paper "Storytelling: The Next Step for Visualization," the authors argue that adding narrative structure and storytelling elements to visualizations makes them more engaging and memorable. </w:t>
            </w:r>
            <w:r w:rsidRPr="0007366F">
              <w:rPr>
                <w:rFonts w:ascii="Roboto" w:eastAsia="Times New Roman" w:hAnsi="Roboto" w:cs="Times New Roman"/>
                <w:color w:val="1F1F1F"/>
                <w:kern w:val="0"/>
                <w14:ligatures w14:val="none"/>
              </w:rPr>
              <w:t>2. Persuasion and Empathy (Zubeida et al., 2021):</w:t>
            </w:r>
            <w:r w:rsidRPr="0007366F">
              <w:rPr>
                <w:rFonts w:ascii="Times New Roman" w:eastAsia="Times New Roman" w:hAnsi="Times New Roman" w:cs="Times New Roman"/>
                <w:color w:val="1F1F1F"/>
                <w:kern w:val="0"/>
                <w14:ligatures w14:val="none"/>
              </w:rPr>
              <w:t> A study published in </w:t>
            </w:r>
            <w:r w:rsidRPr="0007366F">
              <w:rPr>
                <w:rFonts w:ascii="Times New Roman" w:eastAsia="Times New Roman" w:hAnsi="Times New Roman" w:cs="Times New Roman"/>
                <w:i/>
                <w:iCs/>
                <w:color w:val="1F1F1F"/>
                <w:kern w:val="0"/>
                <w14:ligatures w14:val="none"/>
              </w:rPr>
              <w:t>Frontiers in Psychology</w:t>
            </w:r>
            <w:r w:rsidRPr="0007366F">
              <w:rPr>
                <w:rFonts w:ascii="Times New Roman" w:eastAsia="Times New Roman" w:hAnsi="Times New Roman" w:cs="Times New Roman"/>
                <w:color w:val="1F1F1F"/>
                <w:kern w:val="0"/>
                <w14:ligatures w14:val="none"/>
              </w:rPr>
              <w:t> found that data stories that combined charts with narrative and anecdotal evidence were more persuasive and elicited greater empathy than charts presented alone. </w:t>
            </w:r>
            <w:r w:rsidRPr="0007366F">
              <w:rPr>
                <w:rFonts w:ascii="Roboto" w:eastAsia="Times New Roman" w:hAnsi="Roboto" w:cs="Times New Roman"/>
                <w:color w:val="1F1F1F"/>
                <w:kern w:val="0"/>
                <w14:ligatures w14:val="none"/>
              </w:rPr>
              <w:t>3. Comprehension and Engagement (Lee et al., 2015):</w:t>
            </w:r>
            <w:r w:rsidRPr="0007366F">
              <w:rPr>
                <w:rFonts w:ascii="Times New Roman" w:eastAsia="Times New Roman" w:hAnsi="Times New Roman" w:cs="Times New Roman"/>
                <w:color w:val="1F1F1F"/>
                <w:kern w:val="0"/>
                <w14:ligatures w14:val="none"/>
              </w:rPr>
              <w:t xml:space="preserve"> This study on "More Than Telling a Story: A Closer Look at the Process of Transforming Data into </w:t>
            </w:r>
            <w:proofErr w:type="gramStart"/>
            <w:r w:rsidRPr="0007366F">
              <w:rPr>
                <w:rFonts w:ascii="Times New Roman" w:eastAsia="Times New Roman" w:hAnsi="Times New Roman" w:cs="Times New Roman"/>
                <w:color w:val="1F1F1F"/>
                <w:kern w:val="0"/>
                <w14:ligatures w14:val="none"/>
              </w:rPr>
              <w:t>Visually-Shared</w:t>
            </w:r>
            <w:proofErr w:type="gramEnd"/>
            <w:r w:rsidRPr="0007366F">
              <w:rPr>
                <w:rFonts w:ascii="Times New Roman" w:eastAsia="Times New Roman" w:hAnsi="Times New Roman" w:cs="Times New Roman"/>
                <w:color w:val="1F1F1F"/>
                <w:kern w:val="0"/>
                <w14:ligatures w14:val="none"/>
              </w:rPr>
              <w:t xml:space="preserve"> Stories" found that the process of story-crafting itself helped analysts find deeper meaning in their data. The resulting narrative visualizations were more effective at engaging an audience.</w:t>
            </w:r>
          </w:p>
        </w:tc>
      </w:tr>
      <w:tr w:rsidR="0007366F" w:rsidRPr="0007366F" w14:paraId="4283044F" w14:textId="77777777">
        <w:tc>
          <w:tcPr>
            <w:tcW w:w="0" w:type="auto"/>
            <w:tcBorders>
              <w:bottom w:val="nil"/>
            </w:tcBorders>
            <w:tcMar>
              <w:top w:w="120" w:type="dxa"/>
              <w:left w:w="120" w:type="dxa"/>
              <w:bottom w:w="120" w:type="dxa"/>
              <w:right w:w="120" w:type="dxa"/>
            </w:tcMar>
            <w:hideMark/>
          </w:tcPr>
          <w:p w14:paraId="0DB931D6"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lastRenderedPageBreak/>
              <w:t>Use "active" titles that state the main takeaway.</w:t>
            </w:r>
          </w:p>
        </w:tc>
        <w:tc>
          <w:tcPr>
            <w:tcW w:w="0" w:type="auto"/>
            <w:tcBorders>
              <w:bottom w:val="nil"/>
            </w:tcBorders>
            <w:tcMar>
              <w:top w:w="120" w:type="dxa"/>
              <w:left w:w="120" w:type="dxa"/>
              <w:bottom w:w="120" w:type="dxa"/>
              <w:right w:w="120" w:type="dxa"/>
            </w:tcMar>
            <w:hideMark/>
          </w:tcPr>
          <w:p w14:paraId="14B98E79"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Empirical Evidence</w:t>
            </w:r>
          </w:p>
        </w:tc>
        <w:tc>
          <w:tcPr>
            <w:tcW w:w="0" w:type="auto"/>
            <w:tcBorders>
              <w:bottom w:val="nil"/>
            </w:tcBorders>
            <w:tcMar>
              <w:top w:w="120" w:type="dxa"/>
              <w:left w:w="120" w:type="dxa"/>
              <w:bottom w:w="120" w:type="dxa"/>
              <w:right w:w="120" w:type="dxa"/>
            </w:tcMar>
            <w:hideMark/>
          </w:tcPr>
          <w:p w14:paraId="2D9B867C"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1. Kong et al. (2019):</w:t>
            </w:r>
            <w:r w:rsidRPr="0007366F">
              <w:rPr>
                <w:rFonts w:ascii="Times New Roman" w:eastAsia="Times New Roman" w:hAnsi="Times New Roman" w:cs="Times New Roman"/>
                <w:color w:val="1F1F1F"/>
                <w:kern w:val="0"/>
                <w14:ligatures w14:val="none"/>
              </w:rPr>
              <w:t> This study, "An Empirical Investigation of the Effects of Chart Titles with Different Levels of Message," directly tested this question. </w:t>
            </w:r>
            <w:r w:rsidRPr="0007366F">
              <w:rPr>
                <w:rFonts w:ascii="Roboto" w:eastAsia="Times New Roman" w:hAnsi="Roboto" w:cs="Times New Roman"/>
                <w:color w:val="1F1F1F"/>
                <w:kern w:val="0"/>
                <w14:ligatures w14:val="none"/>
              </w:rPr>
              <w:t>Findings:</w:t>
            </w:r>
            <w:r w:rsidRPr="0007366F">
              <w:rPr>
                <w:rFonts w:ascii="Times New Roman" w:eastAsia="Times New Roman" w:hAnsi="Times New Roman" w:cs="Times New Roman"/>
                <w:color w:val="1F1F1F"/>
                <w:kern w:val="0"/>
                <w14:ligatures w14:val="none"/>
              </w:rPr>
              <w:t> Charts with "message-bearing" (active) titles led to </w:t>
            </w:r>
            <w:r w:rsidRPr="0007366F">
              <w:rPr>
                <w:rFonts w:ascii="Roboto" w:eastAsia="Times New Roman" w:hAnsi="Roboto" w:cs="Times New Roman"/>
                <w:color w:val="1F1F1F"/>
                <w:kern w:val="0"/>
                <w14:ligatures w14:val="none"/>
              </w:rPr>
              <w:t>faster and more accurate interpretation</w:t>
            </w:r>
            <w:r w:rsidRPr="0007366F">
              <w:rPr>
                <w:rFonts w:ascii="Times New Roman" w:eastAsia="Times New Roman" w:hAnsi="Times New Roman" w:cs="Times New Roman"/>
                <w:color w:val="1F1F1F"/>
                <w:kern w:val="0"/>
                <w14:ligatures w14:val="none"/>
              </w:rPr>
              <w:t> of the chart's main takeaway compared to charts with simple, descriptive titles. The active title acts as a "cognitive shortcut," priming the viewer to see the intended insight. </w:t>
            </w:r>
            <w:r w:rsidRPr="0007366F">
              <w:rPr>
                <w:rFonts w:ascii="Roboto" w:eastAsia="Times New Roman" w:hAnsi="Roboto" w:cs="Times New Roman"/>
                <w:color w:val="1F1F1F"/>
                <w:kern w:val="0"/>
                <w14:ligatures w14:val="none"/>
              </w:rPr>
              <w:t>2. Professional Consensus:</w:t>
            </w:r>
            <w:r w:rsidRPr="0007366F">
              <w:rPr>
                <w:rFonts w:ascii="Times New Roman" w:eastAsia="Times New Roman" w:hAnsi="Times New Roman" w:cs="Times New Roman"/>
                <w:color w:val="1F1F1F"/>
                <w:kern w:val="0"/>
                <w14:ligatures w14:val="none"/>
              </w:rPr>
              <w:t xml:space="preserve"> This practice is widely recommended by experts like </w:t>
            </w:r>
            <w:proofErr w:type="spellStart"/>
            <w:r w:rsidRPr="0007366F">
              <w:rPr>
                <w:rFonts w:ascii="Times New Roman" w:eastAsia="Times New Roman" w:hAnsi="Times New Roman" w:cs="Times New Roman"/>
                <w:color w:val="1F1F1F"/>
                <w:kern w:val="0"/>
                <w14:ligatures w14:val="none"/>
              </w:rPr>
              <w:t>Knaflic</w:t>
            </w:r>
            <w:proofErr w:type="spellEnd"/>
            <w:r w:rsidRPr="0007366F">
              <w:rPr>
                <w:rFonts w:ascii="Times New Roman" w:eastAsia="Times New Roman" w:hAnsi="Times New Roman" w:cs="Times New Roman"/>
                <w:color w:val="1F1F1F"/>
                <w:kern w:val="0"/>
                <w14:ligatures w14:val="none"/>
              </w:rPr>
              <w:t xml:space="preserve"> and Cairo because it aligns with the goal of efficient communication, especially for time-constrained audiences like executives.</w:t>
            </w:r>
          </w:p>
        </w:tc>
      </w:tr>
    </w:tbl>
    <w:p w14:paraId="37492C8E" w14:textId="77777777" w:rsidR="0007366F" w:rsidRPr="0007366F" w:rsidRDefault="0007366F" w:rsidP="0007366F">
      <w:pPr>
        <w:spacing w:after="0" w:line="240" w:lineRule="auto"/>
        <w:rPr>
          <w:rFonts w:ascii="Times New Roman" w:eastAsia="Times New Roman" w:hAnsi="Times New Roman" w:cs="Times New Roman"/>
          <w:kern w:val="0"/>
          <w14:ligatures w14:val="none"/>
        </w:rPr>
      </w:pPr>
      <w:r w:rsidRPr="0007366F">
        <w:rPr>
          <w:rFonts w:ascii="Times New Roman" w:eastAsia="Times New Roman" w:hAnsi="Times New Roman" w:cs="Times New Roman"/>
          <w:kern w:val="0"/>
          <w14:ligatures w14:val="none"/>
        </w:rPr>
        <w:t> </w:t>
      </w:r>
    </w:p>
    <w:p w14:paraId="0D3F25F8" w14:textId="77777777" w:rsidR="0007366F" w:rsidRPr="0007366F" w:rsidRDefault="0007366F" w:rsidP="0007366F">
      <w:pPr>
        <w:spacing w:after="0" w:line="240" w:lineRule="auto"/>
        <w:rPr>
          <w:rFonts w:ascii="Roboto" w:eastAsia="Times New Roman" w:hAnsi="Roboto" w:cs="Times New Roman"/>
          <w:kern w:val="0"/>
          <w14:ligatures w14:val="none"/>
        </w:rPr>
      </w:pPr>
      <w:r w:rsidRPr="0007366F">
        <w:rPr>
          <w:rFonts w:ascii="Times New Roman" w:eastAsia="Times New Roman" w:hAnsi="Times New Roman" w:cs="Times New Roman"/>
          <w:kern w:val="0"/>
          <w14:ligatures w14:val="none"/>
        </w:rPr>
        <w:pict w14:anchorId="44C63D38">
          <v:rect id="_x0000_i1256" style="width:0;height:1.5pt" o:hralign="center" o:hrstd="t" o:hr="t" fillcolor="#a0a0a0" stroked="f"/>
        </w:pict>
      </w:r>
    </w:p>
    <w:p w14:paraId="4AA06187" w14:textId="77777777" w:rsidR="0007366F" w:rsidRPr="0007366F" w:rsidRDefault="0007366F" w:rsidP="0007366F">
      <w:pPr>
        <w:shd w:val="clear" w:color="auto" w:fill="F8FAFD"/>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07366F">
        <w:rPr>
          <w:rFonts w:ascii="Roboto" w:eastAsia="Times New Roman" w:hAnsi="Roboto" w:cs="Times New Roman"/>
          <w:color w:val="1F1F1F"/>
          <w:kern w:val="0"/>
          <w14:ligatures w14:val="none"/>
        </w:rPr>
        <w:t xml:space="preserve">3. </w:t>
      </w:r>
      <w:proofErr w:type="gramStart"/>
      <w:r w:rsidRPr="0007366F">
        <w:rPr>
          <w:rFonts w:ascii="Roboto" w:eastAsia="Times New Roman" w:hAnsi="Roboto" w:cs="Times New Roman"/>
          <w:color w:val="1F1F1F"/>
          <w:kern w:val="0"/>
          <w14:ligatures w14:val="none"/>
        </w:rPr>
        <w:t>Designing for</w:t>
      </w:r>
      <w:proofErr w:type="gramEnd"/>
      <w:r w:rsidRPr="0007366F">
        <w:rPr>
          <w:rFonts w:ascii="Roboto" w:eastAsia="Times New Roman" w:hAnsi="Roboto" w:cs="Times New Roman"/>
          <w:color w:val="1F1F1F"/>
          <w:kern w:val="0"/>
          <w14:ligatures w14:val="none"/>
        </w:rPr>
        <w:t xml:space="preserve"> Executive Time Constraints</w:t>
      </w:r>
    </w:p>
    <w:tbl>
      <w:tblPr>
        <w:tblW w:w="10020" w:type="dxa"/>
        <w:tblCellMar>
          <w:top w:w="15" w:type="dxa"/>
          <w:left w:w="15" w:type="dxa"/>
          <w:bottom w:w="15" w:type="dxa"/>
          <w:right w:w="15" w:type="dxa"/>
        </w:tblCellMar>
        <w:tblLook w:val="04A0" w:firstRow="1" w:lastRow="0" w:firstColumn="1" w:lastColumn="0" w:noHBand="0" w:noVBand="1"/>
      </w:tblPr>
      <w:tblGrid>
        <w:gridCol w:w="2538"/>
        <w:gridCol w:w="1959"/>
        <w:gridCol w:w="5523"/>
      </w:tblGrid>
      <w:tr w:rsidR="0007366F" w:rsidRPr="0007366F" w14:paraId="65060A3F" w14:textId="77777777">
        <w:tc>
          <w:tcPr>
            <w:tcW w:w="0" w:type="auto"/>
            <w:tcBorders>
              <w:bottom w:val="single" w:sz="6" w:space="0" w:color="E1E3E1"/>
            </w:tcBorders>
            <w:tcMar>
              <w:top w:w="120" w:type="dxa"/>
              <w:left w:w="120" w:type="dxa"/>
              <w:bottom w:w="120" w:type="dxa"/>
              <w:right w:w="120" w:type="dxa"/>
            </w:tcMar>
            <w:hideMark/>
          </w:tcPr>
          <w:p w14:paraId="05CA47FF"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Recommendation</w:t>
            </w:r>
          </w:p>
        </w:tc>
        <w:tc>
          <w:tcPr>
            <w:tcW w:w="0" w:type="auto"/>
            <w:tcBorders>
              <w:bottom w:val="single" w:sz="6" w:space="0" w:color="E1E3E1"/>
            </w:tcBorders>
            <w:tcMar>
              <w:top w:w="120" w:type="dxa"/>
              <w:left w:w="120" w:type="dxa"/>
              <w:bottom w:w="120" w:type="dxa"/>
              <w:right w:w="120" w:type="dxa"/>
            </w:tcMar>
            <w:hideMark/>
          </w:tcPr>
          <w:p w14:paraId="3C38ADD8"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Evidence Type</w:t>
            </w:r>
          </w:p>
        </w:tc>
        <w:tc>
          <w:tcPr>
            <w:tcW w:w="0" w:type="auto"/>
            <w:tcBorders>
              <w:bottom w:val="single" w:sz="6" w:space="0" w:color="E1E3E1"/>
            </w:tcBorders>
            <w:tcMar>
              <w:top w:w="120" w:type="dxa"/>
              <w:left w:w="120" w:type="dxa"/>
              <w:bottom w:w="120" w:type="dxa"/>
              <w:right w:w="120" w:type="dxa"/>
            </w:tcMar>
            <w:hideMark/>
          </w:tcPr>
          <w:p w14:paraId="657217C0" w14:textId="77777777" w:rsidR="0007366F" w:rsidRPr="0007366F" w:rsidRDefault="0007366F" w:rsidP="0007366F">
            <w:pPr>
              <w:spacing w:after="0" w:line="240" w:lineRule="auto"/>
              <w:jc w:val="center"/>
              <w:rPr>
                <w:rFonts w:ascii="Times New Roman" w:eastAsia="Times New Roman" w:hAnsi="Times New Roman" w:cs="Times New Roman"/>
                <w:color w:val="1F1F1F"/>
                <w:kern w:val="0"/>
                <w14:ligatures w14:val="none"/>
              </w:rPr>
            </w:pPr>
            <w:r w:rsidRPr="0007366F">
              <w:rPr>
                <w:rFonts w:ascii="Times New Roman" w:eastAsia="Times New Roman" w:hAnsi="Times New Roman" w:cs="Times New Roman"/>
                <w:color w:val="1F1F1F"/>
                <w:kern w:val="0"/>
                <w14:ligatures w14:val="none"/>
              </w:rPr>
              <w:t>Supporting Arguments &amp; Evidence</w:t>
            </w:r>
          </w:p>
        </w:tc>
      </w:tr>
      <w:tr w:rsidR="0007366F" w:rsidRPr="0007366F" w14:paraId="31B87919" w14:textId="77777777">
        <w:tc>
          <w:tcPr>
            <w:tcW w:w="0" w:type="auto"/>
            <w:tcBorders>
              <w:bottom w:val="single" w:sz="6" w:space="0" w:color="E1E3E1"/>
            </w:tcBorders>
            <w:tcMar>
              <w:top w:w="120" w:type="dxa"/>
              <w:left w:w="120" w:type="dxa"/>
              <w:bottom w:w="120" w:type="dxa"/>
              <w:right w:w="120" w:type="dxa"/>
            </w:tcMar>
            <w:hideMark/>
          </w:tcPr>
          <w:p w14:paraId="33C40980"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Executives have very short attention spans for data.</w:t>
            </w:r>
          </w:p>
        </w:tc>
        <w:tc>
          <w:tcPr>
            <w:tcW w:w="0" w:type="auto"/>
            <w:tcBorders>
              <w:bottom w:val="single" w:sz="6" w:space="0" w:color="E1E3E1"/>
            </w:tcBorders>
            <w:tcMar>
              <w:top w:w="120" w:type="dxa"/>
              <w:left w:w="120" w:type="dxa"/>
              <w:bottom w:w="120" w:type="dxa"/>
              <w:right w:w="120" w:type="dxa"/>
            </w:tcMar>
            <w:hideMark/>
          </w:tcPr>
          <w:p w14:paraId="02AD3B96"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Professional Consensus &amp; Indirect Evidence</w:t>
            </w:r>
          </w:p>
        </w:tc>
        <w:tc>
          <w:tcPr>
            <w:tcW w:w="0" w:type="auto"/>
            <w:tcBorders>
              <w:bottom w:val="single" w:sz="6" w:space="0" w:color="E1E3E1"/>
            </w:tcBorders>
            <w:tcMar>
              <w:top w:w="120" w:type="dxa"/>
              <w:left w:w="120" w:type="dxa"/>
              <w:bottom w:w="120" w:type="dxa"/>
              <w:right w:w="120" w:type="dxa"/>
            </w:tcMar>
            <w:hideMark/>
          </w:tcPr>
          <w:p w14:paraId="4AD392ED"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1. Direct Quantification is Scarce:</w:t>
            </w:r>
            <w:r w:rsidRPr="0007366F">
              <w:rPr>
                <w:rFonts w:ascii="Times New Roman" w:eastAsia="Times New Roman" w:hAnsi="Times New Roman" w:cs="Times New Roman"/>
                <w:color w:val="1F1F1F"/>
                <w:kern w:val="0"/>
                <w14:ligatures w14:val="none"/>
              </w:rPr>
              <w:t> There is a lack of rigorous academic research that precisely quantifies executive attention spans in minutes or seconds. This is a notoriously difficult variable to measure in a real-world context. </w:t>
            </w:r>
            <w:r w:rsidRPr="0007366F">
              <w:rPr>
                <w:rFonts w:ascii="Roboto" w:eastAsia="Times New Roman" w:hAnsi="Roboto" w:cs="Times New Roman"/>
                <w:color w:val="1F1F1F"/>
                <w:kern w:val="0"/>
                <w14:ligatures w14:val="none"/>
              </w:rPr>
              <w:t>2. Professional Consensus:</w:t>
            </w:r>
            <w:r w:rsidRPr="0007366F">
              <w:rPr>
                <w:rFonts w:ascii="Times New Roman" w:eastAsia="Times New Roman" w:hAnsi="Times New Roman" w:cs="Times New Roman"/>
                <w:color w:val="1F1F1F"/>
                <w:kern w:val="0"/>
                <w14:ligatures w14:val="none"/>
              </w:rPr>
              <w:t> The recommendation is primarily based on strong </w:t>
            </w:r>
            <w:r w:rsidRPr="0007366F">
              <w:rPr>
                <w:rFonts w:ascii="Roboto" w:eastAsia="Times New Roman" w:hAnsi="Roboto" w:cs="Times New Roman"/>
                <w:color w:val="1F1F1F"/>
                <w:kern w:val="0"/>
                <w14:ligatures w14:val="none"/>
              </w:rPr>
              <w:t>professional consensus</w:t>
            </w:r>
            <w:r w:rsidRPr="0007366F">
              <w:rPr>
                <w:rFonts w:ascii="Times New Roman" w:eastAsia="Times New Roman" w:hAnsi="Times New Roman" w:cs="Times New Roman"/>
                <w:color w:val="1F1F1F"/>
                <w:kern w:val="0"/>
                <w14:ligatures w14:val="none"/>
              </w:rPr>
              <w:t> and qualitative observations from those who work with executives. It is a widely accepted premise in business communication that executives are time-poor and value brevity. </w:t>
            </w:r>
            <w:r w:rsidRPr="0007366F">
              <w:rPr>
                <w:rFonts w:ascii="Roboto" w:eastAsia="Times New Roman" w:hAnsi="Roboto" w:cs="Times New Roman"/>
                <w:color w:val="1F1F1F"/>
                <w:kern w:val="0"/>
                <w14:ligatures w14:val="none"/>
              </w:rPr>
              <w:t>3. Indirect Evidence:</w:t>
            </w:r>
            <w:r w:rsidRPr="0007366F">
              <w:rPr>
                <w:rFonts w:ascii="Times New Roman" w:eastAsia="Times New Roman" w:hAnsi="Times New Roman" w:cs="Times New Roman"/>
                <w:color w:val="1F1F1F"/>
                <w:kern w:val="0"/>
                <w14:ligatures w14:val="none"/>
              </w:rPr>
              <w:t> Studies on managerial behavior consistently show that executives engage in a high volume of brief, fragmented interactions throughout their day, supporting the general notion that they have limited time to dedicate to any single piece of information.</w:t>
            </w:r>
          </w:p>
        </w:tc>
      </w:tr>
      <w:tr w:rsidR="0007366F" w:rsidRPr="0007366F" w14:paraId="42178F63" w14:textId="77777777">
        <w:tc>
          <w:tcPr>
            <w:tcW w:w="0" w:type="auto"/>
            <w:tcBorders>
              <w:bottom w:val="nil"/>
            </w:tcBorders>
            <w:tcMar>
              <w:top w:w="120" w:type="dxa"/>
              <w:left w:w="120" w:type="dxa"/>
              <w:bottom w:w="120" w:type="dxa"/>
              <w:right w:w="120" w:type="dxa"/>
            </w:tcMar>
            <w:hideMark/>
          </w:tcPr>
          <w:p w14:paraId="0D0A8D40"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Place the most important information first (Information Hierarchy).</w:t>
            </w:r>
          </w:p>
        </w:tc>
        <w:tc>
          <w:tcPr>
            <w:tcW w:w="0" w:type="auto"/>
            <w:tcBorders>
              <w:bottom w:val="nil"/>
            </w:tcBorders>
            <w:tcMar>
              <w:top w:w="120" w:type="dxa"/>
              <w:left w:w="120" w:type="dxa"/>
              <w:bottom w:w="120" w:type="dxa"/>
              <w:right w:w="120" w:type="dxa"/>
            </w:tcMar>
            <w:hideMark/>
          </w:tcPr>
          <w:p w14:paraId="68D98991"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Empirical Evidence</w:t>
            </w:r>
          </w:p>
        </w:tc>
        <w:tc>
          <w:tcPr>
            <w:tcW w:w="0" w:type="auto"/>
            <w:tcBorders>
              <w:bottom w:val="nil"/>
            </w:tcBorders>
            <w:tcMar>
              <w:top w:w="120" w:type="dxa"/>
              <w:left w:w="120" w:type="dxa"/>
              <w:bottom w:w="120" w:type="dxa"/>
              <w:right w:w="120" w:type="dxa"/>
            </w:tcMar>
            <w:hideMark/>
          </w:tcPr>
          <w:p w14:paraId="7C7F7E27" w14:textId="77777777" w:rsidR="0007366F" w:rsidRPr="0007366F" w:rsidRDefault="0007366F" w:rsidP="0007366F">
            <w:pPr>
              <w:spacing w:after="0" w:line="240" w:lineRule="auto"/>
              <w:rPr>
                <w:rFonts w:ascii="Times New Roman" w:eastAsia="Times New Roman" w:hAnsi="Times New Roman" w:cs="Times New Roman"/>
                <w:color w:val="1F1F1F"/>
                <w:kern w:val="0"/>
                <w14:ligatures w14:val="none"/>
              </w:rPr>
            </w:pPr>
            <w:r w:rsidRPr="0007366F">
              <w:rPr>
                <w:rFonts w:ascii="Roboto" w:eastAsia="Times New Roman" w:hAnsi="Roboto" w:cs="Times New Roman"/>
                <w:color w:val="1F1F1F"/>
                <w:kern w:val="0"/>
                <w14:ligatures w14:val="none"/>
              </w:rPr>
              <w:t>1. Primacy Effect:</w:t>
            </w:r>
            <w:r w:rsidRPr="0007366F">
              <w:rPr>
                <w:rFonts w:ascii="Times New Roman" w:eastAsia="Times New Roman" w:hAnsi="Times New Roman" w:cs="Times New Roman"/>
                <w:color w:val="1F1F1F"/>
                <w:kern w:val="0"/>
                <w14:ligatures w14:val="none"/>
              </w:rPr>
              <w:t> This recommendation is strongly supported by the </w:t>
            </w:r>
            <w:r w:rsidRPr="0007366F">
              <w:rPr>
                <w:rFonts w:ascii="Roboto" w:eastAsia="Times New Roman" w:hAnsi="Roboto" w:cs="Times New Roman"/>
                <w:color w:val="1F1F1F"/>
                <w:kern w:val="0"/>
                <w14:ligatures w14:val="none"/>
              </w:rPr>
              <w:t>primacy effect</w:t>
            </w:r>
            <w:r w:rsidRPr="0007366F">
              <w:rPr>
                <w:rFonts w:ascii="Times New Roman" w:eastAsia="Times New Roman" w:hAnsi="Times New Roman" w:cs="Times New Roman"/>
                <w:color w:val="1F1F1F"/>
                <w:kern w:val="0"/>
                <w14:ligatures w14:val="none"/>
              </w:rPr>
              <w:t>, a well-documented cognitive bias where items presented at the beginning of a list or sequence are recalled more accurately and are perceived as more important. </w:t>
            </w:r>
            <w:r w:rsidRPr="0007366F">
              <w:rPr>
                <w:rFonts w:ascii="Roboto" w:eastAsia="Times New Roman" w:hAnsi="Roboto" w:cs="Times New Roman"/>
                <w:color w:val="1F1F1F"/>
                <w:kern w:val="0"/>
                <w14:ligatures w14:val="none"/>
              </w:rPr>
              <w:t>2. Journalistic "Inverted Pyramid":</w:t>
            </w:r>
            <w:r w:rsidRPr="0007366F">
              <w:rPr>
                <w:rFonts w:ascii="Times New Roman" w:eastAsia="Times New Roman" w:hAnsi="Times New Roman" w:cs="Times New Roman"/>
                <w:color w:val="1F1F1F"/>
                <w:kern w:val="0"/>
                <w14:ligatures w14:val="none"/>
              </w:rPr>
              <w:t xml:space="preserve"> The practice is directly analogous to the "inverted pyramid" structure in </w:t>
            </w:r>
            <w:r w:rsidRPr="0007366F">
              <w:rPr>
                <w:rFonts w:ascii="Times New Roman" w:eastAsia="Times New Roman" w:hAnsi="Times New Roman" w:cs="Times New Roman"/>
                <w:color w:val="1F1F1F"/>
                <w:kern w:val="0"/>
                <w14:ligatures w14:val="none"/>
              </w:rPr>
              <w:lastRenderedPageBreak/>
              <w:t>journalism, where the most critical information is placed in the lead paragraph. This structure was developed to ensure the main point is communicated even if the reader stops reading early. </w:t>
            </w:r>
            <w:r w:rsidRPr="0007366F">
              <w:rPr>
                <w:rFonts w:ascii="Roboto" w:eastAsia="Times New Roman" w:hAnsi="Roboto" w:cs="Times New Roman"/>
                <w:color w:val="1F1F1F"/>
                <w:kern w:val="0"/>
                <w14:ligatures w14:val="none"/>
              </w:rPr>
              <w:t>3. Usability Studies (Nielsen Norman Group):</w:t>
            </w:r>
            <w:r w:rsidRPr="0007366F">
              <w:rPr>
                <w:rFonts w:ascii="Times New Roman" w:eastAsia="Times New Roman" w:hAnsi="Times New Roman" w:cs="Times New Roman"/>
                <w:color w:val="1F1F1F"/>
                <w:kern w:val="0"/>
                <w14:ligatures w14:val="none"/>
              </w:rPr>
              <w:t xml:space="preserve"> Extensive eye-tracking studies by the Nielsen Norman Group have repeatedly shown that web users (including professionals) spend </w:t>
            </w:r>
            <w:proofErr w:type="gramStart"/>
            <w:r w:rsidRPr="0007366F">
              <w:rPr>
                <w:rFonts w:ascii="Times New Roman" w:eastAsia="Times New Roman" w:hAnsi="Times New Roman" w:cs="Times New Roman"/>
                <w:color w:val="1F1F1F"/>
                <w:kern w:val="0"/>
                <w14:ligatures w14:val="none"/>
              </w:rPr>
              <w:t>the majority of</w:t>
            </w:r>
            <w:proofErr w:type="gramEnd"/>
            <w:r w:rsidRPr="0007366F">
              <w:rPr>
                <w:rFonts w:ascii="Times New Roman" w:eastAsia="Times New Roman" w:hAnsi="Times New Roman" w:cs="Times New Roman"/>
                <w:color w:val="1F1F1F"/>
                <w:kern w:val="0"/>
                <w14:ligatures w14:val="none"/>
              </w:rPr>
              <w:t xml:space="preserve"> their attention "above the fold" and scan content in an "F-shaped" pattern, focusing on the top and left of the page. This provides strong empirical support for placing key conclusions and summaries at the beginning of a report or </w:t>
            </w:r>
            <w:proofErr w:type="gramStart"/>
            <w:r w:rsidRPr="0007366F">
              <w:rPr>
                <w:rFonts w:ascii="Times New Roman" w:eastAsia="Times New Roman" w:hAnsi="Times New Roman" w:cs="Times New Roman"/>
                <w:color w:val="1F1F1F"/>
                <w:kern w:val="0"/>
                <w14:ligatures w14:val="none"/>
              </w:rPr>
              <w:t>top-left</w:t>
            </w:r>
            <w:proofErr w:type="gramEnd"/>
            <w:r w:rsidRPr="0007366F">
              <w:rPr>
                <w:rFonts w:ascii="Times New Roman" w:eastAsia="Times New Roman" w:hAnsi="Times New Roman" w:cs="Times New Roman"/>
                <w:color w:val="1F1F1F"/>
                <w:kern w:val="0"/>
                <w14:ligatures w14:val="none"/>
              </w:rPr>
              <w:t xml:space="preserve"> of a dashboard.</w:t>
            </w:r>
          </w:p>
        </w:tc>
      </w:tr>
    </w:tbl>
    <w:p w14:paraId="235952F6" w14:textId="77777777" w:rsidR="0007366F" w:rsidRDefault="0007366F"/>
    <w:p w14:paraId="623163FD" w14:textId="77777777" w:rsidR="008F7AF6" w:rsidRDefault="008F7AF6"/>
    <w:sectPr w:rsidR="008F7A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84958"/>
    <w:multiLevelType w:val="multilevel"/>
    <w:tmpl w:val="DC1A7F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C102E2"/>
    <w:multiLevelType w:val="multilevel"/>
    <w:tmpl w:val="9CA0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141EDE"/>
    <w:multiLevelType w:val="multilevel"/>
    <w:tmpl w:val="C6AA13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9A7F2B"/>
    <w:multiLevelType w:val="multilevel"/>
    <w:tmpl w:val="D65C3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075D23"/>
    <w:multiLevelType w:val="multilevel"/>
    <w:tmpl w:val="AAD6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F70A71"/>
    <w:multiLevelType w:val="multilevel"/>
    <w:tmpl w:val="608EB3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8715E7"/>
    <w:multiLevelType w:val="multilevel"/>
    <w:tmpl w:val="C2D018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1D659C"/>
    <w:multiLevelType w:val="multilevel"/>
    <w:tmpl w:val="B894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2B0E48"/>
    <w:multiLevelType w:val="multilevel"/>
    <w:tmpl w:val="409868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B27A79"/>
    <w:multiLevelType w:val="multilevel"/>
    <w:tmpl w:val="85B611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9005158">
    <w:abstractNumId w:val="6"/>
  </w:num>
  <w:num w:numId="2" w16cid:durableId="219446360">
    <w:abstractNumId w:val="5"/>
  </w:num>
  <w:num w:numId="3" w16cid:durableId="368603429">
    <w:abstractNumId w:val="3"/>
  </w:num>
  <w:num w:numId="4" w16cid:durableId="1291285422">
    <w:abstractNumId w:val="0"/>
  </w:num>
  <w:num w:numId="5" w16cid:durableId="1870944477">
    <w:abstractNumId w:val="2"/>
  </w:num>
  <w:num w:numId="6" w16cid:durableId="2121950869">
    <w:abstractNumId w:val="9"/>
  </w:num>
  <w:num w:numId="7" w16cid:durableId="669987842">
    <w:abstractNumId w:val="8"/>
  </w:num>
  <w:num w:numId="8" w16cid:durableId="254558120">
    <w:abstractNumId w:val="7"/>
  </w:num>
  <w:num w:numId="9" w16cid:durableId="610205854">
    <w:abstractNumId w:val="1"/>
  </w:num>
  <w:num w:numId="10" w16cid:durableId="6461316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66F"/>
    <w:rsid w:val="0007366F"/>
    <w:rsid w:val="002535C0"/>
    <w:rsid w:val="008F7AF6"/>
    <w:rsid w:val="00994FCB"/>
    <w:rsid w:val="00AB1266"/>
    <w:rsid w:val="00BC16C9"/>
    <w:rsid w:val="00E10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012F3"/>
  <w15:chartTrackingRefBased/>
  <w15:docId w15:val="{DA6655A8-0C31-4763-8F3E-70303B97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6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6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6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6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6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6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6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6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6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6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66F"/>
    <w:rPr>
      <w:rFonts w:eastAsiaTheme="majorEastAsia" w:cstheme="majorBidi"/>
      <w:color w:val="272727" w:themeColor="text1" w:themeTint="D8"/>
    </w:rPr>
  </w:style>
  <w:style w:type="paragraph" w:styleId="Title">
    <w:name w:val="Title"/>
    <w:basedOn w:val="Normal"/>
    <w:next w:val="Normal"/>
    <w:link w:val="TitleChar"/>
    <w:uiPriority w:val="10"/>
    <w:qFormat/>
    <w:rsid w:val="00073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66F"/>
    <w:pPr>
      <w:spacing w:before="160"/>
      <w:jc w:val="center"/>
    </w:pPr>
    <w:rPr>
      <w:i/>
      <w:iCs/>
      <w:color w:val="404040" w:themeColor="text1" w:themeTint="BF"/>
    </w:rPr>
  </w:style>
  <w:style w:type="character" w:customStyle="1" w:styleId="QuoteChar">
    <w:name w:val="Quote Char"/>
    <w:basedOn w:val="DefaultParagraphFont"/>
    <w:link w:val="Quote"/>
    <w:uiPriority w:val="29"/>
    <w:rsid w:val="0007366F"/>
    <w:rPr>
      <w:i/>
      <w:iCs/>
      <w:color w:val="404040" w:themeColor="text1" w:themeTint="BF"/>
    </w:rPr>
  </w:style>
  <w:style w:type="paragraph" w:styleId="ListParagraph">
    <w:name w:val="List Paragraph"/>
    <w:basedOn w:val="Normal"/>
    <w:uiPriority w:val="34"/>
    <w:qFormat/>
    <w:rsid w:val="0007366F"/>
    <w:pPr>
      <w:ind w:left="720"/>
      <w:contextualSpacing/>
    </w:pPr>
  </w:style>
  <w:style w:type="character" w:styleId="IntenseEmphasis">
    <w:name w:val="Intense Emphasis"/>
    <w:basedOn w:val="DefaultParagraphFont"/>
    <w:uiPriority w:val="21"/>
    <w:qFormat/>
    <w:rsid w:val="0007366F"/>
    <w:rPr>
      <w:i/>
      <w:iCs/>
      <w:color w:val="0F4761" w:themeColor="accent1" w:themeShade="BF"/>
    </w:rPr>
  </w:style>
  <w:style w:type="paragraph" w:styleId="IntenseQuote">
    <w:name w:val="Intense Quote"/>
    <w:basedOn w:val="Normal"/>
    <w:next w:val="Normal"/>
    <w:link w:val="IntenseQuoteChar"/>
    <w:uiPriority w:val="30"/>
    <w:qFormat/>
    <w:rsid w:val="00073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66F"/>
    <w:rPr>
      <w:i/>
      <w:iCs/>
      <w:color w:val="0F4761" w:themeColor="accent1" w:themeShade="BF"/>
    </w:rPr>
  </w:style>
  <w:style w:type="character" w:styleId="IntenseReference">
    <w:name w:val="Intense Reference"/>
    <w:basedOn w:val="DefaultParagraphFont"/>
    <w:uiPriority w:val="32"/>
    <w:qFormat/>
    <w:rsid w:val="0007366F"/>
    <w:rPr>
      <w:b/>
      <w:bCs/>
      <w:smallCaps/>
      <w:color w:val="0F4761" w:themeColor="accent1" w:themeShade="BF"/>
      <w:spacing w:val="5"/>
    </w:rPr>
  </w:style>
  <w:style w:type="character" w:styleId="Hyperlink">
    <w:name w:val="Hyperlink"/>
    <w:basedOn w:val="DefaultParagraphFont"/>
    <w:uiPriority w:val="99"/>
    <w:unhideWhenUsed/>
    <w:rsid w:val="0007366F"/>
    <w:rPr>
      <w:color w:val="467886" w:themeColor="hyperlink"/>
      <w:u w:val="single"/>
    </w:rPr>
  </w:style>
  <w:style w:type="character" w:styleId="UnresolvedMention">
    <w:name w:val="Unresolved Mention"/>
    <w:basedOn w:val="DefaultParagraphFont"/>
    <w:uiPriority w:val="99"/>
    <w:semiHidden/>
    <w:unhideWhenUsed/>
    <w:rsid w:val="000736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q=https%3A%2F%2Fwww.section508.gov%2F" TargetMode="External"/><Relationship Id="rId3" Type="http://schemas.openxmlformats.org/officeDocument/2006/relationships/settings" Target="settings.xml"/><Relationship Id="rId7" Type="http://schemas.openxmlformats.org/officeDocument/2006/relationships/hyperlink" Target="https://www.google.com/url?q=https%3A%2F%2Fanalysisfunction.civilservice.gov.uk%2Fguidance-and-research%2Faccessibility%2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q=https%3A%2F%2Fdesignsystem.digital.gov%2Fcomponents%2Fdata-visualizations%2F" TargetMode="External"/><Relationship Id="rId11" Type="http://schemas.openxmlformats.org/officeDocument/2006/relationships/theme" Target="theme/theme1.xml"/><Relationship Id="rId5" Type="http://schemas.openxmlformats.org/officeDocument/2006/relationships/hyperlink" Target="https://www.google.com/url?q=https%3A%2F%2Fwww.w3.org%2FTR%2FWCAG22%2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url?q=https%3A%2F%2Fwww.cdc.gov%2Fcove%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58addea-5053-4a80-8499-ba4d944910df}" enabled="0" method="" siteId="{d58addea-5053-4a80-8499-ba4d944910df}" removed="1"/>
</clbl:labelList>
</file>

<file path=docProps/app.xml><?xml version="1.0" encoding="utf-8"?>
<Properties xmlns="http://schemas.openxmlformats.org/officeDocument/2006/extended-properties" xmlns:vt="http://schemas.openxmlformats.org/officeDocument/2006/docPropsVTypes">
  <Template>Normal</Template>
  <TotalTime>3</TotalTime>
  <Pages>17</Pages>
  <Words>5136</Words>
  <Characters>29276</Characters>
  <Application>Microsoft Office Word</Application>
  <DocSecurity>0</DocSecurity>
  <Lines>243</Lines>
  <Paragraphs>68</Paragraphs>
  <ScaleCrop>false</ScaleCrop>
  <Company/>
  <LinksUpToDate>false</LinksUpToDate>
  <CharactersWithSpaces>34344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Korous, Kevin (ACF) (CTR)</dc:creator>
  <cp:keywords/>
  <dc:description/>
  <cp:lastModifiedBy>Korous, Kevin (ACF) (CTR)</cp:lastModifiedBy>
  <cp:revision>2</cp:revision>
  <dcterms:created xsi:type="dcterms:W3CDTF">2026-02-06T18:27:00Z</dcterms:created>
  <dcterms:modified xsi:type="dcterms:W3CDTF">2026-02-06T18:30:00Z</dcterms:modified>
</cp:coreProperties>
</file>