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4B"/>
          <w:sz w:val="48"/>
          <w:szCs w:val="48"/>
        </w:rPr>
        <w:t xml:space="preserve">COMPREHENSIVE WEBSITE AUDIT</w:t>
      </w:r>
    </w:p>
    <w:p>
      <w:pPr>
        <w:spacing w:after="100"/>
        <w:jc w:val="center"/>
      </w:pPr>
      <w:r>
        <w:rPr>
          <w:rFonts w:ascii="Arial" w:cs="Arial" w:eastAsia="Arial" w:hAnsi="Arial"/>
          <w:color w:val="555555"/>
          <w:sz w:val="32"/>
          <w:szCs w:val="32"/>
        </w:rPr>
        <w:t xml:space="preserve">SEO • GEO • Answer Engine Optimization</w:t>
      </w:r>
    </w:p>
    <w:p>
      <w:pPr>
        <w:spacing w:after="100"/>
        <w:jc w:val="center"/>
      </w:pPr>
      <w:r>
        <w:rPr>
          <w:rFonts w:ascii="Arial" w:cs="Arial" w:eastAsia="Arial" w:hAnsi="Arial"/>
          <w:color w:val="555555"/>
          <w:sz w:val="28"/>
          <w:szCs w:val="28"/>
        </w:rPr>
        <w:t xml:space="preserve">Linking Strategy • New Service Pages • Market Expansion</w:t>
      </w:r>
    </w:p>
    <w:p>
      <w:pPr>
        <w:pBdr>
          <w:bottom w:val="single" w:color="1B3A4B" w:sz="6" w:space="1"/>
        </w:pBdr>
        <w:spacing w:after="200" w:before="200"/>
      </w:pPr>
    </w:p>
    <w:p>
      <w:pPr>
        <w:spacing w:after="80"/>
        <w:jc w:val="center"/>
      </w:pPr>
      <w:r>
        <w:rPr>
          <w:rFonts w:ascii="Arial" w:cs="Arial" w:eastAsia="Arial" w:hAnsi="Arial"/>
          <w:sz w:val="24"/>
          <w:szCs w:val="24"/>
        </w:rPr>
        <w:t xml:space="preserve">Prepared for: Military Disability Nexus</w:t>
      </w:r>
    </w:p>
    <w:p>
      <w:pPr>
        <w:spacing w:after="80"/>
        <w:jc w:val="center"/>
      </w:pPr>
      <w:r>
        <w:rPr>
          <w:rFonts w:ascii="Arial" w:cs="Arial" w:eastAsia="Arial" w:hAnsi="Arial"/>
          <w:color w:val="2E75B6"/>
          <w:sz w:val="24"/>
          <w:szCs w:val="24"/>
        </w:rPr>
        <w:t xml:space="preserve">www.militarydisabilitynexus.com</w:t>
      </w:r>
    </w:p>
    <w:p>
      <w:pPr>
        <w:spacing w:after="200"/>
        <w:jc w:val="center"/>
      </w:pPr>
      <w:r>
        <w:rPr>
          <w:rFonts w:ascii="Arial" w:cs="Arial" w:eastAsia="Arial" w:hAnsi="Arial"/>
          <w:color w:val="666666"/>
          <w:sz w:val="22"/>
          <w:szCs w:val="22"/>
        </w:rPr>
        <w:t xml:space="preserve">Date: May 2, 2026</w:t>
      </w:r>
    </w:p>
    <w:p>
      <w:r>
        <w:br w:type="page"/>
      </w:r>
    </w:p>
    <w:p>
      <w:pPr>
        <w:pStyle w:val="Heading1"/>
        <w:spacing w:after="150" w:before="300"/>
      </w:pPr>
      <w:r>
        <w:t xml:space="preserve">Table of Contents</w:t>
      </w:r>
    </w:p>
    <w:p>
      <w:pPr>
        <w:spacing w:after="120" w:line="276"/>
      </w:pPr>
      <w:r>
        <w:rPr>
          <w:rFonts w:ascii="Arial" w:cs="Arial" w:eastAsia="Arial" w:hAnsi="Arial"/>
          <w:sz w:val="22"/>
          <w:szCs w:val="22"/>
        </w:rPr>
        <w:t xml:space="preserve">1. Executive Summary</w:t>
      </w:r>
    </w:p>
    <w:p>
      <w:pPr>
        <w:spacing w:after="120" w:line="276"/>
      </w:pPr>
      <w:r>
        <w:rPr>
          <w:rFonts w:ascii="Arial" w:cs="Arial" w:eastAsia="Arial" w:hAnsi="Arial"/>
          <w:sz w:val="22"/>
          <w:szCs w:val="22"/>
        </w:rPr>
        <w:t xml:space="preserve">2. Main Services Page (/services) — SEO/GEO/AEO Analysis</w:t>
      </w:r>
    </w:p>
    <w:p>
      <w:pPr>
        <w:spacing w:after="120" w:line="276"/>
      </w:pPr>
      <w:r>
        <w:rPr>
          <w:rFonts w:ascii="Arial" w:cs="Arial" w:eastAsia="Arial" w:hAnsi="Arial"/>
          <w:sz w:val="22"/>
          <w:szCs w:val="22"/>
        </w:rPr>
        <w:t xml:space="preserve">3. Individual Service Page Audits</w:t>
      </w:r>
    </w:p>
    <w:p>
      <w:pPr>
        <w:spacing w:after="120" w:line="276"/>
      </w:pPr>
      <w:r>
        <w:rPr>
          <w:rFonts w:ascii="Arial" w:cs="Arial" w:eastAsia="Arial" w:hAnsi="Arial"/>
          <w:sz w:val="22"/>
          <w:szCs w:val="22"/>
        </w:rPr>
        <w:t xml:space="preserve">   3.1 Nexus Letter / IMO Page</w:t>
      </w:r>
    </w:p>
    <w:p>
      <w:pPr>
        <w:spacing w:after="120" w:line="276"/>
      </w:pPr>
      <w:r>
        <w:rPr>
          <w:rFonts w:ascii="Arial" w:cs="Arial" w:eastAsia="Arial" w:hAnsi="Arial"/>
          <w:sz w:val="22"/>
          <w:szCs w:val="22"/>
        </w:rPr>
        <w:t xml:space="preserve">   3.2 DBQ Page</w:t>
      </w:r>
    </w:p>
    <w:p>
      <w:pPr>
        <w:spacing w:after="120" w:line="276"/>
      </w:pPr>
      <w:r>
        <w:rPr>
          <w:rFonts w:ascii="Arial" w:cs="Arial" w:eastAsia="Arial" w:hAnsi="Arial"/>
          <w:sz w:val="22"/>
          <w:szCs w:val="22"/>
        </w:rPr>
        <w:t xml:space="preserve">   3.3 Aid &amp; Attendance Page</w:t>
      </w:r>
    </w:p>
    <w:p>
      <w:pPr>
        <w:spacing w:after="120" w:line="276"/>
      </w:pPr>
      <w:r>
        <w:rPr>
          <w:rFonts w:ascii="Arial" w:cs="Arial" w:eastAsia="Arial" w:hAnsi="Arial"/>
          <w:sz w:val="22"/>
          <w:szCs w:val="22"/>
        </w:rPr>
        <w:t xml:space="preserve">   3.4 Claim Readiness Review Page</w:t>
      </w:r>
    </w:p>
    <w:p>
      <w:pPr>
        <w:spacing w:after="120" w:line="276"/>
      </w:pPr>
      <w:r>
        <w:rPr>
          <w:rFonts w:ascii="Arial" w:cs="Arial" w:eastAsia="Arial" w:hAnsi="Arial"/>
          <w:sz w:val="22"/>
          <w:szCs w:val="22"/>
        </w:rPr>
        <w:t xml:space="preserve">   3.5 1151 (VA Malpractice) Page</w:t>
      </w:r>
    </w:p>
    <w:p>
      <w:pPr>
        <w:spacing w:after="120" w:line="276"/>
      </w:pPr>
      <w:r>
        <w:rPr>
          <w:rFonts w:ascii="Arial" w:cs="Arial" w:eastAsia="Arial" w:hAnsi="Arial"/>
          <w:sz w:val="22"/>
          <w:szCs w:val="22"/>
        </w:rPr>
        <w:t xml:space="preserve">   3.6 C&amp;P Exam Coaching Page</w:t>
      </w:r>
    </w:p>
    <w:p>
      <w:pPr>
        <w:spacing w:after="120" w:line="276"/>
      </w:pPr>
      <w:r>
        <w:rPr>
          <w:rFonts w:ascii="Arial" w:cs="Arial" w:eastAsia="Arial" w:hAnsi="Arial"/>
          <w:sz w:val="22"/>
          <w:szCs w:val="22"/>
        </w:rPr>
        <w:t xml:space="preserve">4. FAQ Section Optimization (All Pages)</w:t>
      </w:r>
    </w:p>
    <w:p>
      <w:pPr>
        <w:spacing w:after="120" w:line="276"/>
      </w:pPr>
      <w:r>
        <w:rPr>
          <w:rFonts w:ascii="Arial" w:cs="Arial" w:eastAsia="Arial" w:hAnsi="Arial"/>
          <w:sz w:val="22"/>
          <w:szCs w:val="22"/>
        </w:rPr>
        <w:t xml:space="preserve">5. Internal Linking Strategy</w:t>
      </w:r>
    </w:p>
    <w:p>
      <w:pPr>
        <w:spacing w:after="120" w:line="276"/>
      </w:pPr>
      <w:r>
        <w:rPr>
          <w:rFonts w:ascii="Arial" w:cs="Arial" w:eastAsia="Arial" w:hAnsi="Arial"/>
          <w:sz w:val="22"/>
          <w:szCs w:val="22"/>
        </w:rPr>
        <w:t xml:space="preserve">6. External Linking &amp; Backlink Guidance</w:t>
      </w:r>
    </w:p>
    <w:p>
      <w:pPr>
        <w:spacing w:after="120" w:line="276"/>
      </w:pPr>
      <w:r>
        <w:rPr>
          <w:rFonts w:ascii="Arial" w:cs="Arial" w:eastAsia="Arial" w:hAnsi="Arial"/>
          <w:sz w:val="22"/>
          <w:szCs w:val="22"/>
        </w:rPr>
        <w:t xml:space="preserve">7. NEW SERVICE PAGE: TDIU Medical Documentation</w:t>
      </w:r>
    </w:p>
    <w:p>
      <w:pPr>
        <w:spacing w:after="120" w:line="276"/>
      </w:pPr>
      <w:r>
        <w:rPr>
          <w:rFonts w:ascii="Arial" w:cs="Arial" w:eastAsia="Arial" w:hAnsi="Arial"/>
          <w:sz w:val="22"/>
          <w:szCs w:val="22"/>
        </w:rPr>
        <w:t xml:space="preserve">8. NEW SERVICE PAGE: Attorney/VSO Collaboration Program</w:t>
      </w:r>
    </w:p>
    <w:p>
      <w:pPr>
        <w:spacing w:after="120" w:line="276"/>
      </w:pPr>
      <w:r>
        <w:rPr>
          <w:rFonts w:ascii="Arial" w:cs="Arial" w:eastAsia="Arial" w:hAnsi="Arial"/>
          <w:sz w:val="22"/>
          <w:szCs w:val="22"/>
        </w:rPr>
        <w:t xml:space="preserve">9. Additional Service Opportunities (Market Research)</w:t>
      </w:r>
    </w:p>
    <w:p>
      <w:pPr>
        <w:spacing w:after="120" w:line="276"/>
      </w:pPr>
      <w:r>
        <w:rPr>
          <w:rFonts w:ascii="Arial" w:cs="Arial" w:eastAsia="Arial" w:hAnsi="Arial"/>
          <w:sz w:val="22"/>
          <w:szCs w:val="22"/>
        </w:rPr>
        <w:t xml:space="preserve">10. Implementation Priority Roadmap</w:t>
      </w:r>
    </w:p>
    <w:p>
      <w:r>
        <w:br w:type="page"/>
      </w:r>
    </w:p>
    <w:p>
      <w:pPr>
        <w:pStyle w:val="Heading1"/>
        <w:spacing w:after="150" w:before="300"/>
      </w:pPr>
      <w:r>
        <w:t xml:space="preserve">1. Executive Summary</w:t>
      </w:r>
    </w:p>
    <w:p>
      <w:pPr>
        <w:spacing w:after="120" w:line="276"/>
      </w:pPr>
      <w:r>
        <w:rPr>
          <w:rFonts w:ascii="Arial" w:cs="Arial" w:eastAsia="Arial" w:hAnsi="Arial"/>
          <w:sz w:val="22"/>
          <w:szCs w:val="22"/>
        </w:rPr>
        <w:t xml:space="preserve">This audit covers your entire services section at militarydisabilitynexus.com, evaluating content quality, keyword targeting, FAQ optimization for AI answer engines (ChatGPT, Perplexity, Google AI Overviews), internal/external linking architecture, and market gap opportunities. The analysis also includes full content briefs for two new service pages (TDIU Medical Documentation and Attorney/VSO Collaboration) plus recommendations for additional services based on competitive research.</w:t>
      </w:r>
    </w:p>
    <w:p>
      <w:pPr>
        <w:pStyle w:val="Heading2"/>
        <w:spacing w:after="150" w:before="300"/>
      </w:pPr>
      <w: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Current Grade</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Priority 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Main /services page SEO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schema markup, expand FAQ answers, add condition-specific landing page links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Nexus Letter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Expand FAQ answers for AEO, add secondary-claim keyword clusters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DBQ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list of conditions covered, FAQ answers hidden behind accordions need indexable 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Aid &amp; Attendance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content; add 2026 rate tables, link to SMC blog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Claim Readiness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comparison table vs. other services, expand TERA/aggravation content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1151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case study links, expand FTCA comparison content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C&amp;P Exam Coaching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listed under /services — critical navigation gap; needs FAQ schema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Internal linking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Major gaps between services, blogs, and case studies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External linking/backlinks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external authority links on service pages; backlink strategy needed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FAQ/AEO readiness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FAQ answers hidden in accordions; need visible text + FAQ schema markup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Missing services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TDIU, Rebuttal Letters, Personal Statements, Vocational Assessments</w:t>
            </w:r>
          </w:p>
        </w:tc>
      </w:tr>
    </w:tbl>
    <w:p>
      <w:r>
        <w:br w:type="page"/>
      </w:r>
    </w:p>
    <w:p>
      <w:pPr>
        <w:pStyle w:val="Heading1"/>
        <w:spacing w:after="150" w:before="300"/>
      </w:pPr>
      <w:r>
        <w:t xml:space="preserve">2. Main Services Page (/services) — SEO/GEO/AEO Analysis</w:t>
      </w:r>
    </w:p>
    <w:p>
      <w:pPr>
        <w:pStyle w:val="Heading2"/>
        <w:spacing w:after="150" w:before="300"/>
      </w:pPr>
      <w:r>
        <w:t xml:space="preserve">2.1 Current Strengths</w:t>
      </w:r>
    </w:p>
    <w:p>
      <w:pPr>
        <w:pStyle w:val="ListParagraph"/>
        <w:numPr>
          <w:ilvl w:val="0"/>
          <w:numId w:val="2"/>
        </w:numPr>
        <w:spacing w:after="80" w:line="276"/>
      </w:pPr>
      <w:r>
        <w:rPr>
          <w:rFonts w:ascii="Arial" w:cs="Arial" w:eastAsia="Arial" w:hAnsi="Arial"/>
          <w:sz w:val="22"/>
          <w:szCs w:val="22"/>
        </w:rPr>
        <w:t xml:space="preserve">Strong intro copy that addresses the veteran’s pain point (denial due to insufficient evidence)</w:t>
      </w:r>
    </w:p>
    <w:p>
      <w:pPr>
        <w:pStyle w:val="ListParagraph"/>
        <w:numPr>
          <w:ilvl w:val="0"/>
          <w:numId w:val="2"/>
        </w:numPr>
        <w:spacing w:after="80" w:line="276"/>
      </w:pPr>
      <w:r>
        <w:rPr>
          <w:rFonts w:ascii="Arial" w:cs="Arial" w:eastAsia="Arial" w:hAnsi="Arial"/>
          <w:sz w:val="22"/>
          <w:szCs w:val="22"/>
        </w:rPr>
        <w:t xml:space="preserve">Proper use of VA-specific terminology: “at least as likely as not,” “38 CFR,” “nexus opinion”</w:t>
      </w:r>
    </w:p>
    <w:p>
      <w:pPr>
        <w:pStyle w:val="ListParagraph"/>
        <w:numPr>
          <w:ilvl w:val="0"/>
          <w:numId w:val="2"/>
        </w:numPr>
        <w:spacing w:after="80" w:line="276"/>
      </w:pPr>
      <w:r>
        <w:rPr>
          <w:rFonts w:ascii="Arial" w:cs="Arial" w:eastAsia="Arial" w:hAnsi="Arial"/>
          <w:sz w:val="22"/>
          <w:szCs w:val="22"/>
        </w:rPr>
        <w:t xml:space="preserve">Good internal links to each service page within the body copy</w:t>
      </w:r>
    </w:p>
    <w:p>
      <w:pPr>
        <w:pStyle w:val="ListParagraph"/>
        <w:numPr>
          <w:ilvl w:val="0"/>
          <w:numId w:val="2"/>
        </w:numPr>
        <w:spacing w:after="80" w:line="276"/>
      </w:pPr>
      <w:r>
        <w:rPr>
          <w:rFonts w:ascii="Arial" w:cs="Arial" w:eastAsia="Arial" w:hAnsi="Arial"/>
          <w:sz w:val="22"/>
          <w:szCs w:val="22"/>
        </w:rPr>
        <w:t xml:space="preserve">Clear service cards with descriptions</w:t>
      </w:r>
    </w:p>
    <w:p>
      <w:pPr>
        <w:pStyle w:val="ListParagraph"/>
        <w:numPr>
          <w:ilvl w:val="0"/>
          <w:numId w:val="2"/>
        </w:numPr>
        <w:spacing w:after="80" w:line="276"/>
      </w:pPr>
      <w:r>
        <w:rPr>
          <w:rFonts w:ascii="Arial" w:cs="Arial" w:eastAsia="Arial" w:hAnsi="Arial"/>
          <w:sz w:val="22"/>
          <w:szCs w:val="22"/>
        </w:rPr>
        <w:t xml:space="preserve">Free diagnostic CTA is excellent for conversion</w:t>
      </w:r>
    </w:p>
    <w:p>
      <w:pPr>
        <w:pStyle w:val="Heading2"/>
        <w:spacing w:after="150" w:before="300"/>
      </w:pPr>
      <w:r>
        <w:t xml:space="preserve">2.2 Content Gaps &amp; SEO Issues</w:t>
      </w:r>
    </w:p>
    <w:p>
      <w:pPr>
        <w:spacing w:after="120" w:line="276"/>
      </w:pPr>
      <w:r>
        <w:rPr>
          <w:rFonts w:ascii="Arial" w:cs="Arial" w:eastAsia="Arial" w:hAnsi="Arial"/>
          <w:b/>
          <w:bCs/>
          <w:sz w:val="22"/>
          <w:szCs w:val="22"/>
        </w:rPr>
        <w:t xml:space="preserve">Missing keyword clusters: </w:t>
      </w:r>
      <w:r>
        <w:rPr>
          <w:rFonts w:ascii="Arial" w:cs="Arial" w:eastAsia="Arial" w:hAnsi="Arial"/>
          <w:sz w:val="22"/>
          <w:szCs w:val="22"/>
        </w:rPr>
        <w:t xml:space="preserve">The page does not target several high-volume keyword variations that veterans search for. Add natural mentions of: “VA nexus letter service,” “private DBQ provider,” “VA claim medical evidence,” “independent medical opinion for VA claim,” “VA disability documentation help,” and “VA claim denied insufficient evidence.”</w:t>
      </w:r>
    </w:p>
    <w:p>
      <w:pPr>
        <w:spacing w:after="120" w:line="276"/>
      </w:pPr>
      <w:r>
        <w:rPr>
          <w:rFonts w:ascii="Arial" w:cs="Arial" w:eastAsia="Arial" w:hAnsi="Arial"/>
          <w:b/>
          <w:bCs/>
          <w:sz w:val="22"/>
          <w:szCs w:val="22"/>
        </w:rPr>
        <w:t xml:space="preserve">FAQ answers are not indexable: </w:t>
      </w:r>
      <w:r>
        <w:rPr>
          <w:rFonts w:ascii="Arial" w:cs="Arial" w:eastAsia="Arial" w:hAnsi="Arial"/>
          <w:sz w:val="22"/>
          <w:szCs w:val="22"/>
        </w:rPr>
        <w:t xml:space="preserve">Your FAQ section shows question headings but the answers appear to be behind JavaScript accordions. Search engines and AI answer engines often cannot index accordion-hidden content. Solution: Render FAQ answers as visible HTML text (even if collapsed visually with CSS), and implement FAQPage schema markup (JSON-LD) on every page with FAQs.</w:t>
      </w:r>
    </w:p>
    <w:p>
      <w:pPr>
        <w:spacing w:after="120" w:line="276"/>
      </w:pPr>
      <w:r>
        <w:rPr>
          <w:rFonts w:ascii="Arial" w:cs="Arial" w:eastAsia="Arial" w:hAnsi="Arial"/>
          <w:b/>
          <w:bCs/>
          <w:sz w:val="22"/>
          <w:szCs w:val="22"/>
        </w:rPr>
        <w:t xml:space="preserve">No structured data/schema: </w:t>
      </w:r>
      <w:r>
        <w:rPr>
          <w:rFonts w:ascii="Arial" w:cs="Arial" w:eastAsia="Arial" w:hAnsi="Arial"/>
          <w:sz w:val="22"/>
          <w:szCs w:val="22"/>
        </w:rPr>
        <w:t xml:space="preserve">Add Organization schema, Service schema for each service, FAQPage schema, and BreadcrumbList schema. These are critical for Google rich snippets and for AI answer engines like Perplexity and ChatGPT to cite your content.</w:t>
      </w:r>
    </w:p>
    <w:p>
      <w:pPr>
        <w:spacing w:after="120" w:line="276"/>
      </w:pPr>
      <w:r>
        <w:rPr>
          <w:rFonts w:ascii="Arial" w:cs="Arial" w:eastAsia="Arial" w:hAnsi="Arial"/>
          <w:b/>
          <w:bCs/>
          <w:sz w:val="22"/>
          <w:szCs w:val="22"/>
        </w:rPr>
        <w:t xml:space="preserve">Missing meta description optimization: </w:t>
      </w:r>
      <w:r>
        <w:rPr>
          <w:rFonts w:ascii="Arial" w:cs="Arial" w:eastAsia="Arial" w:hAnsi="Arial"/>
          <w:sz w:val="22"/>
          <w:szCs w:val="22"/>
        </w:rPr>
        <w:t xml:space="preserve">Current title tag is good. Ensure meta description includes primary keywords and a CTA. Suggested: “Expert VA disability documentation services: Nexus Letters, DBQs, Aid &amp; Attendance, Claim Reviews &amp; 1151 IMOs. Board-certified physicians. Fast turnaround. Free consultation.”</w:t>
      </w:r>
    </w:p>
    <w:p>
      <w:pPr>
        <w:spacing w:after="120" w:line="276"/>
      </w:pPr>
      <w:r>
        <w:rPr>
          <w:rFonts w:ascii="Arial" w:cs="Arial" w:eastAsia="Arial" w:hAnsi="Arial"/>
          <w:b/>
          <w:bCs/>
          <w:sz w:val="22"/>
          <w:szCs w:val="22"/>
        </w:rPr>
        <w:t xml:space="preserve">No condition-specific content: </w:t>
      </w:r>
      <w:r>
        <w:rPr>
          <w:rFonts w:ascii="Arial" w:cs="Arial" w:eastAsia="Arial" w:hAnsi="Arial"/>
          <w:sz w:val="22"/>
          <w:szCs w:val="22"/>
        </w:rPr>
        <w:t xml:space="preserve">Veterans search by condition (“sleep apnea nexus letter,” “PTSD nexus letter,” “tinnitus DBQ”). Consider adding a “Conditions We Support” section on this page linking to blog posts or future condition-specific landing pages.</w:t>
      </w:r>
    </w:p>
    <w:p>
      <w:pPr>
        <w:spacing w:after="120" w:line="276"/>
      </w:pPr>
      <w:r>
        <w:rPr>
          <w:rFonts w:ascii="Arial" w:cs="Arial" w:eastAsia="Arial" w:hAnsi="Arial"/>
          <w:b/>
          <w:bCs/>
          <w:sz w:val="22"/>
          <w:szCs w:val="22"/>
        </w:rPr>
        <w:t xml:space="preserve">C&amp;P Exam Coaching missing from services nav: </w:t>
      </w:r>
      <w:r>
        <w:rPr>
          <w:rFonts w:ascii="Arial" w:cs="Arial" w:eastAsia="Arial" w:hAnsi="Arial"/>
          <w:sz w:val="22"/>
          <w:szCs w:val="22"/>
        </w:rPr>
        <w:t xml:space="preserve">This service exists at /cp-exam-coaching but is NOT listed under the Services dropdown in your navigation, nor on the /services page. This is a significant gap — users browsing services will never discover it.</w:t>
      </w:r>
    </w:p>
    <w:p>
      <w:pPr>
        <w:pStyle w:val="Heading2"/>
        <w:spacing w:after="150" w:before="300"/>
      </w:pPr>
      <w:r>
        <w:t xml:space="preserve">2.3 GEO &amp; Answer Engine Optimization</w:t>
      </w:r>
    </w:p>
    <w:p>
      <w:pPr>
        <w:spacing w:after="120" w:line="276"/>
      </w:pPr>
      <w:r>
        <w:rPr>
          <w:rFonts w:ascii="Arial" w:cs="Arial" w:eastAsia="Arial" w:hAnsi="Arial"/>
          <w:sz w:val="22"/>
          <w:szCs w:val="22"/>
        </w:rPr>
        <w:t xml:space="preserve">Generative Engine Optimization (GEO) is about making your content the source that AI chatbots cite. Answer Engine Optimization (AEO) focuses on getting your content into featured snippets and AI Overviews. Here’s what to do:</w:t>
      </w:r>
    </w:p>
    <w:p>
      <w:pPr>
        <w:pStyle w:val="ListParagraph"/>
        <w:numPr>
          <w:ilvl w:val="0"/>
          <w:numId w:val="2"/>
        </w:numPr>
        <w:spacing w:after="80" w:line="276"/>
      </w:pPr>
      <w:r>
        <w:rPr>
          <w:rFonts w:ascii="Arial" w:cs="Arial" w:eastAsia="Arial" w:hAnsi="Arial"/>
          <w:sz w:val="22"/>
          <w:szCs w:val="22"/>
        </w:rPr>
        <w:t xml:space="preserve">Write direct, authoritative answers in the first 2-3 sentences of each FAQ. AI engines pull from concise, definitional content.</w:t>
      </w:r>
    </w:p>
    <w:p>
      <w:pPr>
        <w:pStyle w:val="ListParagraph"/>
        <w:numPr>
          <w:ilvl w:val="0"/>
          <w:numId w:val="2"/>
        </w:numPr>
        <w:spacing w:after="80" w:line="276"/>
      </w:pPr>
      <w:r>
        <w:rPr>
          <w:rFonts w:ascii="Arial" w:cs="Arial" w:eastAsia="Arial" w:hAnsi="Arial"/>
          <w:sz w:val="22"/>
          <w:szCs w:val="22"/>
        </w:rPr>
        <w:t xml:space="preserve">Use the exact question phrasing veterans type (“What is a nexus letter?” “Do I need a DBQ for my VA claim?”) as your H3/H4 headings.</w:t>
      </w:r>
    </w:p>
    <w:p>
      <w:pPr>
        <w:pStyle w:val="ListParagraph"/>
        <w:numPr>
          <w:ilvl w:val="0"/>
          <w:numId w:val="2"/>
        </w:numPr>
        <w:spacing w:after="80" w:line="276"/>
      </w:pPr>
      <w:r>
        <w:rPr>
          <w:rFonts w:ascii="Arial" w:cs="Arial" w:eastAsia="Arial" w:hAnsi="Arial"/>
          <w:sz w:val="22"/>
          <w:szCs w:val="22"/>
        </w:rPr>
        <w:t xml:space="preserve">Add “Quick Answer” or “Short Answer” blocks at the top of FAQ answers before diving into details.</w:t>
      </w:r>
    </w:p>
    <w:p>
      <w:pPr>
        <w:pStyle w:val="ListParagraph"/>
        <w:numPr>
          <w:ilvl w:val="0"/>
          <w:numId w:val="2"/>
        </w:numPr>
        <w:spacing w:after="80" w:line="276"/>
      </w:pPr>
      <w:r>
        <w:rPr>
          <w:rFonts w:ascii="Arial" w:cs="Arial" w:eastAsia="Arial" w:hAnsi="Arial"/>
          <w:sz w:val="22"/>
          <w:szCs w:val="22"/>
        </w:rPr>
        <w:t xml:space="preserve">Include statistics and cite authoritative sources (VA.gov, 38 CFR sections, BVA case law) to increase citation trustworthiness.</w:t>
      </w:r>
    </w:p>
    <w:p>
      <w:pPr>
        <w:pStyle w:val="ListParagraph"/>
        <w:numPr>
          <w:ilvl w:val="0"/>
          <w:numId w:val="2"/>
        </w:numPr>
        <w:spacing w:after="80" w:line="276"/>
      </w:pPr>
      <w:r>
        <w:rPr>
          <w:rFonts w:ascii="Arial" w:cs="Arial" w:eastAsia="Arial" w:hAnsi="Arial"/>
          <w:sz w:val="22"/>
          <w:szCs w:val="22"/>
        </w:rPr>
        <w:t xml:space="preserve">Ensure E-E-A-T signals are strong: author bios on blog posts, clinician credentials on service pages, medical review policy (you have this — good), and publication dates.</w:t>
      </w:r>
    </w:p>
    <w:p>
      <w:r>
        <w:br w:type="page"/>
      </w:r>
    </w:p>
    <w:p>
      <w:pPr>
        <w:pStyle w:val="Heading1"/>
        <w:spacing w:after="150" w:before="300"/>
      </w:pPr>
      <w:r>
        <w:t xml:space="preserve">3. Individual Service Page Audits</w:t>
      </w:r>
    </w:p>
    <w:p>
      <w:pPr>
        <w:pStyle w:val="Heading2"/>
        <w:spacing w:after="150" w:before="300"/>
      </w:pPr>
      <w:r>
        <w:t xml:space="preserve">3.1 Nexus Letter / IMO Page</w:t>
      </w:r>
    </w:p>
    <w:p>
      <w:pPr>
        <w:pStyle w:val="Heading3"/>
        <w:spacing w:after="150" w:before="300"/>
      </w:pPr>
      <w:r>
        <w:t xml:space="preserve">Strengths</w:t>
      </w:r>
    </w:p>
    <w:p>
      <w:pPr>
        <w:pStyle w:val="ListParagraph"/>
        <w:numPr>
          <w:ilvl w:val="0"/>
          <w:numId w:val="2"/>
        </w:numPr>
        <w:spacing w:after="80" w:line="276"/>
      </w:pPr>
      <w:r>
        <w:rPr>
          <w:rFonts w:ascii="Arial" w:cs="Arial" w:eastAsia="Arial" w:hAnsi="Arial"/>
          <w:sz w:val="22"/>
          <w:szCs w:val="22"/>
        </w:rPr>
        <w:t xml:space="preserve">Strong overview explaining what the service includes</w:t>
      </w:r>
    </w:p>
    <w:p>
      <w:pPr>
        <w:pStyle w:val="ListParagraph"/>
        <w:numPr>
          <w:ilvl w:val="0"/>
          <w:numId w:val="2"/>
        </w:numPr>
        <w:spacing w:after="80" w:line="276"/>
      </w:pPr>
      <w:r>
        <w:rPr>
          <w:rFonts w:ascii="Arial" w:cs="Arial" w:eastAsia="Arial" w:hAnsi="Arial"/>
          <w:sz w:val="22"/>
          <w:szCs w:val="22"/>
        </w:rPr>
        <w:t xml:space="preserve">Excellent “Related Insights” section linking to relevant blog posts and case studies</w:t>
      </w:r>
    </w:p>
    <w:p>
      <w:pPr>
        <w:pStyle w:val="ListParagraph"/>
        <w:numPr>
          <w:ilvl w:val="0"/>
          <w:numId w:val="2"/>
        </w:numPr>
        <w:spacing w:after="80" w:line="276"/>
      </w:pPr>
      <w:r>
        <w:rPr>
          <w:rFonts w:ascii="Arial" w:cs="Arial" w:eastAsia="Arial" w:hAnsi="Arial"/>
          <w:sz w:val="22"/>
          <w:szCs w:val="22"/>
        </w:rPr>
        <w:t xml:space="preserve">Price transparency ($945 starting) builds trust</w:t>
      </w:r>
    </w:p>
    <w:p>
      <w:pPr>
        <w:pStyle w:val="ListParagraph"/>
        <w:numPr>
          <w:ilvl w:val="0"/>
          <w:numId w:val="2"/>
        </w:numPr>
        <w:spacing w:after="80" w:line="276"/>
      </w:pPr>
      <w:r>
        <w:rPr>
          <w:rFonts w:ascii="Arial" w:cs="Arial" w:eastAsia="Arial" w:hAnsi="Arial"/>
          <w:sz w:val="22"/>
          <w:szCs w:val="22"/>
        </w:rPr>
        <w:t xml:space="preserve">Trust-building section with links to case studies, testimonials, policies</w:t>
      </w:r>
    </w:p>
    <w:p>
      <w:pPr>
        <w:pStyle w:val="Heading3"/>
        <w:spacing w:after="150" w:before="300"/>
      </w:pPr>
      <w:r>
        <w:t xml:space="preserve">Content Updates Needed</w:t>
      </w:r>
    </w:p>
    <w:p>
      <w:pPr>
        <w:pStyle w:val="ListParagraph"/>
        <w:numPr>
          <w:ilvl w:val="0"/>
          <w:numId w:val="2"/>
        </w:numPr>
        <w:spacing w:after="80" w:line="276"/>
      </w:pPr>
      <w:r>
        <w:rPr>
          <w:rFonts w:ascii="Arial" w:cs="Arial" w:eastAsia="Arial" w:hAnsi="Arial"/>
          <w:sz w:val="22"/>
          <w:szCs w:val="22"/>
        </w:rPr>
        <w:t xml:space="preserve">FAQ answers must be visible/indexable: All 11 FAQ questions show headings only. Expand with full answers rendered in HTML. Each answer should be 75-150 words with the direct answer in the first sentence.</w:t>
      </w:r>
    </w:p>
    <w:p>
      <w:pPr>
        <w:pStyle w:val="ListParagraph"/>
        <w:numPr>
          <w:ilvl w:val="0"/>
          <w:numId w:val="2"/>
        </w:numPr>
        <w:spacing w:after="80" w:line="276"/>
      </w:pPr>
      <w:r>
        <w:rPr>
          <w:rFonts w:ascii="Arial" w:cs="Arial" w:eastAsia="Arial" w:hAnsi="Arial"/>
          <w:sz w:val="22"/>
          <w:szCs w:val="22"/>
        </w:rPr>
        <w:t xml:space="preserve">Add secondary keyword targeting: Include mentions of “secondary service connection nexus letter,” “aggravation nexus letter,” “presumptive condition nexus letter,” and “PACT Act nexus letter.”</w:t>
      </w:r>
    </w:p>
    <w:p>
      <w:pPr>
        <w:pStyle w:val="ListParagraph"/>
        <w:numPr>
          <w:ilvl w:val="0"/>
          <w:numId w:val="2"/>
        </w:numPr>
        <w:spacing w:after="80" w:line="276"/>
      </w:pPr>
      <w:r>
        <w:rPr>
          <w:rFonts w:ascii="Arial" w:cs="Arial" w:eastAsia="Arial" w:hAnsi="Arial"/>
          <w:sz w:val="22"/>
          <w:szCs w:val="22"/>
        </w:rPr>
        <w:t xml:space="preserve">Add a “Conditions We Commonly Support” section listing: PTSD, sleep apnea, tinnitus, back/knee conditions, migraines, GERD, hypertension, etc. with internal links to relevant blog posts.</w:t>
      </w:r>
    </w:p>
    <w:p>
      <w:pPr>
        <w:pStyle w:val="ListParagraph"/>
        <w:numPr>
          <w:ilvl w:val="0"/>
          <w:numId w:val="2"/>
        </w:numPr>
        <w:spacing w:after="80" w:line="276"/>
      </w:pPr>
      <w:r>
        <w:rPr>
          <w:rFonts w:ascii="Arial" w:cs="Arial" w:eastAsia="Arial" w:hAnsi="Arial"/>
          <w:sz w:val="22"/>
          <w:szCs w:val="22"/>
        </w:rPr>
        <w:t xml:space="preserve">Add a brief section on “How Our Nexus Letters Differ” highlighting: physician board-certification match to condition specialty, evidence-based rationale with medical literature citations, VA-compliant language standards.</w:t>
      </w:r>
    </w:p>
    <w:p>
      <w:pPr>
        <w:pStyle w:val="ListParagraph"/>
        <w:numPr>
          <w:ilvl w:val="0"/>
          <w:numId w:val="2"/>
        </w:numPr>
        <w:spacing w:after="80" w:line="276"/>
      </w:pPr>
      <w:r>
        <w:rPr>
          <w:rFonts w:ascii="Arial" w:cs="Arial" w:eastAsia="Arial" w:hAnsi="Arial"/>
          <w:sz w:val="22"/>
          <w:szCs w:val="22"/>
        </w:rPr>
        <w:t xml:space="preserve">Missing internal link to C&amp;P Exam Coaching page — these services are natural complements.</w:t>
      </w:r>
    </w:p>
    <w:p>
      <w:pPr>
        <w:pStyle w:val="ListParagraph"/>
        <w:numPr>
          <w:ilvl w:val="0"/>
          <w:numId w:val="2"/>
        </w:numPr>
        <w:spacing w:after="80" w:line="276"/>
      </w:pPr>
      <w:r>
        <w:rPr>
          <w:rFonts w:ascii="Arial" w:cs="Arial" w:eastAsia="Arial" w:hAnsi="Arial"/>
          <w:sz w:val="22"/>
          <w:szCs w:val="22"/>
        </w:rPr>
        <w:t xml:space="preserve">Add external authority link to 38 CFR §3.159 on VA.gov for the “competent medical evidence” standard.</w:t>
      </w:r>
    </w:p>
    <w:p>
      <w:pPr>
        <w:pStyle w:val="Heading3"/>
        <w:spacing w:after="150" w:before="300"/>
      </w:pPr>
      <w:r>
        <w:t xml:space="preserve">FAQ Updates for AEO</w:t>
      </w:r>
    </w:p>
    <w:p>
      <w:pPr>
        <w:spacing w:after="120" w:line="276"/>
      </w:pPr>
      <w:r>
        <w:rPr>
          <w:rFonts w:ascii="Arial" w:cs="Arial" w:eastAsia="Arial" w:hAnsi="Arial"/>
          <w:sz w:val="22"/>
          <w:szCs w:val="22"/>
        </w:rPr>
        <w:t xml:space="preserve">Each of the 11 FAQ questions needs a visible answer. Here are recommended improvements for the most critical ones:</w:t>
      </w:r>
    </w:p>
    <w:p>
      <w:pPr>
        <w:spacing w:after="120" w:line="276"/>
      </w:pPr>
      <w:r>
        <w:rPr>
          <w:rFonts w:ascii="Arial" w:cs="Arial" w:eastAsia="Arial" w:hAnsi="Arial"/>
          <w:b/>
          <w:bCs/>
          <w:sz w:val="22"/>
          <w:szCs w:val="22"/>
        </w:rPr>
        <w:t xml:space="preserve">Q: What is a Nexus Letter or Independent Medical Opinion (IMO)? </w:t>
      </w:r>
      <w:r>
        <w:rPr>
          <w:rFonts w:ascii="Arial" w:cs="Arial" w:eastAsia="Arial" w:hAnsi="Arial"/>
          <w:sz w:val="22"/>
          <w:szCs w:val="22"/>
        </w:rPr>
        <w:t xml:space="preserve">Answer should open with: “A nexus letter is a written medical opinion from a licensed healthcare provider that establishes a connection between a veteran’s current disability and their military service. The VA requires this link, called a ‘nexus,’ to grant service-connected disability compensation under 38 CFR.” Then expand with details.</w:t>
      </w:r>
    </w:p>
    <w:p>
      <w:pPr>
        <w:spacing w:after="120" w:line="276"/>
      </w:pPr>
      <w:r>
        <w:rPr>
          <w:rFonts w:ascii="Arial" w:cs="Arial" w:eastAsia="Arial" w:hAnsi="Arial"/>
          <w:b/>
          <w:bCs/>
          <w:sz w:val="22"/>
          <w:szCs w:val="22"/>
        </w:rPr>
        <w:t xml:space="preserve">Q: How Much Does a Nexus Letter Cost? </w:t>
      </w:r>
      <w:r>
        <w:rPr>
          <w:rFonts w:ascii="Arial" w:cs="Arial" w:eastAsia="Arial" w:hAnsi="Arial"/>
          <w:sz w:val="22"/>
          <w:szCs w:val="22"/>
        </w:rPr>
        <w:t xml:space="preserve">Answer should state the starting price clearly: “Our nexus letters start at $945, which includes a comprehensive record review and a board-certified physician’s signed medical opinion. Pricing may vary based on claim complexity.” Include brief comparison context.</w:t>
      </w:r>
    </w:p>
    <w:p>
      <w:pPr>
        <w:spacing w:after="120" w:line="276"/>
      </w:pPr>
      <w:r>
        <w:rPr>
          <w:rFonts w:ascii="Arial" w:cs="Arial" w:eastAsia="Arial" w:hAnsi="Arial"/>
          <w:b/>
          <w:bCs/>
          <w:sz w:val="22"/>
          <w:szCs w:val="22"/>
        </w:rPr>
        <w:t xml:space="preserve">Q: Who Writes the Nexus Letter? </w:t>
      </w:r>
      <w:r>
        <w:rPr>
          <w:rFonts w:ascii="Arial" w:cs="Arial" w:eastAsia="Arial" w:hAnsi="Arial"/>
          <w:sz w:val="22"/>
          <w:szCs w:val="22"/>
        </w:rPr>
        <w:t xml:space="preserve">Emphasize board-certified, specialty-matched physicians. This directly counters competitor criticism about NPs vs. MDs writing letters.</w:t>
      </w:r>
    </w:p>
    <w:p>
      <w:pPr>
        <w:pStyle w:val="Heading2"/>
        <w:spacing w:after="150" w:before="300"/>
      </w:pPr>
      <w:r>
        <w:t xml:space="preserve">3.2 Disability Benefits Questionnaire (DBQ) Page</w:t>
      </w:r>
    </w:p>
    <w:p>
      <w:pPr>
        <w:pStyle w:val="Heading3"/>
        <w:spacing w:after="150" w:before="300"/>
      </w:pPr>
      <w:r>
        <w:t xml:space="preserve">Content Updates Needed</w:t>
      </w:r>
    </w:p>
    <w:p>
      <w:pPr>
        <w:pStyle w:val="ListParagraph"/>
        <w:numPr>
          <w:ilvl w:val="0"/>
          <w:numId w:val="2"/>
        </w:numPr>
        <w:spacing w:after="80" w:line="276"/>
      </w:pPr>
      <w:r>
        <w:rPr>
          <w:rFonts w:ascii="Arial" w:cs="Arial" w:eastAsia="Arial" w:hAnsi="Arial"/>
          <w:sz w:val="22"/>
          <w:szCs w:val="22"/>
        </w:rPr>
        <w:t xml:space="preserve">Add a list of specific DBQ conditions you offer via telehealth. Veterans searching for “PTSD DBQ” or “mental health DBQ” or “back condition DBQ” need to see their condition listed. This is a huge SEO opportunity.</w:t>
      </w:r>
    </w:p>
    <w:p>
      <w:pPr>
        <w:pStyle w:val="ListParagraph"/>
        <w:numPr>
          <w:ilvl w:val="0"/>
          <w:numId w:val="2"/>
        </w:numPr>
        <w:spacing w:after="80" w:line="276"/>
      </w:pPr>
      <w:r>
        <w:rPr>
          <w:rFonts w:ascii="Arial" w:cs="Arial" w:eastAsia="Arial" w:hAnsi="Arial"/>
          <w:sz w:val="22"/>
          <w:szCs w:val="22"/>
        </w:rPr>
        <w:t xml:space="preserve">Expand the FAQ answers (same accordion indexability issue). The question “Do You Offer DBQs for All Medical Conditions, or Only Certain Ones?” is critical — make the answer detailed and visible.</w:t>
      </w:r>
    </w:p>
    <w:p>
      <w:pPr>
        <w:pStyle w:val="ListParagraph"/>
        <w:numPr>
          <w:ilvl w:val="0"/>
          <w:numId w:val="2"/>
        </w:numPr>
        <w:spacing w:after="80" w:line="276"/>
      </w:pPr>
      <w:r>
        <w:rPr>
          <w:rFonts w:ascii="Arial" w:cs="Arial" w:eastAsia="Arial" w:hAnsi="Arial"/>
          <w:sz w:val="22"/>
          <w:szCs w:val="22"/>
        </w:rPr>
        <w:t xml:space="preserve">Add a comparison table: “Private DBQ vs. C&amp;P Exam DBQ” explaining the advantages of a private DBQ (more thorough, veteran-controlled timeline, familiar with your condition).</w:t>
      </w:r>
    </w:p>
    <w:p>
      <w:pPr>
        <w:pStyle w:val="ListParagraph"/>
        <w:numPr>
          <w:ilvl w:val="0"/>
          <w:numId w:val="2"/>
        </w:numPr>
        <w:spacing w:after="80" w:line="276"/>
      </w:pPr>
      <w:r>
        <w:rPr>
          <w:rFonts w:ascii="Arial" w:cs="Arial" w:eastAsia="Arial" w:hAnsi="Arial"/>
          <w:sz w:val="22"/>
          <w:szCs w:val="22"/>
        </w:rPr>
        <w:t xml:space="preserve">Add a section on “When to Get a DBQ + Nexus Letter Together” — this creates natural upsell and internal linking opportunity.</w:t>
      </w:r>
    </w:p>
    <w:p>
      <w:pPr>
        <w:pStyle w:val="ListParagraph"/>
        <w:numPr>
          <w:ilvl w:val="0"/>
          <w:numId w:val="2"/>
        </w:numPr>
        <w:spacing w:after="80" w:line="276"/>
      </w:pPr>
      <w:r>
        <w:rPr>
          <w:rFonts w:ascii="Arial" w:cs="Arial" w:eastAsia="Arial" w:hAnsi="Arial"/>
          <w:sz w:val="22"/>
          <w:szCs w:val="22"/>
        </w:rPr>
        <w:t xml:space="preserve">Add a link to your C&amp;P Exam Coaching page: “Already have a C&amp;P exam scheduled? Consider our C&amp;P Exam Coaching service.”</w:t>
      </w:r>
    </w:p>
    <w:p>
      <w:pPr>
        <w:pStyle w:val="ListParagraph"/>
        <w:numPr>
          <w:ilvl w:val="0"/>
          <w:numId w:val="2"/>
        </w:numPr>
        <w:spacing w:after="80" w:line="276"/>
      </w:pPr>
      <w:r>
        <w:rPr>
          <w:rFonts w:ascii="Arial" w:cs="Arial" w:eastAsia="Arial" w:hAnsi="Arial"/>
          <w:sz w:val="22"/>
          <w:szCs w:val="22"/>
        </w:rPr>
        <w:t xml:space="preserve">Add external link to VA’s public DBQ page (benefits.va.gov/compensation/dbq_publicdbqs.asp) to demonstrate transparency and authority.</w:t>
      </w:r>
    </w:p>
    <w:p>
      <w:pPr>
        <w:pStyle w:val="Heading3"/>
        <w:spacing w:after="150" w:before="300"/>
      </w:pPr>
      <w:r>
        <w:t xml:space="preserve">SEO Keyword Additions</w:t>
      </w:r>
    </w:p>
    <w:p>
      <w:pPr>
        <w:pStyle w:val="ListParagraph"/>
        <w:numPr>
          <w:ilvl w:val="0"/>
          <w:numId w:val="2"/>
        </w:numPr>
        <w:spacing w:after="80" w:line="276"/>
      </w:pPr>
      <w:r>
        <w:rPr>
          <w:rFonts w:ascii="Arial" w:cs="Arial" w:eastAsia="Arial" w:hAnsi="Arial"/>
          <w:sz w:val="22"/>
          <w:szCs w:val="22"/>
        </w:rPr>
        <w:t xml:space="preserve">Target: “private DBQ provider,” “VA DBQ completion service,” “telehealth DBQ for veterans,” “DBQ vs C&amp;P exam,” “board certified physician DBQ.”</w:t>
      </w:r>
    </w:p>
    <w:p>
      <w:pPr>
        <w:pStyle w:val="Heading2"/>
        <w:spacing w:after="150" w:before="300"/>
      </w:pPr>
      <w:r>
        <w:t xml:space="preserve">3.3 Aid &amp; Attendance Page</w:t>
      </w:r>
    </w:p>
    <w:p>
      <w:pPr>
        <w:pStyle w:val="Heading3"/>
        <w:spacing w:after="150" w:before="300"/>
      </w:pPr>
      <w:r>
        <w:t xml:space="preserve">Strengths</w:t>
      </w:r>
    </w:p>
    <w:p>
      <w:pPr>
        <w:pStyle w:val="ListParagraph"/>
        <w:numPr>
          <w:ilvl w:val="0"/>
          <w:numId w:val="2"/>
        </w:numPr>
        <w:spacing w:after="80" w:line="276"/>
      </w:pPr>
      <w:r>
        <w:rPr>
          <w:rFonts w:ascii="Arial" w:cs="Arial" w:eastAsia="Arial" w:hAnsi="Arial"/>
          <w:sz w:val="22"/>
          <w:szCs w:val="22"/>
        </w:rPr>
        <w:t xml:space="preserve">This is your strongest service page. Detailed “Who Qualifies” and “Why Professional Documentation Matters” sections are excellent.</w:t>
      </w:r>
    </w:p>
    <w:p>
      <w:pPr>
        <w:pStyle w:val="ListParagraph"/>
        <w:numPr>
          <w:ilvl w:val="0"/>
          <w:numId w:val="2"/>
        </w:numPr>
        <w:spacing w:after="80" w:line="276"/>
      </w:pPr>
      <w:r>
        <w:rPr>
          <w:rFonts w:ascii="Arial" w:cs="Arial" w:eastAsia="Arial" w:hAnsi="Arial"/>
          <w:sz w:val="22"/>
          <w:szCs w:val="22"/>
        </w:rPr>
        <w:t xml:space="preserve">Good step-by-step process explanation.</w:t>
      </w:r>
    </w:p>
    <w:p>
      <w:pPr>
        <w:pStyle w:val="ListParagraph"/>
        <w:numPr>
          <w:ilvl w:val="0"/>
          <w:numId w:val="2"/>
        </w:numPr>
        <w:spacing w:after="80" w:line="276"/>
      </w:pPr>
      <w:r>
        <w:rPr>
          <w:rFonts w:ascii="Arial" w:cs="Arial" w:eastAsia="Arial" w:hAnsi="Arial"/>
          <w:sz w:val="22"/>
          <w:szCs w:val="22"/>
        </w:rPr>
        <w:t xml:space="preserve">Related blog posts are highly relevant (A&amp;A vs. Housebound, P&amp;T pathway).</w:t>
      </w:r>
    </w:p>
    <w:p>
      <w:pPr>
        <w:pStyle w:val="Heading3"/>
        <w:spacing w:after="150" w:before="300"/>
      </w:pPr>
      <w:r>
        <w:t xml:space="preserve">Content Updates Needed</w:t>
      </w:r>
    </w:p>
    <w:p>
      <w:pPr>
        <w:pStyle w:val="ListParagraph"/>
        <w:numPr>
          <w:ilvl w:val="0"/>
          <w:numId w:val="2"/>
        </w:numPr>
        <w:spacing w:after="80" w:line="276"/>
      </w:pPr>
      <w:r>
        <w:rPr>
          <w:rFonts w:ascii="Arial" w:cs="Arial" w:eastAsia="Arial" w:hAnsi="Arial"/>
          <w:sz w:val="22"/>
          <w:szCs w:val="22"/>
        </w:rPr>
        <w:t xml:space="preserve">Add 2026 Aid &amp; Attendance payment rates. Veterans heavily search for “aid and attendance rates 2026.” A brief table showing current monthly amounts would capture this traffic and can be updated annually.</w:t>
      </w:r>
    </w:p>
    <w:p>
      <w:pPr>
        <w:pStyle w:val="ListParagraph"/>
        <w:numPr>
          <w:ilvl w:val="0"/>
          <w:numId w:val="2"/>
        </w:numPr>
        <w:spacing w:after="80" w:line="276"/>
      </w:pPr>
      <w:r>
        <w:rPr>
          <w:rFonts w:ascii="Arial" w:cs="Arial" w:eastAsia="Arial" w:hAnsi="Arial"/>
          <w:sz w:val="22"/>
          <w:szCs w:val="22"/>
        </w:rPr>
        <w:t xml:space="preserve">Fix the grammar: “What is a Aid and Attendance” should be “What is Aid and Attendance.”</w:t>
      </w:r>
    </w:p>
    <w:p>
      <w:pPr>
        <w:pStyle w:val="ListParagraph"/>
        <w:numPr>
          <w:ilvl w:val="0"/>
          <w:numId w:val="2"/>
        </w:numPr>
        <w:spacing w:after="80" w:line="276"/>
      </w:pPr>
      <w:r>
        <w:rPr>
          <w:rFonts w:ascii="Arial" w:cs="Arial" w:eastAsia="Arial" w:hAnsi="Arial"/>
          <w:sz w:val="22"/>
          <w:szCs w:val="22"/>
        </w:rPr>
        <w:t xml:space="preserve">Add mention of surviving spouse eligibility earlier in the page (it’s buried in the overview). This captures the “aid and attendance for surviving spouse” keyword.</w:t>
      </w:r>
    </w:p>
    <w:p>
      <w:pPr>
        <w:pStyle w:val="ListParagraph"/>
        <w:numPr>
          <w:ilvl w:val="0"/>
          <w:numId w:val="2"/>
        </w:numPr>
        <w:spacing w:after="80" w:line="276"/>
      </w:pPr>
      <w:r>
        <w:rPr>
          <w:rFonts w:ascii="Arial" w:cs="Arial" w:eastAsia="Arial" w:hAnsi="Arial"/>
          <w:sz w:val="22"/>
          <w:szCs w:val="22"/>
        </w:rPr>
        <w:t xml:space="preserve">Link internally to the TDIU page (once created) since P&amp;T veterans often qualify for both.</w:t>
      </w:r>
    </w:p>
    <w:p>
      <w:pPr>
        <w:pStyle w:val="ListParagraph"/>
        <w:numPr>
          <w:ilvl w:val="0"/>
          <w:numId w:val="2"/>
        </w:numPr>
        <w:spacing w:after="80" w:line="276"/>
      </w:pPr>
      <w:r>
        <w:rPr>
          <w:rFonts w:ascii="Arial" w:cs="Arial" w:eastAsia="Arial" w:hAnsi="Arial"/>
          <w:sz w:val="22"/>
          <w:szCs w:val="22"/>
        </w:rPr>
        <w:t xml:space="preserve">Add FAQ schema markup with visible answers.</w:t>
      </w:r>
    </w:p>
    <w:p>
      <w:pPr>
        <w:pStyle w:val="Heading2"/>
        <w:spacing w:after="150" w:before="300"/>
      </w:pPr>
      <w:r>
        <w:t xml:space="preserve">3.4 Claim Readiness Review Page</w:t>
      </w:r>
    </w:p>
    <w:p>
      <w:pPr>
        <w:pStyle w:val="Heading3"/>
        <w:spacing w:after="150" w:before="300"/>
      </w:pPr>
      <w:r>
        <w:t xml:space="preserve">Strengths</w:t>
      </w:r>
    </w:p>
    <w:p>
      <w:pPr>
        <w:pStyle w:val="ListParagraph"/>
        <w:numPr>
          <w:ilvl w:val="0"/>
          <w:numId w:val="2"/>
        </w:numPr>
        <w:spacing w:after="80" w:line="276"/>
      </w:pPr>
      <w:r>
        <w:rPr>
          <w:rFonts w:ascii="Arial" w:cs="Arial" w:eastAsia="Arial" w:hAnsi="Arial"/>
          <w:sz w:val="22"/>
          <w:szCs w:val="22"/>
        </w:rPr>
        <w:t xml:space="preserve">Excellent veteran-first positioning (“we focus on what’s necessary, not what’s billable”).</w:t>
      </w:r>
    </w:p>
    <w:p>
      <w:pPr>
        <w:pStyle w:val="ListParagraph"/>
        <w:numPr>
          <w:ilvl w:val="0"/>
          <w:numId w:val="2"/>
        </w:numPr>
        <w:spacing w:after="80" w:line="276"/>
      </w:pPr>
      <w:r>
        <w:rPr>
          <w:rFonts w:ascii="Arial" w:cs="Arial" w:eastAsia="Arial" w:hAnsi="Arial"/>
          <w:sz w:val="22"/>
          <w:szCs w:val="22"/>
        </w:rPr>
        <w:t xml:space="preserve">Free diagnostic CTA is well-placed.</w:t>
      </w:r>
    </w:p>
    <w:p>
      <w:pPr>
        <w:pStyle w:val="ListParagraph"/>
        <w:numPr>
          <w:ilvl w:val="0"/>
          <w:numId w:val="2"/>
        </w:numPr>
        <w:spacing w:after="80" w:line="276"/>
      </w:pPr>
      <w:r>
        <w:rPr>
          <w:rFonts w:ascii="Arial" w:cs="Arial" w:eastAsia="Arial" w:hAnsi="Arial"/>
          <w:sz w:val="22"/>
          <w:szCs w:val="22"/>
        </w:rPr>
        <w:t xml:space="preserve">Clear “who this is for” criteria.</w:t>
      </w:r>
    </w:p>
    <w:p>
      <w:pPr>
        <w:pStyle w:val="Heading3"/>
        <w:spacing w:after="150" w:before="300"/>
      </w:pPr>
      <w:r>
        <w:t xml:space="preserve">Content Updates Needed</w:t>
      </w:r>
    </w:p>
    <w:p>
      <w:pPr>
        <w:pStyle w:val="ListParagraph"/>
        <w:numPr>
          <w:ilvl w:val="0"/>
          <w:numId w:val="2"/>
        </w:numPr>
        <w:spacing w:after="80" w:line="276"/>
      </w:pPr>
      <w:r>
        <w:rPr>
          <w:rFonts w:ascii="Arial" w:cs="Arial" w:eastAsia="Arial" w:hAnsi="Arial"/>
          <w:sz w:val="22"/>
          <w:szCs w:val="22"/>
        </w:rPr>
        <w:t xml:space="preserve">Add a comparison table: “Claim Readiness Review vs. Hiring a VA Claim Company” showing your independent, no-upsell approach. This differentiates from VA Claims Insider and similar membership programs.</w:t>
      </w:r>
    </w:p>
    <w:p>
      <w:pPr>
        <w:pStyle w:val="ListParagraph"/>
        <w:numPr>
          <w:ilvl w:val="0"/>
          <w:numId w:val="2"/>
        </w:numPr>
        <w:spacing w:after="80" w:line="276"/>
      </w:pPr>
      <w:r>
        <w:rPr>
          <w:rFonts w:ascii="Arial" w:cs="Arial" w:eastAsia="Arial" w:hAnsi="Arial"/>
          <w:sz w:val="22"/>
          <w:szCs w:val="22"/>
        </w:rPr>
        <w:t xml:space="preserve">Expand TERA/aggravation content. The page mentions “aggravated (TERA) claim pathways” but doesn’t explain what TERA is. Add a brief definition and link to a blog post.</w:t>
      </w:r>
    </w:p>
    <w:p>
      <w:pPr>
        <w:pStyle w:val="ListParagraph"/>
        <w:numPr>
          <w:ilvl w:val="0"/>
          <w:numId w:val="2"/>
        </w:numPr>
        <w:spacing w:after="80" w:line="276"/>
      </w:pPr>
      <w:r>
        <w:rPr>
          <w:rFonts w:ascii="Arial" w:cs="Arial" w:eastAsia="Arial" w:hAnsi="Arial"/>
          <w:sz w:val="22"/>
          <w:szCs w:val="22"/>
        </w:rPr>
        <w:t xml:space="preserve">Add internal links to each service that might result from the review (“If our review identifies a need for a nexus letter, we’ll tell you.”).</w:t>
      </w:r>
    </w:p>
    <w:p>
      <w:pPr>
        <w:pStyle w:val="ListParagraph"/>
        <w:numPr>
          <w:ilvl w:val="0"/>
          <w:numId w:val="2"/>
        </w:numPr>
        <w:spacing w:after="80" w:line="276"/>
      </w:pPr>
      <w:r>
        <w:rPr>
          <w:rFonts w:ascii="Arial" w:cs="Arial" w:eastAsia="Arial" w:hAnsi="Arial"/>
          <w:sz w:val="22"/>
          <w:szCs w:val="22"/>
        </w:rPr>
        <w:t xml:space="preserve">Target keywords: “VA claim review service,” “VA claim gap analysis,” “pre-filing VA claim review,” “VA claim denied what to do next.”</w:t>
      </w:r>
    </w:p>
    <w:p>
      <w:pPr>
        <w:pStyle w:val="ListParagraph"/>
        <w:numPr>
          <w:ilvl w:val="0"/>
          <w:numId w:val="2"/>
        </w:numPr>
        <w:spacing w:after="80" w:line="276"/>
      </w:pPr>
      <w:r>
        <w:rPr>
          <w:rFonts w:ascii="Arial" w:cs="Arial" w:eastAsia="Arial" w:hAnsi="Arial"/>
          <w:sz w:val="22"/>
          <w:szCs w:val="22"/>
        </w:rPr>
        <w:t xml:space="preserve">FAQ answers need to be visible/indexable (same accordion issue).</w:t>
      </w:r>
    </w:p>
    <w:p>
      <w:pPr>
        <w:pStyle w:val="Heading2"/>
        <w:spacing w:after="150" w:before="300"/>
      </w:pPr>
      <w:r>
        <w:t xml:space="preserve">3.5 VA Medical Malpractice (1151) Page</w:t>
      </w:r>
    </w:p>
    <w:p>
      <w:pPr>
        <w:pStyle w:val="Heading3"/>
        <w:spacing w:after="150" w:before="300"/>
      </w:pPr>
      <w:r>
        <w:t xml:space="preserve">Strengths</w:t>
      </w:r>
    </w:p>
    <w:p>
      <w:pPr>
        <w:pStyle w:val="ListParagraph"/>
        <w:numPr>
          <w:ilvl w:val="0"/>
          <w:numId w:val="2"/>
        </w:numPr>
        <w:spacing w:after="80" w:line="276"/>
      </w:pPr>
      <w:r>
        <w:rPr>
          <w:rFonts w:ascii="Arial" w:cs="Arial" w:eastAsia="Arial" w:hAnsi="Arial"/>
          <w:sz w:val="22"/>
          <w:szCs w:val="22"/>
        </w:rPr>
        <w:t xml:space="preserve">Extremely thorough legal and medical explanation.</w:t>
      </w:r>
    </w:p>
    <w:p>
      <w:pPr>
        <w:pStyle w:val="ListParagraph"/>
        <w:numPr>
          <w:ilvl w:val="0"/>
          <w:numId w:val="2"/>
        </w:numPr>
        <w:spacing w:after="80" w:line="276"/>
      </w:pPr>
      <w:r>
        <w:rPr>
          <w:rFonts w:ascii="Arial" w:cs="Arial" w:eastAsia="Arial" w:hAnsi="Arial"/>
          <w:sz w:val="22"/>
          <w:szCs w:val="22"/>
        </w:rPr>
        <w:t xml:space="preserve">Strong differentiation between 1151 claims and FTCA lawsuits.</w:t>
      </w:r>
    </w:p>
    <w:p>
      <w:pPr>
        <w:pStyle w:val="ListParagraph"/>
        <w:numPr>
          <w:ilvl w:val="0"/>
          <w:numId w:val="2"/>
        </w:numPr>
        <w:spacing w:after="80" w:line="276"/>
      </w:pPr>
      <w:r>
        <w:rPr>
          <w:rFonts w:ascii="Arial" w:cs="Arial" w:eastAsia="Arial" w:hAnsi="Arial"/>
          <w:sz w:val="22"/>
          <w:szCs w:val="22"/>
        </w:rPr>
        <w:t xml:space="preserve">Good explanation of the burden of proof.</w:t>
      </w:r>
    </w:p>
    <w:p>
      <w:pPr>
        <w:pStyle w:val="Heading3"/>
        <w:spacing w:after="150" w:before="300"/>
      </w:pPr>
      <w:r>
        <w:t xml:space="preserve">Content Updates Needed</w:t>
      </w:r>
    </w:p>
    <w:p>
      <w:pPr>
        <w:pStyle w:val="ListParagraph"/>
        <w:numPr>
          <w:ilvl w:val="0"/>
          <w:numId w:val="2"/>
        </w:numPr>
        <w:spacing w:after="80" w:line="276"/>
      </w:pPr>
      <w:r>
        <w:rPr>
          <w:rFonts w:ascii="Arial" w:cs="Arial" w:eastAsia="Arial" w:hAnsi="Arial"/>
          <w:sz w:val="22"/>
          <w:szCs w:val="22"/>
        </w:rPr>
        <w:t xml:space="preserve">Add specific case study links (you link to blog post but no case studies specifically for 1151 claims — if you have one, add it prominently).</w:t>
      </w:r>
    </w:p>
    <w:p>
      <w:pPr>
        <w:pStyle w:val="ListParagraph"/>
        <w:numPr>
          <w:ilvl w:val="0"/>
          <w:numId w:val="2"/>
        </w:numPr>
        <w:spacing w:after="80" w:line="276"/>
      </w:pPr>
      <w:r>
        <w:rPr>
          <w:rFonts w:ascii="Arial" w:cs="Arial" w:eastAsia="Arial" w:hAnsi="Arial"/>
          <w:sz w:val="22"/>
          <w:szCs w:val="22"/>
        </w:rPr>
        <w:t xml:space="preserve">Add a section on “Common Types of VA Medical Malpractice” (surgical errors, medication errors, delayed diagnosis, anesthesia complications, failure to treat) for additional keyword targeting.</w:t>
      </w:r>
    </w:p>
    <w:p>
      <w:pPr>
        <w:pStyle w:val="ListParagraph"/>
        <w:numPr>
          <w:ilvl w:val="0"/>
          <w:numId w:val="2"/>
        </w:numPr>
        <w:spacing w:after="80" w:line="276"/>
      </w:pPr>
      <w:r>
        <w:rPr>
          <w:rFonts w:ascii="Arial" w:cs="Arial" w:eastAsia="Arial" w:hAnsi="Arial"/>
          <w:sz w:val="22"/>
          <w:szCs w:val="22"/>
        </w:rPr>
        <w:t xml:space="preserve">Add an external link to the full text of 38 U.S.C. § 1151 on a .gov source.</w:t>
      </w:r>
    </w:p>
    <w:p>
      <w:pPr>
        <w:pStyle w:val="ListParagraph"/>
        <w:numPr>
          <w:ilvl w:val="0"/>
          <w:numId w:val="2"/>
        </w:numPr>
        <w:spacing w:after="80" w:line="276"/>
      </w:pPr>
      <w:r>
        <w:rPr>
          <w:rFonts w:ascii="Arial" w:cs="Arial" w:eastAsia="Arial" w:hAnsi="Arial"/>
          <w:sz w:val="22"/>
          <w:szCs w:val="22"/>
        </w:rPr>
        <w:t xml:space="preserve">Expand the FTCA vs. 1151 comparison into a small table for quick reference.</w:t>
      </w:r>
    </w:p>
    <w:p>
      <w:pPr>
        <w:pStyle w:val="ListParagraph"/>
        <w:numPr>
          <w:ilvl w:val="0"/>
          <w:numId w:val="2"/>
        </w:numPr>
        <w:spacing w:after="80" w:line="276"/>
      </w:pPr>
      <w:r>
        <w:rPr>
          <w:rFonts w:ascii="Arial" w:cs="Arial" w:eastAsia="Arial" w:hAnsi="Arial"/>
          <w:sz w:val="22"/>
          <w:szCs w:val="22"/>
        </w:rPr>
        <w:t xml:space="preserve">Add internal link to your attorney/VSO collaboration page (once created) — 1151 veterans often need legal representation alongside your medical documentation.</w:t>
      </w:r>
    </w:p>
    <w:p>
      <w:pPr>
        <w:pStyle w:val="ListParagraph"/>
        <w:numPr>
          <w:ilvl w:val="0"/>
          <w:numId w:val="2"/>
        </w:numPr>
        <w:spacing w:after="80" w:line="276"/>
      </w:pPr>
      <w:r>
        <w:rPr>
          <w:rFonts w:ascii="Arial" w:cs="Arial" w:eastAsia="Arial" w:hAnsi="Arial"/>
          <w:sz w:val="22"/>
          <w:szCs w:val="22"/>
        </w:rPr>
        <w:t xml:space="preserve">Target keywords: “VA malpractice claim,” “1151 claim denied,” “VA surgical error compensation,” “38 USC 1151 expert opinion.”</w:t>
      </w:r>
    </w:p>
    <w:p>
      <w:pPr>
        <w:pStyle w:val="Heading2"/>
        <w:spacing w:after="150" w:before="300"/>
      </w:pPr>
      <w:r>
        <w:t xml:space="preserve">3.6 C&amp;P Exam Coaching Page</w:t>
      </w:r>
    </w:p>
    <w:p>
      <w:pPr>
        <w:pStyle w:val="Heading3"/>
        <w:spacing w:after="150" w:before="300"/>
      </w:pPr>
      <w:r>
        <w:t xml:space="preserve">Critical Issue</w:t>
      </w:r>
    </w:p>
    <w:p>
      <w:pPr>
        <w:spacing w:after="120" w:line="276"/>
      </w:pPr>
      <w:r>
        <w:rPr>
          <w:rFonts w:ascii="Arial" w:cs="Arial" w:eastAsia="Arial" w:hAnsi="Arial"/>
          <w:b/>
          <w:bCs/>
          <w:sz w:val="22"/>
          <w:szCs w:val="22"/>
        </w:rPr>
        <w:t xml:space="preserve">This page is NOT listed under your /services URL or in the Services dropdown navigation. </w:t>
      </w:r>
      <w:r>
        <w:rPr>
          <w:rFonts w:ascii="Arial" w:cs="Arial" w:eastAsia="Arial" w:hAnsi="Arial"/>
          <w:sz w:val="22"/>
          <w:szCs w:val="22"/>
        </w:rPr>
        <w:t xml:space="preserve">It only appears in the footer. This means it’s virtually invisible to visitors browsing your services, and search engines may treat it as lower priority. Fix: Add it to the Services dropdown, list it on the /services page with its own card, and create a proper URL under /services/cp-exam-coaching.</w:t>
      </w:r>
    </w:p>
    <w:p>
      <w:pPr>
        <w:pStyle w:val="Heading3"/>
        <w:spacing w:after="150" w:before="300"/>
      </w:pPr>
      <w:r>
        <w:t xml:space="preserve">Content Strengths</w:t>
      </w:r>
    </w:p>
    <w:p>
      <w:pPr>
        <w:pStyle w:val="ListParagraph"/>
        <w:numPr>
          <w:ilvl w:val="0"/>
          <w:numId w:val="2"/>
        </w:numPr>
        <w:spacing w:after="80" w:line="276"/>
      </w:pPr>
      <w:r>
        <w:rPr>
          <w:rFonts w:ascii="Arial" w:cs="Arial" w:eastAsia="Arial" w:hAnsi="Arial"/>
          <w:sz w:val="22"/>
          <w:szCs w:val="22"/>
        </w:rPr>
        <w:t xml:space="preserve">Exceptional empathetic copy that speaks directly to veteran anxiety.</w:t>
      </w:r>
    </w:p>
    <w:p>
      <w:pPr>
        <w:pStyle w:val="ListParagraph"/>
        <w:numPr>
          <w:ilvl w:val="0"/>
          <w:numId w:val="2"/>
        </w:numPr>
        <w:spacing w:after="80" w:line="276"/>
      </w:pPr>
      <w:r>
        <w:rPr>
          <w:rFonts w:ascii="Arial" w:cs="Arial" w:eastAsia="Arial" w:hAnsi="Arial"/>
          <w:sz w:val="22"/>
          <w:szCs w:val="22"/>
        </w:rPr>
        <w:t xml:space="preserve">Clear before/after transformation section.</w:t>
      </w:r>
    </w:p>
    <w:p>
      <w:pPr>
        <w:pStyle w:val="ListParagraph"/>
        <w:numPr>
          <w:ilvl w:val="0"/>
          <w:numId w:val="2"/>
        </w:numPr>
        <w:spacing w:after="80" w:line="276"/>
      </w:pPr>
      <w:r>
        <w:rPr>
          <w:rFonts w:ascii="Arial" w:cs="Arial" w:eastAsia="Arial" w:hAnsi="Arial"/>
          <w:sz w:val="22"/>
          <w:szCs w:val="22"/>
        </w:rPr>
        <w:t xml:space="preserve">Appropriate disclaimers.</w:t>
      </w:r>
    </w:p>
    <w:p>
      <w:pPr>
        <w:pStyle w:val="Heading3"/>
        <w:spacing w:after="150" w:before="300"/>
      </w:pPr>
      <w:r>
        <w:t xml:space="preserve">Content Updates Needed</w:t>
      </w:r>
    </w:p>
    <w:p>
      <w:pPr>
        <w:pStyle w:val="ListParagraph"/>
        <w:numPr>
          <w:ilvl w:val="0"/>
          <w:numId w:val="2"/>
        </w:numPr>
        <w:spacing w:after="80" w:line="276"/>
      </w:pPr>
      <w:r>
        <w:rPr>
          <w:rFonts w:ascii="Arial" w:cs="Arial" w:eastAsia="Arial" w:hAnsi="Arial"/>
          <w:sz w:val="22"/>
          <w:szCs w:val="22"/>
        </w:rPr>
        <w:t xml:space="preserve">Add FAQ schema markup (currently 6 FAQs — expand answers to be AEO-friendly).</w:t>
      </w:r>
    </w:p>
    <w:p>
      <w:pPr>
        <w:pStyle w:val="ListParagraph"/>
        <w:numPr>
          <w:ilvl w:val="0"/>
          <w:numId w:val="2"/>
        </w:numPr>
        <w:spacing w:after="80" w:line="276"/>
      </w:pPr>
      <w:r>
        <w:rPr>
          <w:rFonts w:ascii="Arial" w:cs="Arial" w:eastAsia="Arial" w:hAnsi="Arial"/>
          <w:sz w:val="22"/>
          <w:szCs w:val="22"/>
        </w:rPr>
        <w:t xml:space="preserve">Add internal links to your Nexus Letter and DBQ pages (“If your C&amp;P exam goes poorly, you may want to consider a private DBQ or rebuttal opinion.”).</w:t>
      </w:r>
    </w:p>
    <w:p>
      <w:pPr>
        <w:pStyle w:val="ListParagraph"/>
        <w:numPr>
          <w:ilvl w:val="0"/>
          <w:numId w:val="2"/>
        </w:numPr>
        <w:spacing w:after="80" w:line="276"/>
      </w:pPr>
      <w:r>
        <w:rPr>
          <w:rFonts w:ascii="Arial" w:cs="Arial" w:eastAsia="Arial" w:hAnsi="Arial"/>
          <w:sz w:val="22"/>
          <w:szCs w:val="22"/>
        </w:rPr>
        <w:t xml:space="preserve">Add mention of what happens after a bad C&amp;P exam and how your other services can help.</w:t>
      </w:r>
    </w:p>
    <w:p>
      <w:pPr>
        <w:pStyle w:val="ListParagraph"/>
        <w:numPr>
          <w:ilvl w:val="0"/>
          <w:numId w:val="2"/>
        </w:numPr>
        <w:spacing w:after="80" w:line="276"/>
      </w:pPr>
      <w:r>
        <w:rPr>
          <w:rFonts w:ascii="Arial" w:cs="Arial" w:eastAsia="Arial" w:hAnsi="Arial"/>
          <w:sz w:val="22"/>
          <w:szCs w:val="22"/>
        </w:rPr>
        <w:t xml:space="preserve">Target keywords: “C&amp;P exam preparation,” “C&amp;P exam coaching,” “how to prepare for C&amp;P exam,” “C&amp;P exam tips.”</w:t>
      </w:r>
    </w:p>
    <w:p>
      <w:r>
        <w:br w:type="page"/>
      </w:r>
    </w:p>
    <w:p>
      <w:pPr>
        <w:pStyle w:val="Heading1"/>
        <w:spacing w:after="150" w:before="300"/>
      </w:pPr>
      <w:r>
        <w:t xml:space="preserve">4. FAQ Section Optimization (All Pages)</w:t>
      </w:r>
    </w:p>
    <w:p>
      <w:pPr>
        <w:spacing w:after="120" w:line="276"/>
      </w:pPr>
      <w:r>
        <w:rPr>
          <w:rFonts w:ascii="Arial" w:cs="Arial" w:eastAsia="Arial" w:hAnsi="Arial"/>
          <w:sz w:val="22"/>
          <w:szCs w:val="22"/>
        </w:rPr>
        <w:t xml:space="preserve">This is the single highest-impact change you can make for GEO and AEO. Currently, your FAQ sections across all service pages show question headings but answers are hidden behind JavaScript accordions. AI engines (ChatGPT, Perplexity, Google Gemini, Google AI Overviews) and search engine crawlers often cannot access accordion-hidden content.</w:t>
      </w:r>
    </w:p>
    <w:p>
      <w:pPr>
        <w:pStyle w:val="Heading2"/>
        <w:spacing w:after="150" w:before="300"/>
      </w:pPr>
      <w:r>
        <w:t xml:space="preserve">Universal FAQ Fixes</w:t>
      </w:r>
    </w:p>
    <w:p>
      <w:pPr>
        <w:pStyle w:val="ListParagraph"/>
        <w:numPr>
          <w:ilvl w:val="0"/>
          <w:numId w:val="2"/>
        </w:numPr>
        <w:spacing w:after="80" w:line="276"/>
      </w:pPr>
      <w:r>
        <w:rPr>
          <w:rFonts w:ascii="Arial" w:cs="Arial" w:eastAsia="Arial" w:hAnsi="Arial"/>
          <w:sz w:val="22"/>
          <w:szCs w:val="22"/>
        </w:rPr>
        <w:t xml:space="preserve">Render all FAQ answers as visible HTML text. You can still use accordions visually, but the answer text must exist in the page source (use CSS to collapse/expand rather than JavaScript that injects content).</w:t>
      </w:r>
    </w:p>
    <w:p>
      <w:pPr>
        <w:pStyle w:val="ListParagraph"/>
        <w:numPr>
          <w:ilvl w:val="0"/>
          <w:numId w:val="2"/>
        </w:numPr>
        <w:spacing w:after="80" w:line="276"/>
      </w:pPr>
      <w:r>
        <w:rPr>
          <w:rFonts w:ascii="Arial" w:cs="Arial" w:eastAsia="Arial" w:hAnsi="Arial"/>
          <w:sz w:val="22"/>
          <w:szCs w:val="22"/>
        </w:rPr>
        <w:t xml:space="preserve">Implement FAQPage schema (JSON-LD) on every page with FAQs. This enables rich snippets in Google search and makes your answers eligible for AI citation.</w:t>
      </w:r>
    </w:p>
    <w:p>
      <w:pPr>
        <w:pStyle w:val="ListParagraph"/>
        <w:numPr>
          <w:ilvl w:val="0"/>
          <w:numId w:val="2"/>
        </w:numPr>
        <w:spacing w:after="80" w:line="276"/>
      </w:pPr>
      <w:r>
        <w:rPr>
          <w:rFonts w:ascii="Arial" w:cs="Arial" w:eastAsia="Arial" w:hAnsi="Arial"/>
          <w:sz w:val="22"/>
          <w:szCs w:val="22"/>
        </w:rPr>
        <w:t xml:space="preserve">Structure each answer with a direct 1-2 sentence answer first, followed by detailed explanation. AI engines preferentially cite the first sentence of an answer block.</w:t>
      </w:r>
    </w:p>
    <w:p>
      <w:pPr>
        <w:pStyle w:val="ListParagraph"/>
        <w:numPr>
          <w:ilvl w:val="0"/>
          <w:numId w:val="2"/>
        </w:numPr>
        <w:spacing w:after="80" w:line="276"/>
      </w:pPr>
      <w:r>
        <w:rPr>
          <w:rFonts w:ascii="Arial" w:cs="Arial" w:eastAsia="Arial" w:hAnsi="Arial"/>
          <w:sz w:val="22"/>
          <w:szCs w:val="22"/>
        </w:rPr>
        <w:t xml:space="preserve">Use the exact natural-language question phrasing that veterans search for.</w:t>
      </w:r>
    </w:p>
    <w:p>
      <w:pPr>
        <w:pStyle w:val="ListParagraph"/>
        <w:numPr>
          <w:ilvl w:val="0"/>
          <w:numId w:val="2"/>
        </w:numPr>
        <w:spacing w:after="80" w:line="276"/>
      </w:pPr>
      <w:r>
        <w:rPr>
          <w:rFonts w:ascii="Arial" w:cs="Arial" w:eastAsia="Arial" w:hAnsi="Arial"/>
          <w:sz w:val="22"/>
          <w:szCs w:val="22"/>
        </w:rPr>
        <w:t xml:space="preserve">Add 3-5 new FAQ questions per page targeting long-tail keywords.</w:t>
      </w:r>
    </w:p>
    <w:p>
      <w:pPr>
        <w:pStyle w:val="Heading2"/>
        <w:spacing w:after="150" w:before="300"/>
      </w:pPr>
      <w:r>
        <w:t xml:space="preserve">Recommended New FAQ Questions to Add</w:t>
      </w:r>
    </w:p>
    <w:p>
      <w:pPr>
        <w:pStyle w:val="Heading3"/>
        <w:spacing w:after="150" w:before="300"/>
      </w:pPr>
      <w:r>
        <w:t xml:space="preserve">Nexus Letter Page</w:t>
      </w:r>
    </w:p>
    <w:p>
      <w:pPr>
        <w:pStyle w:val="ListParagraph"/>
        <w:numPr>
          <w:ilvl w:val="0"/>
          <w:numId w:val="2"/>
        </w:numPr>
        <w:spacing w:after="80" w:line="276"/>
      </w:pPr>
      <w:r>
        <w:rPr>
          <w:rFonts w:ascii="Arial" w:cs="Arial" w:eastAsia="Arial" w:hAnsi="Arial"/>
          <w:sz w:val="22"/>
          <w:szCs w:val="22"/>
        </w:rPr>
        <w:t xml:space="preserve">“Can I get a nexus letter for a secondary service connection?”</w:t>
      </w:r>
    </w:p>
    <w:p>
      <w:pPr>
        <w:pStyle w:val="ListParagraph"/>
        <w:numPr>
          <w:ilvl w:val="0"/>
          <w:numId w:val="2"/>
        </w:numPr>
        <w:spacing w:after="80" w:line="276"/>
      </w:pPr>
      <w:r>
        <w:rPr>
          <w:rFonts w:ascii="Arial" w:cs="Arial" w:eastAsia="Arial" w:hAnsi="Arial"/>
          <w:sz w:val="22"/>
          <w:szCs w:val="22"/>
        </w:rPr>
        <w:t xml:space="preserve">“What medical conditions qualify for a nexus letter?”</w:t>
      </w:r>
    </w:p>
    <w:p>
      <w:pPr>
        <w:pStyle w:val="ListParagraph"/>
        <w:numPr>
          <w:ilvl w:val="0"/>
          <w:numId w:val="2"/>
        </w:numPr>
        <w:spacing w:after="80" w:line="276"/>
      </w:pPr>
      <w:r>
        <w:rPr>
          <w:rFonts w:ascii="Arial" w:cs="Arial" w:eastAsia="Arial" w:hAnsi="Arial"/>
          <w:sz w:val="22"/>
          <w:szCs w:val="22"/>
        </w:rPr>
        <w:t xml:space="preserve">“Will the VA accept a nexus letter from a private doctor?”</w:t>
      </w:r>
    </w:p>
    <w:p>
      <w:pPr>
        <w:pStyle w:val="ListParagraph"/>
        <w:numPr>
          <w:ilvl w:val="0"/>
          <w:numId w:val="2"/>
        </w:numPr>
        <w:spacing w:after="80" w:line="276"/>
      </w:pPr>
      <w:r>
        <w:rPr>
          <w:rFonts w:ascii="Arial" w:cs="Arial" w:eastAsia="Arial" w:hAnsi="Arial"/>
          <w:sz w:val="22"/>
          <w:szCs w:val="22"/>
        </w:rPr>
        <w:t xml:space="preserve">“How is a nexus letter different from a C&amp;P exam?”</w:t>
      </w:r>
    </w:p>
    <w:p>
      <w:pPr>
        <w:pStyle w:val="ListParagraph"/>
        <w:numPr>
          <w:ilvl w:val="0"/>
          <w:numId w:val="2"/>
        </w:numPr>
        <w:spacing w:after="80" w:line="276"/>
      </w:pPr>
      <w:r>
        <w:rPr>
          <w:rFonts w:ascii="Arial" w:cs="Arial" w:eastAsia="Arial" w:hAnsi="Arial"/>
          <w:sz w:val="22"/>
          <w:szCs w:val="22"/>
        </w:rPr>
        <w:t xml:space="preserve">“Can a nexus letter overturn a VA denial?”</w:t>
      </w:r>
    </w:p>
    <w:p>
      <w:pPr>
        <w:pStyle w:val="Heading3"/>
        <w:spacing w:after="150" w:before="300"/>
      </w:pPr>
      <w:r>
        <w:t xml:space="preserve">DBQ Page</w:t>
      </w:r>
    </w:p>
    <w:p>
      <w:pPr>
        <w:pStyle w:val="ListParagraph"/>
        <w:numPr>
          <w:ilvl w:val="0"/>
          <w:numId w:val="2"/>
        </w:numPr>
        <w:spacing w:after="80" w:line="276"/>
      </w:pPr>
      <w:r>
        <w:rPr>
          <w:rFonts w:ascii="Arial" w:cs="Arial" w:eastAsia="Arial" w:hAnsi="Arial"/>
          <w:sz w:val="22"/>
          <w:szCs w:val="22"/>
        </w:rPr>
        <w:t xml:space="preserve">“What’s the difference between a private DBQ and a C&amp;P exam DBQ?”</w:t>
      </w:r>
    </w:p>
    <w:p>
      <w:pPr>
        <w:pStyle w:val="ListParagraph"/>
        <w:numPr>
          <w:ilvl w:val="0"/>
          <w:numId w:val="2"/>
        </w:numPr>
        <w:spacing w:after="80" w:line="276"/>
      </w:pPr>
      <w:r>
        <w:rPr>
          <w:rFonts w:ascii="Arial" w:cs="Arial" w:eastAsia="Arial" w:hAnsi="Arial"/>
          <w:sz w:val="22"/>
          <w:szCs w:val="22"/>
        </w:rPr>
        <w:t xml:space="preserve">“Can I submit a private DBQ instead of going to a C&amp;P exam?”</w:t>
      </w:r>
    </w:p>
    <w:p>
      <w:pPr>
        <w:pStyle w:val="ListParagraph"/>
        <w:numPr>
          <w:ilvl w:val="0"/>
          <w:numId w:val="2"/>
        </w:numPr>
        <w:spacing w:after="80" w:line="276"/>
      </w:pPr>
      <w:r>
        <w:rPr>
          <w:rFonts w:ascii="Arial" w:cs="Arial" w:eastAsia="Arial" w:hAnsi="Arial"/>
          <w:sz w:val="22"/>
          <w:szCs w:val="22"/>
        </w:rPr>
        <w:t xml:space="preserve">“Which conditions can be evaluated via telehealth DBQ?”</w:t>
      </w:r>
    </w:p>
    <w:p>
      <w:pPr>
        <w:pStyle w:val="ListParagraph"/>
        <w:numPr>
          <w:ilvl w:val="0"/>
          <w:numId w:val="2"/>
        </w:numPr>
        <w:spacing w:after="80" w:line="276"/>
      </w:pPr>
      <w:r>
        <w:rPr>
          <w:rFonts w:ascii="Arial" w:cs="Arial" w:eastAsia="Arial" w:hAnsi="Arial"/>
          <w:sz w:val="22"/>
          <w:szCs w:val="22"/>
        </w:rPr>
        <w:t xml:space="preserve">“Do I need both a DBQ and a nexus letter?”</w:t>
      </w:r>
    </w:p>
    <w:p>
      <w:pPr>
        <w:pStyle w:val="Heading3"/>
        <w:spacing w:after="150" w:before="300"/>
      </w:pPr>
      <w:r>
        <w:t xml:space="preserve">Claim Readiness Review Page</w:t>
      </w:r>
    </w:p>
    <w:p>
      <w:pPr>
        <w:pStyle w:val="ListParagraph"/>
        <w:numPr>
          <w:ilvl w:val="0"/>
          <w:numId w:val="2"/>
        </w:numPr>
        <w:spacing w:after="80" w:line="276"/>
      </w:pPr>
      <w:r>
        <w:rPr>
          <w:rFonts w:ascii="Arial" w:cs="Arial" w:eastAsia="Arial" w:hAnsi="Arial"/>
          <w:sz w:val="22"/>
          <w:szCs w:val="22"/>
        </w:rPr>
        <w:t xml:space="preserve">“What is the difference between a Claim Readiness Review and a claims consultant?”</w:t>
      </w:r>
    </w:p>
    <w:p>
      <w:pPr>
        <w:pStyle w:val="ListParagraph"/>
        <w:numPr>
          <w:ilvl w:val="0"/>
          <w:numId w:val="2"/>
        </w:numPr>
        <w:spacing w:after="80" w:line="276"/>
      </w:pPr>
      <w:r>
        <w:rPr>
          <w:rFonts w:ascii="Arial" w:cs="Arial" w:eastAsia="Arial" w:hAnsi="Arial"/>
          <w:sz w:val="22"/>
          <w:szCs w:val="22"/>
        </w:rPr>
        <w:t xml:space="preserve">“Can a Claim Readiness Review help after a VA denial?”</w:t>
      </w:r>
    </w:p>
    <w:p>
      <w:pPr>
        <w:pStyle w:val="ListParagraph"/>
        <w:numPr>
          <w:ilvl w:val="0"/>
          <w:numId w:val="2"/>
        </w:numPr>
        <w:spacing w:after="80" w:line="276"/>
      </w:pPr>
      <w:r>
        <w:rPr>
          <w:rFonts w:ascii="Arial" w:cs="Arial" w:eastAsia="Arial" w:hAnsi="Arial"/>
          <w:sz w:val="22"/>
          <w:szCs w:val="22"/>
        </w:rPr>
        <w:t xml:space="preserve">“What is the difference between a primary, secondary, and aggravation claim?”</w:t>
      </w:r>
    </w:p>
    <w:p>
      <w:pPr>
        <w:pStyle w:val="Heading3"/>
        <w:spacing w:after="150" w:before="300"/>
      </w:pPr>
      <w:r>
        <w:t xml:space="preserve">1151 Page</w:t>
      </w:r>
    </w:p>
    <w:p>
      <w:pPr>
        <w:pStyle w:val="ListParagraph"/>
        <w:numPr>
          <w:ilvl w:val="0"/>
          <w:numId w:val="2"/>
        </w:numPr>
        <w:spacing w:after="80" w:line="276"/>
      </w:pPr>
      <w:r>
        <w:rPr>
          <w:rFonts w:ascii="Arial" w:cs="Arial" w:eastAsia="Arial" w:hAnsi="Arial"/>
          <w:sz w:val="22"/>
          <w:szCs w:val="22"/>
        </w:rPr>
        <w:t xml:space="preserve">“What types of VA medical errors qualify for an 1151 claim?”</w:t>
      </w:r>
    </w:p>
    <w:p>
      <w:pPr>
        <w:pStyle w:val="ListParagraph"/>
        <w:numPr>
          <w:ilvl w:val="0"/>
          <w:numId w:val="2"/>
        </w:numPr>
        <w:spacing w:after="80" w:line="276"/>
      </w:pPr>
      <w:r>
        <w:rPr>
          <w:rFonts w:ascii="Arial" w:cs="Arial" w:eastAsia="Arial" w:hAnsi="Arial"/>
          <w:sz w:val="22"/>
          <w:szCs w:val="22"/>
        </w:rPr>
        <w:t xml:space="preserve">“How long do I have to file an 1151 claim?”</w:t>
      </w:r>
    </w:p>
    <w:p>
      <w:pPr>
        <w:pStyle w:val="ListParagraph"/>
        <w:numPr>
          <w:ilvl w:val="0"/>
          <w:numId w:val="2"/>
        </w:numPr>
        <w:spacing w:after="80" w:line="276"/>
      </w:pPr>
      <w:r>
        <w:rPr>
          <w:rFonts w:ascii="Arial" w:cs="Arial" w:eastAsia="Arial" w:hAnsi="Arial"/>
          <w:sz w:val="22"/>
          <w:szCs w:val="22"/>
        </w:rPr>
        <w:t xml:space="preserve">“Do I need an attorney for a VA 1151 claim?”</w:t>
      </w:r>
    </w:p>
    <w:p>
      <w:r>
        <w:br w:type="page"/>
      </w:r>
    </w:p>
    <w:p>
      <w:pPr>
        <w:pStyle w:val="Heading1"/>
        <w:spacing w:after="150" w:before="300"/>
      </w:pPr>
      <w:r>
        <w:t xml:space="preserve">5. Internal Linking Strategy</w:t>
      </w:r>
    </w:p>
    <w:p>
      <w:pPr>
        <w:spacing w:after="120" w:line="276"/>
      </w:pPr>
      <w:r>
        <w:rPr>
          <w:rFonts w:ascii="Arial" w:cs="Arial" w:eastAsia="Arial" w:hAnsi="Arial"/>
          <w:sz w:val="22"/>
          <w:szCs w:val="22"/>
        </w:rPr>
        <w:t xml:space="preserve">Your current internal linking is functional but has significant gaps. Here is a comprehensive linking matrix:</w:t>
      </w:r>
    </w:p>
    <w:p>
      <w:pPr>
        <w:pStyle w:val="Heading2"/>
        <w:spacing w:after="150" w:before="300"/>
      </w:pPr>
      <w:r>
        <w:t xml:space="preserve">5.1 Service-to-Service Cross-Links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From Page</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Link To</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Anchor Context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Nexus Letter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DBQ</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“Many veterans benefit from pairing a nexus letter with a private DBQ...”</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Nexus Letter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Claim Readiness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sure if you need a nexus letter? Start with a Claim Readiness Review.”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Nexus Letter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C&amp;P Exam Coaching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“Have a C&amp;P exam scheduled? Prepare with our coaching session.”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Nexus Letter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TDIU (new)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“If your conditions prevent you from working, you may qualify for TDIU.”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DBQ</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Nexus Letter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DBQ documents severity; a nexus letter establishes the service connection.”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DBQ</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C&amp;P Exam Coaching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“Scheduled for a VA C&amp;P exam? Our coaching can help you prepare.”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Claim Readiness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Nexus Letter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“If gaps are identified, our nexus letter service can fill them.”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Claim Readiness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DBQ</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 may recommend a private DBQ to strengthen your evidence.”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1151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Attorney/VSO Collab (new)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 complex 1151 cases, our attorney collaboration program can help.”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C&amp;P Exam Coaching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Nexus Letter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“After a bad C&amp;P exam, a private nexus letter can serve as a rebuttal.”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C&amp;P Exam Coaching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DBQ</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private DBQ provides an alternative to a VA-conducted examination.”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Aid &amp; Attendance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TDIU (new)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“Veterans with P&amp;T ratings may also qualify for TDIU benefits.”</w:t>
            </w:r>
          </w:p>
        </w:tc>
      </w:tr>
    </w:tbl>
    <w:p>
      <w:pPr>
        <w:pStyle w:val="Heading2"/>
        <w:spacing w:after="150" w:before="300"/>
      </w:pPr>
      <w:r>
        <w:t xml:space="preserve">5.2 Service-to-Blog Cross-Links</w:t>
      </w:r>
    </w:p>
    <w:p>
      <w:pPr>
        <w:spacing w:after="120" w:line="276"/>
      </w:pPr>
      <w:r>
        <w:rPr>
          <w:rFonts w:ascii="Arial" w:cs="Arial" w:eastAsia="Arial" w:hAnsi="Arial"/>
          <w:sz w:val="22"/>
          <w:szCs w:val="22"/>
        </w:rPr>
        <w:t xml:space="preserve">Each service page should link to at least 3-5 relevant blog posts. You’re doing this partially with the “Related Insights” sections, but consider also embedding contextual links within the body copy of each service page. For example, in the Nexus Letter page overview, link phrases like “secondary service connection” and “aggravation beyond natural progression” to their respective blog posts.</w:t>
      </w:r>
    </w:p>
    <w:p>
      <w:pPr>
        <w:pStyle w:val="Heading2"/>
        <w:spacing w:after="150" w:before="300"/>
      </w:pPr>
      <w:r>
        <w:t xml:space="preserve">5.3 Blog-to-Service Links</w:t>
      </w:r>
    </w:p>
    <w:p>
      <w:pPr>
        <w:spacing w:after="120" w:line="276"/>
      </w:pPr>
      <w:r>
        <w:rPr>
          <w:rFonts w:ascii="Arial" w:cs="Arial" w:eastAsia="Arial" w:hAnsi="Arial"/>
          <w:sz w:val="22"/>
          <w:szCs w:val="22"/>
        </w:rPr>
        <w:t xml:space="preserve">Every blog post should include at least 1-2 contextual links back to the most relevant service page. Currently, some blog posts link to services, but this should be systematic. Create a standard practice: every blog post ends with a brief “How Military Disability Nexus Can Help” section linking to the relevant service(s).</w:t>
      </w:r>
    </w:p>
    <w:p>
      <w:pPr>
        <w:pStyle w:val="Heading2"/>
        <w:spacing w:after="150" w:before="300"/>
      </w:pPr>
      <w:r>
        <w:t xml:space="preserve">5.4 Case Study-to-Service Links</w:t>
      </w:r>
    </w:p>
    <w:p>
      <w:pPr>
        <w:spacing w:after="120" w:line="276"/>
      </w:pPr>
      <w:r>
        <w:rPr>
          <w:rFonts w:ascii="Arial" w:cs="Arial" w:eastAsia="Arial" w:hAnsi="Arial"/>
          <w:sz w:val="22"/>
          <w:szCs w:val="22"/>
        </w:rPr>
        <w:t xml:space="preserve">Each case study should explicitly link to the service used. For example, the “Four VA Denials” case study should link back to both the Claim Readiness Review and Nexus Letter service pages.</w:t>
      </w:r>
    </w:p>
    <w:p>
      <w:r>
        <w:br w:type="page"/>
      </w:r>
    </w:p>
    <w:p>
      <w:pPr>
        <w:pStyle w:val="Heading1"/>
        <w:spacing w:after="150" w:before="300"/>
      </w:pPr>
      <w:r>
        <w:t xml:space="preserve">6. External Linking &amp; Backlink Guidance</w:t>
      </w:r>
    </w:p>
    <w:p>
      <w:pPr>
        <w:pStyle w:val="Heading2"/>
        <w:spacing w:after="150" w:before="300"/>
      </w:pPr>
      <w:r>
        <w:t xml:space="preserve">6.1 Outbound Authority Links to Add</w:t>
      </w:r>
    </w:p>
    <w:p>
      <w:pPr>
        <w:spacing w:after="120" w:line="276"/>
      </w:pPr>
      <w:r>
        <w:rPr>
          <w:rFonts w:ascii="Arial" w:cs="Arial" w:eastAsia="Arial" w:hAnsi="Arial"/>
          <w:sz w:val="22"/>
          <w:szCs w:val="22"/>
        </w:rPr>
        <w:t xml:space="preserve">Adding links to authoritative .gov and .edu sources improves E-E-A-T signals and shows Google/AI engines that your content is well-researched: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Where to Link From</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38 CFR §3.159 (competent medical evidence) — VA.gov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Nexus Letter, DBQ pages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Establishes the legal basis for private medical evidence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38 U.S.C. § 1151 — congress.gov or VA.gov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1151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Direct statutory authority for malpractice claims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 Public DBQs page — benefits.va.gov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DBQ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Shows transparency, validates your DBQ service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 Aid &amp; Attendance page — VA.gov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A&amp;A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Official eligibility criteria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38 CFR Part 4 (Schedule for Rating Disabilities)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C&amp;P Coaching, DBQ pages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Rating criteria reference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 PACT Act resources — VA.gov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Nexus Letter page, blog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Presumptive conditions for toxic exposure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BVA decisions (index.va.gov)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1151, Nexus Letter pages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Case law supporting your approach</w:t>
            </w:r>
          </w:p>
        </w:tc>
      </w:tr>
    </w:tbl>
    <w:p>
      <w:pPr>
        <w:pStyle w:val="Heading2"/>
        <w:spacing w:after="150" w:before="300"/>
      </w:pPr>
      <w:r>
        <w:t xml:space="preserve">6.2 Backlink Acquisition Strategy</w:t>
      </w:r>
    </w:p>
    <w:p>
      <w:pPr>
        <w:spacing w:after="120" w:line="276"/>
      </w:pPr>
      <w:r>
        <w:rPr>
          <w:rFonts w:ascii="Arial" w:cs="Arial" w:eastAsia="Arial" w:hAnsi="Arial"/>
          <w:sz w:val="22"/>
          <w:szCs w:val="22"/>
        </w:rPr>
        <w:t xml:space="preserve">Building quality backlinks is essential for domain authority. Here are specific, actionable strategies:</w:t>
      </w:r>
    </w:p>
    <w:p>
      <w:pPr>
        <w:pStyle w:val="Heading3"/>
        <w:spacing w:after="150" w:before="300"/>
      </w:pPr>
      <w:r>
        <w:t xml:space="preserve">Tier 1: High-Value Targets</w:t>
      </w:r>
    </w:p>
    <w:p>
      <w:pPr>
        <w:pStyle w:val="ListParagraph"/>
        <w:numPr>
          <w:ilvl w:val="0"/>
          <w:numId w:val="2"/>
        </w:numPr>
        <w:spacing w:after="80" w:line="276"/>
      </w:pPr>
      <w:r>
        <w:rPr>
          <w:rFonts w:ascii="Arial" w:cs="Arial" w:eastAsia="Arial" w:hAnsi="Arial"/>
          <w:sz w:val="22"/>
          <w:szCs w:val="22"/>
        </w:rPr>
        <w:t xml:space="preserve">VA attorney and law firm partnerships: Offer to write guest content for VA disability law firm blogs (Hill &amp; Ponton, CCK Law, Berry Law, etc.) explaining the medical documentation side of claims. In exchange, they link back to your relevant service pages.</w:t>
      </w:r>
    </w:p>
    <w:p>
      <w:pPr>
        <w:pStyle w:val="ListParagraph"/>
        <w:numPr>
          <w:ilvl w:val="0"/>
          <w:numId w:val="2"/>
        </w:numPr>
        <w:spacing w:after="80" w:line="276"/>
      </w:pPr>
      <w:r>
        <w:rPr>
          <w:rFonts w:ascii="Arial" w:cs="Arial" w:eastAsia="Arial" w:hAnsi="Arial"/>
          <w:sz w:val="22"/>
          <w:szCs w:val="22"/>
        </w:rPr>
        <w:t xml:space="preserve">VSO organization resources: Reach out to DAV, VFW, American Legion, and Wounded Warrior Project to get listed in their resource directories for medical evidence services.</w:t>
      </w:r>
    </w:p>
    <w:p>
      <w:pPr>
        <w:pStyle w:val="ListParagraph"/>
        <w:numPr>
          <w:ilvl w:val="0"/>
          <w:numId w:val="2"/>
        </w:numPr>
        <w:spacing w:after="80" w:line="276"/>
      </w:pPr>
      <w:r>
        <w:rPr>
          <w:rFonts w:ascii="Arial" w:cs="Arial" w:eastAsia="Arial" w:hAnsi="Arial"/>
          <w:sz w:val="22"/>
          <w:szCs w:val="22"/>
        </w:rPr>
        <w:t xml:space="preserve">Military.com and veterans’ media: Pitch educational articles on topics like “Why nexus letters get denied” or “How to prepare medical evidence for VA claims.”</w:t>
      </w:r>
    </w:p>
    <w:p>
      <w:pPr>
        <w:pStyle w:val="ListParagraph"/>
        <w:numPr>
          <w:ilvl w:val="0"/>
          <w:numId w:val="2"/>
        </w:numPr>
        <w:spacing w:after="80" w:line="276"/>
      </w:pPr>
      <w:r>
        <w:rPr>
          <w:rFonts w:ascii="Arial" w:cs="Arial" w:eastAsia="Arial" w:hAnsi="Arial"/>
          <w:sz w:val="22"/>
          <w:szCs w:val="22"/>
        </w:rPr>
        <w:t xml:space="preserve">University veteran services offices: Many universities have veteran student services that maintain resource lists. Offer free educational webinars in exchange for links.</w:t>
      </w:r>
    </w:p>
    <w:p>
      <w:pPr>
        <w:pStyle w:val="Heading3"/>
        <w:spacing w:after="150" w:before="300"/>
      </w:pPr>
      <w:r>
        <w:t xml:space="preserve">Tier 2: Content-Based Link Building</w:t>
      </w:r>
    </w:p>
    <w:p>
      <w:pPr>
        <w:pStyle w:val="ListParagraph"/>
        <w:numPr>
          <w:ilvl w:val="0"/>
          <w:numId w:val="2"/>
        </w:numPr>
        <w:spacing w:after="80" w:line="276"/>
      </w:pPr>
      <w:r>
        <w:rPr>
          <w:rFonts w:ascii="Arial" w:cs="Arial" w:eastAsia="Arial" w:hAnsi="Arial"/>
          <w:sz w:val="22"/>
          <w:szCs w:val="22"/>
        </w:rPr>
        <w:t xml:space="preserve">Create a free, downloadable “VA Claim Documentation Checklist” (PDF) that VSOs and attorneys can share with their clients. Include your branding and website link.</w:t>
      </w:r>
    </w:p>
    <w:p>
      <w:pPr>
        <w:pStyle w:val="ListParagraph"/>
        <w:numPr>
          <w:ilvl w:val="0"/>
          <w:numId w:val="2"/>
        </w:numPr>
        <w:spacing w:after="80" w:line="276"/>
      </w:pPr>
      <w:r>
        <w:rPr>
          <w:rFonts w:ascii="Arial" w:cs="Arial" w:eastAsia="Arial" w:hAnsi="Arial"/>
          <w:sz w:val="22"/>
          <w:szCs w:val="22"/>
        </w:rPr>
        <w:t xml:space="preserve">Publish original research: Survey your clients on denial reasons, claim timelines, or documentation gaps. Original data gets cited and linked to.</w:t>
      </w:r>
    </w:p>
    <w:p>
      <w:pPr>
        <w:pStyle w:val="ListParagraph"/>
        <w:numPr>
          <w:ilvl w:val="0"/>
          <w:numId w:val="2"/>
        </w:numPr>
        <w:spacing w:after="80" w:line="276"/>
      </w:pPr>
      <w:r>
        <w:rPr>
          <w:rFonts w:ascii="Arial" w:cs="Arial" w:eastAsia="Arial" w:hAnsi="Arial"/>
          <w:sz w:val="22"/>
          <w:szCs w:val="22"/>
        </w:rPr>
        <w:t xml:space="preserve">Create a comprehensive “VA Disability Documentation Guide” that becomes a reference resource. Long-form, authoritative content naturally attracts backlinks.</w:t>
      </w:r>
    </w:p>
    <w:p>
      <w:pPr>
        <w:pStyle w:val="ListParagraph"/>
        <w:numPr>
          <w:ilvl w:val="0"/>
          <w:numId w:val="2"/>
        </w:numPr>
        <w:spacing w:after="80" w:line="276"/>
      </w:pPr>
      <w:r>
        <w:rPr>
          <w:rFonts w:ascii="Arial" w:cs="Arial" w:eastAsia="Arial" w:hAnsi="Arial"/>
          <w:sz w:val="22"/>
          <w:szCs w:val="22"/>
        </w:rPr>
        <w:t xml:space="preserve">Respond to HARO/Connectively queries from journalists covering veteran issues.</w:t>
      </w:r>
    </w:p>
    <w:p>
      <w:pPr>
        <w:pStyle w:val="Heading3"/>
        <w:spacing w:after="150" w:before="300"/>
      </w:pPr>
      <w:r>
        <w:t xml:space="preserve">Tier 3: Community &amp; Directory Links</w:t>
      </w:r>
    </w:p>
    <w:p>
      <w:pPr>
        <w:pStyle w:val="ListParagraph"/>
        <w:numPr>
          <w:ilvl w:val="0"/>
          <w:numId w:val="2"/>
        </w:numPr>
        <w:spacing w:after="80" w:line="276"/>
      </w:pPr>
      <w:r>
        <w:rPr>
          <w:rFonts w:ascii="Arial" w:cs="Arial" w:eastAsia="Arial" w:hAnsi="Arial"/>
          <w:sz w:val="22"/>
          <w:szCs w:val="22"/>
        </w:rPr>
        <w:t xml:space="preserve">Get listed in veteran business directories and SDVOSB directories.</w:t>
      </w:r>
    </w:p>
    <w:p>
      <w:pPr>
        <w:pStyle w:val="ListParagraph"/>
        <w:numPr>
          <w:ilvl w:val="0"/>
          <w:numId w:val="2"/>
        </w:numPr>
        <w:spacing w:after="80" w:line="276"/>
      </w:pPr>
      <w:r>
        <w:rPr>
          <w:rFonts w:ascii="Arial" w:cs="Arial" w:eastAsia="Arial" w:hAnsi="Arial"/>
          <w:sz w:val="22"/>
          <w:szCs w:val="22"/>
        </w:rPr>
        <w:t xml:space="preserve">Participate in veteran-focused podcasts (pitch yourself as a medical documentation expert, not a salesperson).</w:t>
      </w:r>
    </w:p>
    <w:p>
      <w:pPr>
        <w:pStyle w:val="ListParagraph"/>
        <w:numPr>
          <w:ilvl w:val="0"/>
          <w:numId w:val="2"/>
        </w:numPr>
        <w:spacing w:after="80" w:line="276"/>
      </w:pPr>
      <w:r>
        <w:rPr>
          <w:rFonts w:ascii="Arial" w:cs="Arial" w:eastAsia="Arial" w:hAnsi="Arial"/>
          <w:sz w:val="22"/>
          <w:szCs w:val="22"/>
        </w:rPr>
        <w:t xml:space="preserve">Engage authentically in Reddit r/VeteransBenefits and r/Veterans — provide value and build recognition (not spam links).</w:t>
      </w:r>
    </w:p>
    <w:p>
      <w:pPr>
        <w:pStyle w:val="ListParagraph"/>
        <w:numPr>
          <w:ilvl w:val="0"/>
          <w:numId w:val="2"/>
        </w:numPr>
        <w:spacing w:after="80" w:line="276"/>
      </w:pPr>
      <w:r>
        <w:rPr>
          <w:rFonts w:ascii="Arial" w:cs="Arial" w:eastAsia="Arial" w:hAnsi="Arial"/>
          <w:sz w:val="22"/>
          <w:szCs w:val="22"/>
        </w:rPr>
        <w:t xml:space="preserve">Collaborate with veteran YouTubers and content creators who review VA claim services.</w:t>
      </w:r>
    </w:p>
    <w:p>
      <w:r>
        <w:br w:type="page"/>
      </w:r>
    </w:p>
    <w:p>
      <w:pPr>
        <w:pStyle w:val="Heading1"/>
        <w:spacing w:after="150" w:before="300"/>
      </w:pPr>
      <w:r>
        <w:t xml:space="preserve">7. NEW SERVICE PAGE: TDIU Medical Documentation</w:t>
      </w:r>
    </w:p>
    <w:p>
      <w:pPr>
        <w:spacing w:after="120" w:line="276"/>
      </w:pPr>
      <w:r>
        <w:rPr>
          <w:rFonts w:ascii="Arial" w:cs="Arial" w:eastAsia="Arial" w:hAnsi="Arial"/>
          <w:sz w:val="22"/>
          <w:szCs w:val="22"/>
        </w:rPr>
        <w:t xml:space="preserve">Total Disability Individual Unemployability (TDIU) is one of the most searched topics in the VA disability space and represents a significant market gap for your business. Based on competitor research, companies like Elite Medical Review Associates, VA Claims Insider, VetNexusLetter, and Xterra Health all explicitly offer TDIU support. You should too.</w:t>
      </w:r>
    </w:p>
    <w:p>
      <w:pPr>
        <w:pStyle w:val="Heading2"/>
        <w:spacing w:after="150" w:before="300"/>
      </w:pPr>
      <w:r>
        <w:t xml:space="preserve">7.1 Recommended URL</w:t>
      </w:r>
    </w:p>
    <w:p>
      <w:pPr>
        <w:spacing w:after="120" w:line="276"/>
      </w:pPr>
      <w:r>
        <w:rPr>
          <w:rFonts w:ascii="Arial" w:cs="Arial" w:eastAsia="Arial" w:hAnsi="Arial"/>
          <w:sz w:val="22"/>
          <w:szCs w:val="22"/>
        </w:rPr>
        <w:t xml:space="preserve">/services/tdiu-unemployability-medical-documentation</w:t>
      </w:r>
    </w:p>
    <w:p>
      <w:pPr>
        <w:pStyle w:val="Heading2"/>
        <w:spacing w:after="150" w:before="300"/>
      </w:pPr>
      <w:r>
        <w:t xml:space="preserve">7.2 Target Keywords</w:t>
      </w:r>
    </w:p>
    <w:p>
      <w:pPr>
        <w:pStyle w:val="ListParagraph"/>
        <w:numPr>
          <w:ilvl w:val="0"/>
          <w:numId w:val="2"/>
        </w:numPr>
        <w:spacing w:after="80" w:line="276"/>
      </w:pPr>
      <w:r>
        <w:rPr>
          <w:rFonts w:ascii="Arial" w:cs="Arial" w:eastAsia="Arial" w:hAnsi="Arial"/>
          <w:sz w:val="22"/>
          <w:szCs w:val="22"/>
        </w:rPr>
        <w:t xml:space="preserve">Primary: “TDIU nexus letter,” “TDIU medical evidence,” “total disability individual unemployability documentation”</w:t>
      </w:r>
    </w:p>
    <w:p>
      <w:pPr>
        <w:pStyle w:val="ListParagraph"/>
        <w:numPr>
          <w:ilvl w:val="0"/>
          <w:numId w:val="2"/>
        </w:numPr>
        <w:spacing w:after="80" w:line="276"/>
      </w:pPr>
      <w:r>
        <w:rPr>
          <w:rFonts w:ascii="Arial" w:cs="Arial" w:eastAsia="Arial" w:hAnsi="Arial"/>
          <w:sz w:val="22"/>
          <w:szCs w:val="22"/>
        </w:rPr>
        <w:t xml:space="preserve">Secondary: “TDIU eligibility requirements,” “TDIU denied what to do,” “TDIU vs 100% disability,” “TDIU application help,” “can’t work due to VA disability”</w:t>
      </w:r>
    </w:p>
    <w:p>
      <w:pPr>
        <w:pStyle w:val="ListParagraph"/>
        <w:numPr>
          <w:ilvl w:val="0"/>
          <w:numId w:val="2"/>
        </w:numPr>
        <w:spacing w:after="80" w:line="276"/>
      </w:pPr>
      <w:r>
        <w:rPr>
          <w:rFonts w:ascii="Arial" w:cs="Arial" w:eastAsia="Arial" w:hAnsi="Arial"/>
          <w:sz w:val="22"/>
          <w:szCs w:val="22"/>
        </w:rPr>
        <w:t xml:space="preserve">Long-tail: “nexus letter for TDIU claim,” “vocational assessment for TDIU,” “TDIU schedular vs extraschedular”</w:t>
      </w:r>
    </w:p>
    <w:p>
      <w:pPr>
        <w:pStyle w:val="Heading2"/>
        <w:spacing w:after="150" w:before="300"/>
      </w:pPr>
      <w:r>
        <w:t xml:space="preserve">7.3 Page Content Outline</w:t>
      </w:r>
    </w:p>
    <w:p>
      <w:pPr>
        <w:pStyle w:val="Heading3"/>
        <w:spacing w:after="150" w:before="300"/>
      </w:pPr>
      <w:r>
        <w:t xml:space="preserve">H1: TDIU (Total Disability Individual Unemployability) Medical Documentation</w:t>
      </w:r>
    </w:p>
    <w:p>
      <w:pPr>
        <w:spacing w:after="120" w:line="276"/>
      </w:pPr>
      <w:r>
        <w:rPr>
          <w:rFonts w:ascii="Arial" w:cs="Arial" w:eastAsia="Arial" w:hAnsi="Arial"/>
          <w:sz w:val="22"/>
          <w:szCs w:val="22"/>
        </w:rPr>
        <w:t xml:space="preserve">Subheadline: Expert medical opinions and vocational evidence to support your TDIU claim when service-connected disabilities prevent gainful employment.</w:t>
      </w:r>
    </w:p>
    <w:p>
      <w:pPr>
        <w:pStyle w:val="Heading3"/>
        <w:spacing w:after="150" w:before="300"/>
      </w:pPr>
      <w:r>
        <w:t xml:space="preserve">Section 1: What is TDIU?</w:t>
      </w:r>
    </w:p>
    <w:p>
      <w:pPr>
        <w:spacing w:after="120" w:line="276"/>
      </w:pPr>
      <w:r>
        <w:rPr>
          <w:rFonts w:ascii="Arial" w:cs="Arial" w:eastAsia="Arial" w:hAnsi="Arial"/>
          <w:sz w:val="22"/>
          <w:szCs w:val="22"/>
        </w:rPr>
        <w:t xml:space="preserve">Define TDIU clearly: a VA benefit that compensates veterans at the 100% rate when service-connected disabilities prevent them from maintaining substantially gainful employment, even though their combined rating is less than 100%. Explain the two pathways: Schedular TDIU (one condition rated 60%+ or combined 70%+ with one at 40%+) and Extraschedular TDIU (doesn’t meet schedular thresholds but still can’t work). Cite 38 CFR §4.16.</w:t>
      </w:r>
    </w:p>
    <w:p>
      <w:pPr>
        <w:pStyle w:val="Heading3"/>
        <w:spacing w:after="150" w:before="300"/>
      </w:pPr>
      <w:r>
        <w:t xml:space="preserve">Section 2: How Medical Documentation Supports TDIU</w:t>
      </w:r>
    </w:p>
    <w:p>
      <w:pPr>
        <w:spacing w:after="120" w:line="276"/>
      </w:pPr>
      <w:r>
        <w:rPr>
          <w:rFonts w:ascii="Arial" w:cs="Arial" w:eastAsia="Arial" w:hAnsi="Arial"/>
          <w:sz w:val="22"/>
          <w:szCs w:val="22"/>
        </w:rPr>
        <w:t xml:space="preserve">Explain that TDIU requires proving that specific service-connected conditions (not age, not non-service-connected conditions) prevent the veteran from working. Describe what your clinicians provide: a detailed medical opinion addressing functional limitations, the impact of service-connected conditions on the ability to perform physical and sedentary work, and how symptoms like pain, fatigue, cognitive impairment, or psychiatric symptoms create occupational impairment.</w:t>
      </w:r>
    </w:p>
    <w:p>
      <w:pPr>
        <w:pStyle w:val="Heading3"/>
        <w:spacing w:after="150" w:before="300"/>
      </w:pPr>
      <w:r>
        <w:t xml:space="preserve">Section 3: What’s Included</w:t>
      </w:r>
    </w:p>
    <w:p>
      <w:pPr>
        <w:pStyle w:val="ListParagraph"/>
        <w:numPr>
          <w:ilvl w:val="0"/>
          <w:numId w:val="2"/>
        </w:numPr>
        <w:spacing w:after="80" w:line="276"/>
      </w:pPr>
      <w:r>
        <w:rPr>
          <w:rFonts w:ascii="Arial" w:cs="Arial" w:eastAsia="Arial" w:hAnsi="Arial"/>
          <w:sz w:val="22"/>
          <w:szCs w:val="22"/>
        </w:rPr>
        <w:t xml:space="preserve">Comprehensive review of medical records, VA rating decisions, and employment history</w:t>
      </w:r>
    </w:p>
    <w:p>
      <w:pPr>
        <w:pStyle w:val="ListParagraph"/>
        <w:numPr>
          <w:ilvl w:val="0"/>
          <w:numId w:val="2"/>
        </w:numPr>
        <w:spacing w:after="80" w:line="276"/>
      </w:pPr>
      <w:r>
        <w:rPr>
          <w:rFonts w:ascii="Arial" w:cs="Arial" w:eastAsia="Arial" w:hAnsi="Arial"/>
          <w:sz w:val="22"/>
          <w:szCs w:val="22"/>
        </w:rPr>
        <w:t xml:space="preserve">Medical opinion on functional limitations caused by service-connected disabilities</w:t>
      </w:r>
    </w:p>
    <w:p>
      <w:pPr>
        <w:pStyle w:val="ListParagraph"/>
        <w:numPr>
          <w:ilvl w:val="0"/>
          <w:numId w:val="2"/>
        </w:numPr>
        <w:spacing w:after="80" w:line="276"/>
      </w:pPr>
      <w:r>
        <w:rPr>
          <w:rFonts w:ascii="Arial" w:cs="Arial" w:eastAsia="Arial" w:hAnsi="Arial"/>
          <w:sz w:val="22"/>
          <w:szCs w:val="22"/>
        </w:rPr>
        <w:t xml:space="preserve">Assessment of how conditions impact physical AND sedentary occupational capacity</w:t>
      </w:r>
    </w:p>
    <w:p>
      <w:pPr>
        <w:pStyle w:val="ListParagraph"/>
        <w:numPr>
          <w:ilvl w:val="0"/>
          <w:numId w:val="2"/>
        </w:numPr>
        <w:spacing w:after="80" w:line="276"/>
      </w:pPr>
      <w:r>
        <w:rPr>
          <w:rFonts w:ascii="Arial" w:cs="Arial" w:eastAsia="Arial" w:hAnsi="Arial"/>
          <w:sz w:val="22"/>
          <w:szCs w:val="22"/>
        </w:rPr>
        <w:t xml:space="preserve">Opinion addressing whether the veteran can maintain substantially gainful employment</w:t>
      </w:r>
    </w:p>
    <w:p>
      <w:pPr>
        <w:pStyle w:val="ListParagraph"/>
        <w:numPr>
          <w:ilvl w:val="0"/>
          <w:numId w:val="2"/>
        </w:numPr>
        <w:spacing w:after="80" w:line="276"/>
      </w:pPr>
      <w:r>
        <w:rPr>
          <w:rFonts w:ascii="Arial" w:cs="Arial" w:eastAsia="Arial" w:hAnsi="Arial"/>
          <w:sz w:val="22"/>
          <w:szCs w:val="22"/>
        </w:rPr>
        <w:t xml:space="preserve">VA-compliant language and evidence-based rationale with medical literature citations</w:t>
      </w:r>
    </w:p>
    <w:p>
      <w:pPr>
        <w:pStyle w:val="Heading3"/>
        <w:spacing w:after="150" w:before="300"/>
      </w:pPr>
      <w:r>
        <w:t xml:space="preserve">Section 4: Who Qualifies for TDIU?</w:t>
      </w:r>
    </w:p>
    <w:p>
      <w:pPr>
        <w:spacing w:after="120" w:line="276"/>
      </w:pPr>
      <w:r>
        <w:rPr>
          <w:rFonts w:ascii="Arial" w:cs="Arial" w:eastAsia="Arial" w:hAnsi="Arial"/>
          <w:sz w:val="22"/>
          <w:szCs w:val="22"/>
        </w:rPr>
        <w:t xml:space="preserve">Detail the schedular and extraschedular criteria. Include a brief table showing the rating thresholds. Mention that veterans who are working but in marginal or protected employment may still qualify.</w:t>
      </w:r>
    </w:p>
    <w:p>
      <w:pPr>
        <w:pStyle w:val="Heading3"/>
        <w:spacing w:after="150" w:before="300"/>
      </w:pPr>
      <w:r>
        <w:t xml:space="preserve">Section 5: Common Reasons TDIU Claims Get Denied</w:t>
      </w:r>
    </w:p>
    <w:p>
      <w:pPr>
        <w:pStyle w:val="ListParagraph"/>
        <w:numPr>
          <w:ilvl w:val="0"/>
          <w:numId w:val="2"/>
        </w:numPr>
        <w:spacing w:after="80" w:line="276"/>
      </w:pPr>
      <w:r>
        <w:rPr>
          <w:rFonts w:ascii="Arial" w:cs="Arial" w:eastAsia="Arial" w:hAnsi="Arial"/>
          <w:sz w:val="22"/>
          <w:szCs w:val="22"/>
        </w:rPr>
        <w:t xml:space="preserve">Medical evidence doesn’t link unemployability to service-connected conditions specifically</w:t>
      </w:r>
    </w:p>
    <w:p>
      <w:pPr>
        <w:pStyle w:val="ListParagraph"/>
        <w:numPr>
          <w:ilvl w:val="0"/>
          <w:numId w:val="2"/>
        </w:numPr>
        <w:spacing w:after="80" w:line="276"/>
      </w:pPr>
      <w:r>
        <w:rPr>
          <w:rFonts w:ascii="Arial" w:cs="Arial" w:eastAsia="Arial" w:hAnsi="Arial"/>
          <w:sz w:val="22"/>
          <w:szCs w:val="22"/>
        </w:rPr>
        <w:t xml:space="preserve">C&amp;P exam focuses on symptom severity but doesn’t address occupational impact</w:t>
      </w:r>
    </w:p>
    <w:p>
      <w:pPr>
        <w:pStyle w:val="ListParagraph"/>
        <w:numPr>
          <w:ilvl w:val="0"/>
          <w:numId w:val="2"/>
        </w:numPr>
        <w:spacing w:after="80" w:line="276"/>
      </w:pPr>
      <w:r>
        <w:rPr>
          <w:rFonts w:ascii="Arial" w:cs="Arial" w:eastAsia="Arial" w:hAnsi="Arial"/>
          <w:sz w:val="22"/>
          <w:szCs w:val="22"/>
        </w:rPr>
        <w:t xml:space="preserve">Veteran is currently employed above the marginal employment threshold</w:t>
      </w:r>
    </w:p>
    <w:p>
      <w:pPr>
        <w:pStyle w:val="ListParagraph"/>
        <w:numPr>
          <w:ilvl w:val="0"/>
          <w:numId w:val="2"/>
        </w:numPr>
        <w:spacing w:after="80" w:line="276"/>
      </w:pPr>
      <w:r>
        <w:rPr>
          <w:rFonts w:ascii="Arial" w:cs="Arial" w:eastAsia="Arial" w:hAnsi="Arial"/>
          <w:sz w:val="22"/>
          <w:szCs w:val="22"/>
        </w:rPr>
        <w:t xml:space="preserve">Non-service-connected conditions are blamed for unemployment</w:t>
      </w:r>
    </w:p>
    <w:p>
      <w:pPr>
        <w:pStyle w:val="ListParagraph"/>
        <w:numPr>
          <w:ilvl w:val="0"/>
          <w:numId w:val="2"/>
        </w:numPr>
        <w:spacing w:after="80" w:line="276"/>
      </w:pPr>
      <w:r>
        <w:rPr>
          <w:rFonts w:ascii="Arial" w:cs="Arial" w:eastAsia="Arial" w:hAnsi="Arial"/>
          <w:sz w:val="22"/>
          <w:szCs w:val="22"/>
        </w:rPr>
        <w:t xml:space="preserve">Missing or insufficient vocational evidence</w:t>
      </w:r>
    </w:p>
    <w:p>
      <w:pPr>
        <w:pStyle w:val="Heading3"/>
        <w:spacing w:after="150" w:before="300"/>
      </w:pPr>
      <w:r>
        <w:t xml:space="preserve">Section 6: FAQ (8-10 questions)</w:t>
      </w:r>
    </w:p>
    <w:p>
      <w:pPr>
        <w:pStyle w:val="ListParagraph"/>
        <w:numPr>
          <w:ilvl w:val="0"/>
          <w:numId w:val="2"/>
        </w:numPr>
        <w:spacing w:after="80" w:line="276"/>
      </w:pPr>
      <w:r>
        <w:rPr>
          <w:rFonts w:ascii="Arial" w:cs="Arial" w:eastAsia="Arial" w:hAnsi="Arial"/>
          <w:sz w:val="22"/>
          <w:szCs w:val="22"/>
        </w:rPr>
        <w:t xml:space="preserve">“What is the difference between TDIU and a 100% disability rating?”</w:t>
      </w:r>
    </w:p>
    <w:p>
      <w:pPr>
        <w:pStyle w:val="ListParagraph"/>
        <w:numPr>
          <w:ilvl w:val="0"/>
          <w:numId w:val="2"/>
        </w:numPr>
        <w:spacing w:after="80" w:line="276"/>
      </w:pPr>
      <w:r>
        <w:rPr>
          <w:rFonts w:ascii="Arial" w:cs="Arial" w:eastAsia="Arial" w:hAnsi="Arial"/>
          <w:sz w:val="22"/>
          <w:szCs w:val="22"/>
        </w:rPr>
        <w:t xml:space="preserve">“Can I work while receiving TDIU?”</w:t>
      </w:r>
    </w:p>
    <w:p>
      <w:pPr>
        <w:pStyle w:val="ListParagraph"/>
        <w:numPr>
          <w:ilvl w:val="0"/>
          <w:numId w:val="2"/>
        </w:numPr>
        <w:spacing w:after="80" w:line="276"/>
      </w:pPr>
      <w:r>
        <w:rPr>
          <w:rFonts w:ascii="Arial" w:cs="Arial" w:eastAsia="Arial" w:hAnsi="Arial"/>
          <w:sz w:val="22"/>
          <w:szCs w:val="22"/>
        </w:rPr>
        <w:t xml:space="preserve">“What evidence do I need for a TDIU claim?”</w:t>
      </w:r>
    </w:p>
    <w:p>
      <w:pPr>
        <w:pStyle w:val="ListParagraph"/>
        <w:numPr>
          <w:ilvl w:val="0"/>
          <w:numId w:val="2"/>
        </w:numPr>
        <w:spacing w:after="80" w:line="276"/>
      </w:pPr>
      <w:r>
        <w:rPr>
          <w:rFonts w:ascii="Arial" w:cs="Arial" w:eastAsia="Arial" w:hAnsi="Arial"/>
          <w:sz w:val="22"/>
          <w:szCs w:val="22"/>
        </w:rPr>
        <w:t xml:space="preserve">“Can I get TDIU for PTSD alone?”</w:t>
      </w:r>
    </w:p>
    <w:p>
      <w:pPr>
        <w:pStyle w:val="ListParagraph"/>
        <w:numPr>
          <w:ilvl w:val="0"/>
          <w:numId w:val="2"/>
        </w:numPr>
        <w:spacing w:after="80" w:line="276"/>
      </w:pPr>
      <w:r>
        <w:rPr>
          <w:rFonts w:ascii="Arial" w:cs="Arial" w:eastAsia="Arial" w:hAnsi="Arial"/>
          <w:sz w:val="22"/>
          <w:szCs w:val="22"/>
        </w:rPr>
        <w:t xml:space="preserve">“What is marginal employment under TDIU?”</w:t>
      </w:r>
    </w:p>
    <w:p>
      <w:pPr>
        <w:pStyle w:val="ListParagraph"/>
        <w:numPr>
          <w:ilvl w:val="0"/>
          <w:numId w:val="2"/>
        </w:numPr>
        <w:spacing w:after="80" w:line="276"/>
      </w:pPr>
      <w:r>
        <w:rPr>
          <w:rFonts w:ascii="Arial" w:cs="Arial" w:eastAsia="Arial" w:hAnsi="Arial"/>
          <w:sz w:val="22"/>
          <w:szCs w:val="22"/>
        </w:rPr>
        <w:t xml:space="preserve">“Do I need a vocational assessment for TDIU?”</w:t>
      </w:r>
    </w:p>
    <w:p>
      <w:pPr>
        <w:pStyle w:val="ListParagraph"/>
        <w:numPr>
          <w:ilvl w:val="0"/>
          <w:numId w:val="2"/>
        </w:numPr>
        <w:spacing w:after="80" w:line="276"/>
      </w:pPr>
      <w:r>
        <w:rPr>
          <w:rFonts w:ascii="Arial" w:cs="Arial" w:eastAsia="Arial" w:hAnsi="Arial"/>
          <w:sz w:val="22"/>
          <w:szCs w:val="22"/>
        </w:rPr>
        <w:t xml:space="preserve">“What happens if my TDIU is denied?”</w:t>
      </w:r>
    </w:p>
    <w:p>
      <w:pPr>
        <w:pStyle w:val="ListParagraph"/>
        <w:numPr>
          <w:ilvl w:val="0"/>
          <w:numId w:val="2"/>
        </w:numPr>
        <w:spacing w:after="80" w:line="276"/>
      </w:pPr>
      <w:r>
        <w:rPr>
          <w:rFonts w:ascii="Arial" w:cs="Arial" w:eastAsia="Arial" w:hAnsi="Arial"/>
          <w:sz w:val="22"/>
          <w:szCs w:val="22"/>
        </w:rPr>
        <w:t xml:space="preserve">“Can I get TDIU and Special Monthly Compensation (SMC) at the same time?”</w:t>
      </w:r>
    </w:p>
    <w:p>
      <w:pPr>
        <w:pStyle w:val="Heading3"/>
        <w:spacing w:after="150" w:before="300"/>
      </w:pPr>
      <w:r>
        <w:t xml:space="preserve">Section 7: Pricing &amp; CTA</w:t>
      </w:r>
    </w:p>
    <w:p>
      <w:pPr>
        <w:spacing w:after="120" w:line="276"/>
      </w:pPr>
      <w:r>
        <w:rPr>
          <w:rFonts w:ascii="Arial" w:cs="Arial" w:eastAsia="Arial" w:hAnsi="Arial"/>
          <w:sz w:val="22"/>
          <w:szCs w:val="22"/>
        </w:rPr>
        <w:t xml:space="preserve">Include starting price, turnaround time, and free consultation CTA. Link to the attorney/VSO collaboration page for complex cases.</w:t>
      </w:r>
    </w:p>
    <w:p>
      <w:pPr>
        <w:pStyle w:val="Heading2"/>
        <w:spacing w:after="150" w:before="300"/>
      </w:pPr>
      <w:r>
        <w:t xml:space="preserve">7.4 Internal Links From/To This Page</w:t>
      </w:r>
    </w:p>
    <w:p>
      <w:pPr>
        <w:pStyle w:val="ListParagraph"/>
        <w:numPr>
          <w:ilvl w:val="0"/>
          <w:numId w:val="2"/>
        </w:numPr>
        <w:spacing w:after="80" w:line="276"/>
      </w:pPr>
      <w:r>
        <w:rPr>
          <w:rFonts w:ascii="Arial" w:cs="Arial" w:eastAsia="Arial" w:hAnsi="Arial"/>
          <w:sz w:val="22"/>
          <w:szCs w:val="22"/>
        </w:rPr>
        <w:t xml:space="preserve">From: Nexus Letter page, Aid &amp; Attendance page, Claim Readiness Review page, relevant blog posts</w:t>
      </w:r>
    </w:p>
    <w:p>
      <w:pPr>
        <w:pStyle w:val="ListParagraph"/>
        <w:numPr>
          <w:ilvl w:val="0"/>
          <w:numId w:val="2"/>
        </w:numPr>
        <w:spacing w:after="80" w:line="276"/>
      </w:pPr>
      <w:r>
        <w:rPr>
          <w:rFonts w:ascii="Arial" w:cs="Arial" w:eastAsia="Arial" w:hAnsi="Arial"/>
          <w:sz w:val="22"/>
          <w:szCs w:val="22"/>
        </w:rPr>
        <w:t xml:space="preserve">To: Nexus Letter page, C&amp;P Exam Coaching, Attorney/VSO Collaboration page, blog posts on P&amp;T status, secondary claims</w:t>
      </w:r>
    </w:p>
    <w:p>
      <w:r>
        <w:br w:type="page"/>
      </w:r>
    </w:p>
    <w:p>
      <w:pPr>
        <w:pStyle w:val="Heading1"/>
        <w:spacing w:after="150" w:before="300"/>
      </w:pPr>
      <w:r>
        <w:t xml:space="preserve">8. NEW SERVICE PAGE: Attorney/VSO Collaboration Program</w:t>
      </w:r>
    </w:p>
    <w:p>
      <w:pPr>
        <w:spacing w:after="120" w:line="276"/>
      </w:pPr>
      <w:r>
        <w:rPr>
          <w:rFonts w:ascii="Arial" w:cs="Arial" w:eastAsia="Arial" w:hAnsi="Arial"/>
          <w:sz w:val="22"/>
          <w:szCs w:val="22"/>
        </w:rPr>
        <w:t xml:space="preserve">Based on the uploaded screenshot and your business model, this page serves a dual purpose: (1) a public-facing B2B page that attracts attorney/VSO partners, and (2) a veteran-facing page showing that you work alongside legal professionals for complex cases.</w:t>
      </w:r>
    </w:p>
    <w:p>
      <w:pPr>
        <w:pStyle w:val="Heading2"/>
        <w:spacing w:after="150" w:before="300"/>
      </w:pPr>
      <w:r>
        <w:t xml:space="preserve">8.1 Recommended URL</w:t>
      </w:r>
    </w:p>
    <w:p>
      <w:pPr>
        <w:spacing w:after="120" w:line="276"/>
      </w:pPr>
      <w:r>
        <w:rPr>
          <w:rFonts w:ascii="Arial" w:cs="Arial" w:eastAsia="Arial" w:hAnsi="Arial"/>
          <w:sz w:val="22"/>
          <w:szCs w:val="22"/>
        </w:rPr>
        <w:t xml:space="preserve">/services/attorney-vso-collaboration</w:t>
      </w:r>
    </w:p>
    <w:p>
      <w:pPr>
        <w:pStyle w:val="Heading2"/>
        <w:spacing w:after="150" w:before="300"/>
      </w:pPr>
      <w:r>
        <w:t xml:space="preserve">8.2 Target Keywords</w:t>
      </w:r>
    </w:p>
    <w:p>
      <w:pPr>
        <w:pStyle w:val="ListParagraph"/>
        <w:numPr>
          <w:ilvl w:val="0"/>
          <w:numId w:val="2"/>
        </w:numPr>
        <w:spacing w:after="80" w:line="276"/>
      </w:pPr>
      <w:r>
        <w:rPr>
          <w:rFonts w:ascii="Arial" w:cs="Arial" w:eastAsia="Arial" w:hAnsi="Arial"/>
          <w:sz w:val="22"/>
          <w:szCs w:val="22"/>
        </w:rPr>
        <w:t xml:space="preserve">B2B: “white label nexus letter provider,” “VA disability attorney medical evidence partner,” “nexus letter fulfillment for law firms”</w:t>
      </w:r>
    </w:p>
    <w:p>
      <w:pPr>
        <w:pStyle w:val="ListParagraph"/>
        <w:numPr>
          <w:ilvl w:val="0"/>
          <w:numId w:val="2"/>
        </w:numPr>
        <w:spacing w:after="80" w:line="276"/>
      </w:pPr>
      <w:r>
        <w:rPr>
          <w:rFonts w:ascii="Arial" w:cs="Arial" w:eastAsia="Arial" w:hAnsi="Arial"/>
          <w:sz w:val="22"/>
          <w:szCs w:val="22"/>
        </w:rPr>
        <w:t xml:space="preserve">Veteran-facing: “VA disability attorney and medical evidence,” “attorney-supported VA claim,” “VA claim with lawyer and nexus letter”</w:t>
      </w:r>
    </w:p>
    <w:p>
      <w:pPr>
        <w:pStyle w:val="Heading2"/>
        <w:spacing w:after="150" w:before="300"/>
      </w:pPr>
      <w:r>
        <w:t xml:space="preserve">8.3 Page Content Outline</w:t>
      </w:r>
    </w:p>
    <w:p>
      <w:pPr>
        <w:pStyle w:val="Heading3"/>
        <w:spacing w:after="150" w:before="300"/>
      </w:pPr>
      <w:r>
        <w:t xml:space="preserve">H1: Attorney &amp; VSO Medical Evidence Collaboration</w:t>
      </w:r>
    </w:p>
    <w:p>
      <w:pPr>
        <w:spacing w:after="120" w:line="276"/>
      </w:pPr>
      <w:r>
        <w:rPr>
          <w:rFonts w:ascii="Arial" w:cs="Arial" w:eastAsia="Arial" w:hAnsi="Arial"/>
          <w:sz w:val="22"/>
          <w:szCs w:val="22"/>
        </w:rPr>
        <w:t xml:space="preserve">Subheadline: We partner with VA disability attorneys, Veterans Service Officers, and claims agents to provide expert medical documentation that strengthens your client’s claim.</w:t>
      </w:r>
    </w:p>
    <w:p>
      <w:pPr>
        <w:pStyle w:val="Heading3"/>
        <w:spacing w:after="150" w:before="300"/>
      </w:pPr>
      <w:r>
        <w:t xml:space="preserve">Section 1: The Problem (for attorneys/VSOs)</w:t>
      </w:r>
    </w:p>
    <w:p>
      <w:pPr>
        <w:spacing w:after="120" w:line="276"/>
      </w:pPr>
      <w:r>
        <w:rPr>
          <w:rFonts w:ascii="Arial" w:cs="Arial" w:eastAsia="Arial" w:hAnsi="Arial"/>
          <w:sz w:val="22"/>
          <w:szCs w:val="22"/>
        </w:rPr>
        <w:t xml:space="preserve">Many VA disability attorneys and VSOs have the legal expertise but lack reliable medical evidence partners. Poor-quality nexus letters can undermine strong legal arguments. Overloaded VSOs with high caseloads need a trusted partner for medical documentation. Claims agents who don’t provide medical nexus services themselves need a white-label or referral solution.</w:t>
      </w:r>
    </w:p>
    <w:p>
      <w:pPr>
        <w:pStyle w:val="Heading3"/>
        <w:spacing w:after="150" w:before="300"/>
      </w:pPr>
      <w:r>
        <w:t xml:space="preserve">Section 2: How We Partner</w:t>
      </w:r>
    </w:p>
    <w:p>
      <w:pPr>
        <w:pStyle w:val="ListParagraph"/>
        <w:numPr>
          <w:ilvl w:val="0"/>
          <w:numId w:val="2"/>
        </w:numPr>
        <w:spacing w:after="80" w:line="276"/>
      </w:pPr>
      <w:r>
        <w:rPr>
          <w:rFonts w:ascii="Arial" w:cs="Arial" w:eastAsia="Arial" w:hAnsi="Arial"/>
          <w:sz w:val="22"/>
          <w:szCs w:val="22"/>
        </w:rPr>
        <w:t xml:space="preserve">White-labeled nexus letter and IMO fulfillment with your firm’s medical expertise</w:t>
      </w:r>
    </w:p>
    <w:p>
      <w:pPr>
        <w:pStyle w:val="ListParagraph"/>
        <w:numPr>
          <w:ilvl w:val="0"/>
          <w:numId w:val="2"/>
        </w:numPr>
        <w:spacing w:after="80" w:line="276"/>
      </w:pPr>
      <w:r>
        <w:rPr>
          <w:rFonts w:ascii="Arial" w:cs="Arial" w:eastAsia="Arial" w:hAnsi="Arial"/>
          <w:sz w:val="22"/>
          <w:szCs w:val="22"/>
        </w:rPr>
        <w:t xml:space="preserve">Fast-turnaround medical documentation that keeps cases on schedule</w:t>
      </w:r>
    </w:p>
    <w:p>
      <w:pPr>
        <w:pStyle w:val="ListParagraph"/>
        <w:numPr>
          <w:ilvl w:val="0"/>
          <w:numId w:val="2"/>
        </w:numPr>
        <w:spacing w:after="80" w:line="276"/>
      </w:pPr>
      <w:r>
        <w:rPr>
          <w:rFonts w:ascii="Arial" w:cs="Arial" w:eastAsia="Arial" w:hAnsi="Arial"/>
          <w:sz w:val="22"/>
          <w:szCs w:val="22"/>
        </w:rPr>
        <w:t xml:space="preserve">Clear, VA-compliant medical rationale that supports the legal strategy</w:t>
      </w:r>
    </w:p>
    <w:p>
      <w:pPr>
        <w:pStyle w:val="ListParagraph"/>
        <w:numPr>
          <w:ilvl w:val="0"/>
          <w:numId w:val="2"/>
        </w:numPr>
        <w:spacing w:after="80" w:line="276"/>
      </w:pPr>
      <w:r>
        <w:rPr>
          <w:rFonts w:ascii="Arial" w:cs="Arial" w:eastAsia="Arial" w:hAnsi="Arial"/>
          <w:sz w:val="22"/>
          <w:szCs w:val="22"/>
        </w:rPr>
        <w:t xml:space="preserve">Direct communication with our clinical team on complex cases</w:t>
      </w:r>
    </w:p>
    <w:p>
      <w:pPr>
        <w:pStyle w:val="ListParagraph"/>
        <w:numPr>
          <w:ilvl w:val="0"/>
          <w:numId w:val="2"/>
        </w:numPr>
        <w:spacing w:after="80" w:line="276"/>
      </w:pPr>
      <w:r>
        <w:rPr>
          <w:rFonts w:ascii="Arial" w:cs="Arial" w:eastAsia="Arial" w:hAnsi="Arial"/>
          <w:sz w:val="22"/>
          <w:szCs w:val="22"/>
        </w:rPr>
        <w:t xml:space="preserve">Private referral pages and co-branded resources</w:t>
      </w:r>
    </w:p>
    <w:p>
      <w:pPr>
        <w:pStyle w:val="ListParagraph"/>
        <w:numPr>
          <w:ilvl w:val="0"/>
          <w:numId w:val="2"/>
        </w:numPr>
        <w:spacing w:after="80" w:line="276"/>
      </w:pPr>
      <w:r>
        <w:rPr>
          <w:rFonts w:ascii="Arial" w:cs="Arial" w:eastAsia="Arial" w:hAnsi="Arial"/>
          <w:sz w:val="22"/>
          <w:szCs w:val="22"/>
        </w:rPr>
        <w:t xml:space="preserve">Volume pricing for firms with ongoing caseloads</w:t>
      </w:r>
    </w:p>
    <w:p>
      <w:pPr>
        <w:pStyle w:val="Heading3"/>
        <w:spacing w:after="150" w:before="300"/>
      </w:pPr>
      <w:r>
        <w:t xml:space="preserve">Section 3: Who We Work With</w:t>
      </w:r>
    </w:p>
    <w:p>
      <w:pPr>
        <w:pStyle w:val="ListParagraph"/>
        <w:numPr>
          <w:ilvl w:val="0"/>
          <w:numId w:val="2"/>
        </w:numPr>
        <w:spacing w:after="80" w:line="276"/>
      </w:pPr>
      <w:r>
        <w:rPr>
          <w:rFonts w:ascii="Arial" w:cs="Arial" w:eastAsia="Arial" w:hAnsi="Arial"/>
          <w:sz w:val="22"/>
          <w:szCs w:val="22"/>
        </w:rPr>
        <w:t xml:space="preserve">Small VA disability law firms and solo practitioners handling disability claims</w:t>
      </w:r>
    </w:p>
    <w:p>
      <w:pPr>
        <w:pStyle w:val="ListParagraph"/>
        <w:numPr>
          <w:ilvl w:val="0"/>
          <w:numId w:val="2"/>
        </w:numPr>
        <w:spacing w:after="80" w:line="276"/>
      </w:pPr>
      <w:r>
        <w:rPr>
          <w:rFonts w:ascii="Arial" w:cs="Arial" w:eastAsia="Arial" w:hAnsi="Arial"/>
          <w:sz w:val="22"/>
          <w:szCs w:val="22"/>
        </w:rPr>
        <w:t xml:space="preserve">Veterans Service Officers managing high caseloads at organizations like DAV, VFW, American Legion</w:t>
      </w:r>
    </w:p>
    <w:p>
      <w:pPr>
        <w:pStyle w:val="ListParagraph"/>
        <w:numPr>
          <w:ilvl w:val="0"/>
          <w:numId w:val="2"/>
        </w:numPr>
        <w:spacing w:after="80" w:line="276"/>
      </w:pPr>
      <w:r>
        <w:rPr>
          <w:rFonts w:ascii="Arial" w:cs="Arial" w:eastAsia="Arial" w:hAnsi="Arial"/>
          <w:sz w:val="22"/>
          <w:szCs w:val="22"/>
        </w:rPr>
        <w:t xml:space="preserve">Accredited claims agents and non-attorney representatives</w:t>
      </w:r>
    </w:p>
    <w:p>
      <w:pPr>
        <w:pStyle w:val="ListParagraph"/>
        <w:numPr>
          <w:ilvl w:val="0"/>
          <w:numId w:val="2"/>
        </w:numPr>
        <w:spacing w:after="80" w:line="276"/>
      </w:pPr>
      <w:r>
        <w:rPr>
          <w:rFonts w:ascii="Arial" w:cs="Arial" w:eastAsia="Arial" w:hAnsi="Arial"/>
          <w:sz w:val="22"/>
          <w:szCs w:val="22"/>
        </w:rPr>
        <w:t xml:space="preserve">VA disability consulting companies needing reliable medical evidence partners</w:t>
      </w:r>
    </w:p>
    <w:p>
      <w:pPr>
        <w:pStyle w:val="Heading3"/>
        <w:spacing w:after="150" w:before="300"/>
      </w:pPr>
      <w:r>
        <w:t xml:space="preserve">Section 4: Services Available for Partners</w:t>
      </w:r>
    </w:p>
    <w:p>
      <w:pPr>
        <w:pStyle w:val="ListParagraph"/>
        <w:numPr>
          <w:ilvl w:val="0"/>
          <w:numId w:val="2"/>
        </w:numPr>
        <w:spacing w:after="80" w:line="276"/>
      </w:pPr>
      <w:r>
        <w:rPr>
          <w:rFonts w:ascii="Arial" w:cs="Arial" w:eastAsia="Arial" w:hAnsi="Arial"/>
          <w:sz w:val="22"/>
          <w:szCs w:val="22"/>
        </w:rPr>
        <w:t xml:space="preserve">Nexus Letters / Independent Medical Opinions</w:t>
      </w:r>
    </w:p>
    <w:p>
      <w:pPr>
        <w:pStyle w:val="ListParagraph"/>
        <w:numPr>
          <w:ilvl w:val="0"/>
          <w:numId w:val="2"/>
        </w:numPr>
        <w:spacing w:after="80" w:line="276"/>
      </w:pPr>
      <w:r>
        <w:rPr>
          <w:rFonts w:ascii="Arial" w:cs="Arial" w:eastAsia="Arial" w:hAnsi="Arial"/>
          <w:sz w:val="22"/>
          <w:szCs w:val="22"/>
        </w:rPr>
        <w:t xml:space="preserve">Disability Benefits Questionnaires (DBQs)</w:t>
      </w:r>
    </w:p>
    <w:p>
      <w:pPr>
        <w:pStyle w:val="ListParagraph"/>
        <w:numPr>
          <w:ilvl w:val="0"/>
          <w:numId w:val="2"/>
        </w:numPr>
        <w:spacing w:after="80" w:line="276"/>
      </w:pPr>
      <w:r>
        <w:rPr>
          <w:rFonts w:ascii="Arial" w:cs="Arial" w:eastAsia="Arial" w:hAnsi="Arial"/>
          <w:sz w:val="22"/>
          <w:szCs w:val="22"/>
        </w:rPr>
        <w:t xml:space="preserve">1151 Medical Malpractice IMOs</w:t>
      </w:r>
    </w:p>
    <w:p>
      <w:pPr>
        <w:pStyle w:val="ListParagraph"/>
        <w:numPr>
          <w:ilvl w:val="0"/>
          <w:numId w:val="2"/>
        </w:numPr>
        <w:spacing w:after="80" w:line="276"/>
      </w:pPr>
      <w:r>
        <w:rPr>
          <w:rFonts w:ascii="Arial" w:cs="Arial" w:eastAsia="Arial" w:hAnsi="Arial"/>
          <w:sz w:val="22"/>
          <w:szCs w:val="22"/>
        </w:rPr>
        <w:t xml:space="preserve">TDIU Medical Opinions</w:t>
      </w:r>
    </w:p>
    <w:p>
      <w:pPr>
        <w:pStyle w:val="ListParagraph"/>
        <w:numPr>
          <w:ilvl w:val="0"/>
          <w:numId w:val="2"/>
        </w:numPr>
        <w:spacing w:after="80" w:line="276"/>
      </w:pPr>
      <w:r>
        <w:rPr>
          <w:rFonts w:ascii="Arial" w:cs="Arial" w:eastAsia="Arial" w:hAnsi="Arial"/>
          <w:sz w:val="22"/>
          <w:szCs w:val="22"/>
        </w:rPr>
        <w:t xml:space="preserve">Rebuttal Opinions (countering negative C&amp;P exams)</w:t>
      </w:r>
    </w:p>
    <w:p>
      <w:pPr>
        <w:pStyle w:val="ListParagraph"/>
        <w:numPr>
          <w:ilvl w:val="0"/>
          <w:numId w:val="2"/>
        </w:numPr>
        <w:spacing w:after="80" w:line="276"/>
      </w:pPr>
      <w:r>
        <w:rPr>
          <w:rFonts w:ascii="Arial" w:cs="Arial" w:eastAsia="Arial" w:hAnsi="Arial"/>
          <w:sz w:val="22"/>
          <w:szCs w:val="22"/>
        </w:rPr>
        <w:t xml:space="preserve">Aid &amp; Attendance Documentation (VA Form 21-2680)</w:t>
      </w:r>
    </w:p>
    <w:p>
      <w:pPr>
        <w:pStyle w:val="ListParagraph"/>
        <w:numPr>
          <w:ilvl w:val="0"/>
          <w:numId w:val="2"/>
        </w:numPr>
        <w:spacing w:after="80" w:line="276"/>
      </w:pPr>
      <w:r>
        <w:rPr>
          <w:rFonts w:ascii="Arial" w:cs="Arial" w:eastAsia="Arial" w:hAnsi="Arial"/>
          <w:sz w:val="22"/>
          <w:szCs w:val="22"/>
        </w:rPr>
        <w:t xml:space="preserve">Claim Readiness Reviews for case intake assessment</w:t>
      </w:r>
    </w:p>
    <w:p>
      <w:pPr>
        <w:pStyle w:val="Heading3"/>
        <w:spacing w:after="150" w:before="300"/>
      </w:pPr>
      <w:r>
        <w:t xml:space="preserve">Section 5: For Veterans — How Attorney Collaboration Helps You</w:t>
      </w:r>
    </w:p>
    <w:p>
      <w:pPr>
        <w:spacing w:after="120" w:line="276"/>
      </w:pPr>
      <w:r>
        <w:rPr>
          <w:rFonts w:ascii="Arial" w:cs="Arial" w:eastAsia="Arial" w:hAnsi="Arial"/>
          <w:sz w:val="22"/>
          <w:szCs w:val="22"/>
        </w:rPr>
        <w:t xml:space="preserve">If you’re working with a VA disability attorney or VSO, they may refer you to us for medical documentation. This collaboration means your legal representative handles the legal strategy while our board-certified physicians handle the medical evidence — giving you the strongest possible claim.</w:t>
      </w:r>
    </w:p>
    <w:p>
      <w:pPr>
        <w:pStyle w:val="Heading3"/>
        <w:spacing w:after="150" w:before="300"/>
      </w:pPr>
      <w:r>
        <w:t xml:space="preserve">Section 6: FAQ</w:t>
      </w:r>
    </w:p>
    <w:p>
      <w:pPr>
        <w:pStyle w:val="ListParagraph"/>
        <w:numPr>
          <w:ilvl w:val="0"/>
          <w:numId w:val="2"/>
        </w:numPr>
        <w:spacing w:after="80" w:line="276"/>
      </w:pPr>
      <w:r>
        <w:rPr>
          <w:rFonts w:ascii="Arial" w:cs="Arial" w:eastAsia="Arial" w:hAnsi="Arial"/>
          <w:sz w:val="22"/>
          <w:szCs w:val="22"/>
        </w:rPr>
        <w:t xml:space="preserve">“How do attorneys or VSOs start a partnership with Military Disability Nexus?”</w:t>
      </w:r>
    </w:p>
    <w:p>
      <w:pPr>
        <w:pStyle w:val="ListParagraph"/>
        <w:numPr>
          <w:ilvl w:val="0"/>
          <w:numId w:val="2"/>
        </w:numPr>
        <w:spacing w:after="80" w:line="276"/>
      </w:pPr>
      <w:r>
        <w:rPr>
          <w:rFonts w:ascii="Arial" w:cs="Arial" w:eastAsia="Arial" w:hAnsi="Arial"/>
          <w:sz w:val="22"/>
          <w:szCs w:val="22"/>
        </w:rPr>
        <w:t xml:space="preserve">“Is the partnership confidential/white-labeled?”</w:t>
      </w:r>
    </w:p>
    <w:p>
      <w:pPr>
        <w:pStyle w:val="ListParagraph"/>
        <w:numPr>
          <w:ilvl w:val="0"/>
          <w:numId w:val="2"/>
        </w:numPr>
        <w:spacing w:after="80" w:line="276"/>
      </w:pPr>
      <w:r>
        <w:rPr>
          <w:rFonts w:ascii="Arial" w:cs="Arial" w:eastAsia="Arial" w:hAnsi="Arial"/>
          <w:sz w:val="22"/>
          <w:szCs w:val="22"/>
        </w:rPr>
        <w:t xml:space="preserve">“What is the turnaround time for partner cases?”</w:t>
      </w:r>
    </w:p>
    <w:p>
      <w:pPr>
        <w:pStyle w:val="ListParagraph"/>
        <w:numPr>
          <w:ilvl w:val="0"/>
          <w:numId w:val="2"/>
        </w:numPr>
        <w:spacing w:after="80" w:line="276"/>
      </w:pPr>
      <w:r>
        <w:rPr>
          <w:rFonts w:ascii="Arial" w:cs="Arial" w:eastAsia="Arial" w:hAnsi="Arial"/>
          <w:sz w:val="22"/>
          <w:szCs w:val="22"/>
        </w:rPr>
        <w:t xml:space="preserve">“Do you offer volume pricing?”</w:t>
      </w:r>
    </w:p>
    <w:p>
      <w:pPr>
        <w:pStyle w:val="ListParagraph"/>
        <w:numPr>
          <w:ilvl w:val="0"/>
          <w:numId w:val="2"/>
        </w:numPr>
        <w:spacing w:after="80" w:line="276"/>
      </w:pPr>
      <w:r>
        <w:rPr>
          <w:rFonts w:ascii="Arial" w:cs="Arial" w:eastAsia="Arial" w:hAnsi="Arial"/>
          <w:sz w:val="22"/>
          <w:szCs w:val="22"/>
        </w:rPr>
        <w:t xml:space="preserve">“Can I refer a specific client case to you?”</w:t>
      </w:r>
    </w:p>
    <w:p>
      <w:pPr>
        <w:pStyle w:val="ListParagraph"/>
        <w:numPr>
          <w:ilvl w:val="0"/>
          <w:numId w:val="2"/>
        </w:numPr>
        <w:spacing w:after="80" w:line="276"/>
      </w:pPr>
      <w:r>
        <w:rPr>
          <w:rFonts w:ascii="Arial" w:cs="Arial" w:eastAsia="Arial" w:hAnsi="Arial"/>
          <w:sz w:val="22"/>
          <w:szCs w:val="22"/>
        </w:rPr>
        <w:t xml:space="preserve">“Are your clinicians available for BVA hearing testimony?”</w:t>
      </w:r>
    </w:p>
    <w:p>
      <w:pPr>
        <w:pStyle w:val="Heading3"/>
        <w:spacing w:after="150" w:before="300"/>
      </w:pPr>
      <w:r>
        <w:t xml:space="preserve">Section 7: CTA</w:t>
      </w:r>
    </w:p>
    <w:p>
      <w:pPr>
        <w:spacing w:after="120" w:line="276"/>
      </w:pPr>
      <w:r>
        <w:rPr>
          <w:rFonts w:ascii="Arial" w:cs="Arial" w:eastAsia="Arial" w:hAnsi="Arial"/>
          <w:sz w:val="22"/>
          <w:szCs w:val="22"/>
        </w:rPr>
        <w:t xml:space="preserve">Two CTAs: (1) For attorneys/VSOs: “Schedule a Partnership Call” linking to a dedicated contact form. (2) For veterans: “If your attorney referred you, get started here” linking to your standard intake form.</w:t>
      </w:r>
    </w:p>
    <w:p>
      <w:pPr>
        <w:pStyle w:val="Heading2"/>
        <w:spacing w:after="150" w:before="300"/>
      </w:pPr>
      <w:r>
        <w:t xml:space="preserve">8.4 SEO Strategy for This Page</w:t>
      </w:r>
    </w:p>
    <w:p>
      <w:pPr>
        <w:spacing w:after="120" w:line="276"/>
      </w:pPr>
      <w:r>
        <w:rPr>
          <w:rFonts w:ascii="Arial" w:cs="Arial" w:eastAsia="Arial" w:hAnsi="Arial"/>
          <w:sz w:val="22"/>
          <w:szCs w:val="22"/>
        </w:rPr>
        <w:t xml:space="preserve">This page targets two audiences. For B2B, optimize for “VA nexus letter provider for attorneys,” “medical evidence partner VA law firm,” and “white label IMO service.” For veterans, target “VA disability claim with attorney support” and “lawyer and nexus letter for VA claim.” Consider creating a separate /partners landing page that is explicitly B2B and doesn’t dilute the veteran-facing SEO.</w:t>
      </w:r>
    </w:p>
    <w:p>
      <w:r>
        <w:br w:type="page"/>
      </w:r>
    </w:p>
    <w:p>
      <w:pPr>
        <w:pStyle w:val="Heading1"/>
        <w:spacing w:after="150" w:before="300"/>
      </w:pPr>
      <w:r>
        <w:t xml:space="preserve">9. Additional Service Opportunities (Market Research)</w:t>
      </w:r>
    </w:p>
    <w:p>
      <w:pPr>
        <w:spacing w:after="120" w:line="276"/>
      </w:pPr>
      <w:r>
        <w:rPr>
          <w:rFonts w:ascii="Arial" w:cs="Arial" w:eastAsia="Arial" w:hAnsi="Arial"/>
          <w:sz w:val="22"/>
          <w:szCs w:val="22"/>
        </w:rPr>
        <w:t xml:space="preserve">Based on competitive analysis of VA Claims Insider, Telemedica, VetNexusLetter, Valor4Vet, EMRA, Xterra Health, CCK Law, Hill &amp; Ponton, Dr. Willoughby &amp; Associates, and VMHA, the following additional services represent proven market demand that you can add:</w:t>
      </w:r>
    </w:p>
    <w:p>
      <w:pPr>
        <w:pStyle w:val="Heading2"/>
        <w:spacing w:after="150" w:before="300"/>
      </w:pPr>
      <w:r>
        <w:t xml:space="preserve">9.1 Rebuttal Letters / Addendum Opinions</w:t>
      </w:r>
    </w:p>
    <w:p>
      <w:pPr>
        <w:spacing w:after="120" w:line="276"/>
      </w:pPr>
      <w:r>
        <w:rPr>
          <w:rFonts w:ascii="Arial" w:cs="Arial" w:eastAsia="Arial" w:hAnsi="Arial"/>
          <w:b/>
          <w:bCs/>
          <w:sz w:val="22"/>
          <w:szCs w:val="22"/>
        </w:rPr>
        <w:t xml:space="preserve">Market demand: HIGH. </w:t>
      </w:r>
      <w:r>
        <w:rPr>
          <w:rFonts w:ascii="Arial" w:cs="Arial" w:eastAsia="Arial" w:hAnsi="Arial"/>
          <w:sz w:val="22"/>
          <w:szCs w:val="22"/>
        </w:rPr>
        <w:t xml:space="preserve">When the VA conducts a C&amp;P exam and the examiner provides a negative opinion that contradicts a veteran’s private nexus letter or downplays their symptoms, a rebuttal letter from the original clinician (or a new one) is the most effective counter-evidence. Multiple competitors (VA Claims Insider, VetNexusLetter, Telemedica) explicitly advertise rebuttal letters. This is a natural extension of your nexus letter service.</w:t>
      </w:r>
    </w:p>
    <w:p>
      <w:pPr>
        <w:pStyle w:val="Heading3"/>
        <w:spacing w:after="150" w:before="300"/>
      </w:pPr>
      <w:r>
        <w:t xml:space="preserve">What to offer:</w:t>
      </w:r>
    </w:p>
    <w:p>
      <w:pPr>
        <w:pStyle w:val="ListParagraph"/>
        <w:numPr>
          <w:ilvl w:val="0"/>
          <w:numId w:val="2"/>
        </w:numPr>
        <w:spacing w:after="80" w:line="276"/>
      </w:pPr>
      <w:r>
        <w:rPr>
          <w:rFonts w:ascii="Arial" w:cs="Arial" w:eastAsia="Arial" w:hAnsi="Arial"/>
          <w:sz w:val="22"/>
          <w:szCs w:val="22"/>
        </w:rPr>
        <w:t xml:space="preserve">Clinician-authored rebuttal that addresses specific errors, omissions, or mischaracterizations in a VA C&amp;P exam report</w:t>
      </w:r>
    </w:p>
    <w:p>
      <w:pPr>
        <w:pStyle w:val="ListParagraph"/>
        <w:numPr>
          <w:ilvl w:val="0"/>
          <w:numId w:val="2"/>
        </w:numPr>
        <w:spacing w:after="80" w:line="276"/>
      </w:pPr>
      <w:r>
        <w:rPr>
          <w:rFonts w:ascii="Arial" w:cs="Arial" w:eastAsia="Arial" w:hAnsi="Arial"/>
          <w:sz w:val="22"/>
          <w:szCs w:val="22"/>
        </w:rPr>
        <w:t xml:space="preserve">Point-by-point response to the C&amp;P examiner’s rationale</w:t>
      </w:r>
    </w:p>
    <w:p>
      <w:pPr>
        <w:pStyle w:val="ListParagraph"/>
        <w:numPr>
          <w:ilvl w:val="0"/>
          <w:numId w:val="2"/>
        </w:numPr>
        <w:spacing w:after="80" w:line="276"/>
      </w:pPr>
      <w:r>
        <w:rPr>
          <w:rFonts w:ascii="Arial" w:cs="Arial" w:eastAsia="Arial" w:hAnsi="Arial"/>
          <w:sz w:val="22"/>
          <w:szCs w:val="22"/>
        </w:rPr>
        <w:t xml:space="preserve">Supplemental medical literature citations</w:t>
      </w:r>
    </w:p>
    <w:p>
      <w:pPr>
        <w:pStyle w:val="ListParagraph"/>
        <w:numPr>
          <w:ilvl w:val="0"/>
          <w:numId w:val="2"/>
        </w:numPr>
        <w:spacing w:after="80" w:line="276"/>
      </w:pPr>
      <w:r>
        <w:rPr>
          <w:rFonts w:ascii="Arial" w:cs="Arial" w:eastAsia="Arial" w:hAnsi="Arial"/>
          <w:sz w:val="22"/>
          <w:szCs w:val="22"/>
        </w:rPr>
        <w:t xml:space="preserve">Can be offered as a standalone service or as an add-on for existing nexus letter clients whose letters were subsequently challenged</w:t>
      </w:r>
    </w:p>
    <w:p>
      <w:pPr>
        <w:spacing w:after="120" w:line="276"/>
      </w:pPr>
      <w:r>
        <w:rPr>
          <w:rFonts w:ascii="Arial" w:cs="Arial" w:eastAsia="Arial" w:hAnsi="Arial"/>
          <w:b/>
          <w:bCs/>
          <w:sz w:val="22"/>
          <w:szCs w:val="22"/>
        </w:rPr>
        <w:t xml:space="preserve">Suggested pricing: </w:t>
      </w:r>
      <w:r>
        <w:rPr>
          <w:rFonts w:ascii="Arial" w:cs="Arial" w:eastAsia="Arial" w:hAnsi="Arial"/>
          <w:sz w:val="22"/>
          <w:szCs w:val="22"/>
        </w:rPr>
        <w:t xml:space="preserve">$400–$750 depending on complexity</w:t>
      </w:r>
    </w:p>
    <w:p>
      <w:pPr>
        <w:spacing w:after="120" w:line="276"/>
      </w:pPr>
      <w:r>
        <w:rPr>
          <w:rFonts w:ascii="Arial" w:cs="Arial" w:eastAsia="Arial" w:hAnsi="Arial"/>
          <w:b/>
          <w:bCs/>
          <w:sz w:val="22"/>
          <w:szCs w:val="22"/>
        </w:rPr>
        <w:t xml:space="preserve">Suggested URL: </w:t>
      </w:r>
      <w:r>
        <w:rPr>
          <w:rFonts w:ascii="Arial" w:cs="Arial" w:eastAsia="Arial" w:hAnsi="Arial"/>
          <w:sz w:val="22"/>
          <w:szCs w:val="22"/>
        </w:rPr>
        <w:t xml:space="preserve">/services/rebuttal-letter-cp-exam</w:t>
      </w:r>
    </w:p>
    <w:p>
      <w:pPr>
        <w:pStyle w:val="Heading2"/>
        <w:spacing w:after="150" w:before="300"/>
      </w:pPr>
      <w:r>
        <w:t xml:space="preserve">9.2 Personal Statement / Buddy Statement Guidance</w:t>
      </w:r>
    </w:p>
    <w:p>
      <w:pPr>
        <w:spacing w:after="120" w:line="276"/>
      </w:pPr>
      <w:r>
        <w:rPr>
          <w:rFonts w:ascii="Arial" w:cs="Arial" w:eastAsia="Arial" w:hAnsi="Arial"/>
          <w:b/>
          <w:bCs/>
          <w:sz w:val="22"/>
          <w:szCs w:val="22"/>
        </w:rPr>
        <w:t xml:space="preserve">Market demand: MODERATE-HIGH. </w:t>
      </w:r>
      <w:r>
        <w:rPr>
          <w:rFonts w:ascii="Arial" w:cs="Arial" w:eastAsia="Arial" w:hAnsi="Arial"/>
          <w:sz w:val="22"/>
          <w:szCs w:val="22"/>
        </w:rPr>
        <w:t xml:space="preserve">Lay statements from the veteran and their family/friends are important supporting evidence that many veterans struggle to write effectively. This service could include a guided template, a one-on-one coaching session to help the veteran articulate their symptoms and daily limitations in VA-language, and review/editing of draft statements. This pairs naturally with your Claim Readiness Review and C&amp;P Exam Coaching services.</w:t>
      </w:r>
    </w:p>
    <w:p>
      <w:pPr>
        <w:spacing w:after="120" w:line="276"/>
      </w:pPr>
      <w:r>
        <w:rPr>
          <w:rFonts w:ascii="Arial" w:cs="Arial" w:eastAsia="Arial" w:hAnsi="Arial"/>
          <w:b/>
          <w:bCs/>
          <w:sz w:val="22"/>
          <w:szCs w:val="22"/>
        </w:rPr>
        <w:t xml:space="preserve">Suggested pricing: </w:t>
      </w:r>
      <w:r>
        <w:rPr>
          <w:rFonts w:ascii="Arial" w:cs="Arial" w:eastAsia="Arial" w:hAnsi="Arial"/>
          <w:sz w:val="22"/>
          <w:szCs w:val="22"/>
        </w:rPr>
        <w:t xml:space="preserve">$75–$150 for template + review; can be bundled with CRR or C&amp;P coaching</w:t>
      </w:r>
    </w:p>
    <w:p>
      <w:pPr>
        <w:pStyle w:val="Heading2"/>
        <w:spacing w:after="150" w:before="300"/>
      </w:pPr>
      <w:r>
        <w:t xml:space="preserve">9.3 Vocational Assessment / Employability Evaluation</w:t>
      </w:r>
    </w:p>
    <w:p>
      <w:pPr>
        <w:spacing w:after="120" w:line="276"/>
      </w:pPr>
      <w:r>
        <w:rPr>
          <w:rFonts w:ascii="Arial" w:cs="Arial" w:eastAsia="Arial" w:hAnsi="Arial"/>
          <w:b/>
          <w:bCs/>
          <w:sz w:val="22"/>
          <w:szCs w:val="22"/>
        </w:rPr>
        <w:t xml:space="preserve">Market demand: HIGH (especially for TDIU). </w:t>
      </w:r>
      <w:r>
        <w:rPr>
          <w:rFonts w:ascii="Arial" w:cs="Arial" w:eastAsia="Arial" w:hAnsi="Arial"/>
          <w:sz w:val="22"/>
          <w:szCs w:val="22"/>
        </w:rPr>
        <w:t xml:space="preserve">TDIU claims benefit enormously from a vocational expert’s assessment of the veteran’s ability to maintain gainful employment. Elite Medical Review Associates specifically promotes vocational expert nexus letters for TDIU. If you can partner with or hire a vocational rehabilitation counselor, this becomes a premium add-on to your TDIU documentation service.</w:t>
      </w:r>
    </w:p>
    <w:p>
      <w:pPr>
        <w:spacing w:after="120" w:line="276"/>
      </w:pPr>
      <w:r>
        <w:rPr>
          <w:rFonts w:ascii="Arial" w:cs="Arial" w:eastAsia="Arial" w:hAnsi="Arial"/>
          <w:b/>
          <w:bCs/>
          <w:sz w:val="22"/>
          <w:szCs w:val="22"/>
        </w:rPr>
        <w:t xml:space="preserve">Suggested pricing: </w:t>
      </w:r>
      <w:r>
        <w:rPr>
          <w:rFonts w:ascii="Arial" w:cs="Arial" w:eastAsia="Arial" w:hAnsi="Arial"/>
          <w:sz w:val="22"/>
          <w:szCs w:val="22"/>
        </w:rPr>
        <w:t xml:space="preserve">$750–$1,500 for a comprehensive vocational assessment</w:t>
      </w:r>
    </w:p>
    <w:p>
      <w:pPr>
        <w:pStyle w:val="Heading2"/>
        <w:spacing w:after="150" w:before="300"/>
      </w:pPr>
      <w:r>
        <w:t xml:space="preserve">9.4 Independent Medical Examination (IME)</w:t>
      </w:r>
    </w:p>
    <w:p>
      <w:pPr>
        <w:spacing w:after="120" w:line="276"/>
      </w:pPr>
      <w:r>
        <w:rPr>
          <w:rFonts w:ascii="Arial" w:cs="Arial" w:eastAsia="Arial" w:hAnsi="Arial"/>
          <w:b/>
          <w:bCs/>
          <w:sz w:val="22"/>
          <w:szCs w:val="22"/>
        </w:rPr>
        <w:t xml:space="preserve">Market demand: MODERATE. </w:t>
      </w:r>
      <w:r>
        <w:rPr>
          <w:rFonts w:ascii="Arial" w:cs="Arial" w:eastAsia="Arial" w:hAnsi="Arial"/>
          <w:sz w:val="22"/>
          <w:szCs w:val="22"/>
        </w:rPr>
        <w:t xml:space="preserve">Distinguished from an IMO (records-based opinion only), a full IME includes a clinical examination of the veteran — either via telehealth video or in-person. Dr. Willoughby &amp; Associates positions their “psychological IME” as a premium alternative to basic nexus letters, with more clinical depth and higher evidentiary weight. This is especially relevant for mental health claims (PTSD, anxiety, depression) where a clinical interview adds significant probative value.</w:t>
      </w:r>
    </w:p>
    <w:p>
      <w:pPr>
        <w:pStyle w:val="Heading2"/>
        <w:spacing w:after="150" w:before="300"/>
      </w:pPr>
      <w:r>
        <w:t xml:space="preserve">9.5 Condition-Specific Landing Pages</w:t>
      </w:r>
    </w:p>
    <w:p>
      <w:pPr>
        <w:spacing w:after="120" w:line="276"/>
      </w:pPr>
      <w:r>
        <w:rPr>
          <w:rFonts w:ascii="Arial" w:cs="Arial" w:eastAsia="Arial" w:hAnsi="Arial"/>
          <w:b/>
          <w:bCs/>
          <w:sz w:val="22"/>
          <w:szCs w:val="22"/>
        </w:rPr>
        <w:t xml:space="preserve">Market demand: VERY HIGH for SEO. </w:t>
      </w:r>
      <w:r>
        <w:rPr>
          <w:rFonts w:ascii="Arial" w:cs="Arial" w:eastAsia="Arial" w:hAnsi="Arial"/>
          <w:sz w:val="22"/>
          <w:szCs w:val="22"/>
        </w:rPr>
        <w:t xml:space="preserve">Veterans overwhelmingly search by specific condition: “sleep apnea nexus letter,” “PTSD DBQ,” “tinnitus secondary to PTSD nexus letter,” “back pain VA disability documentation.” Creating 10-15 condition-specific landing pages that describe how you support that particular condition (with relevant case studies, blog links, and FAQ) would dramatically increase organic traffic. These pages would live under a URL structure like /conditions/sleep-apnea or /conditions/ptsd and link to the relevant service pages.</w:t>
      </w:r>
    </w:p>
    <w:p>
      <w:pPr>
        <w:pStyle w:val="Heading3"/>
        <w:spacing w:after="150" w:before="300"/>
      </w:pPr>
      <w:r>
        <w:t xml:space="preserve">Priority conditions to target:</w:t>
      </w:r>
    </w:p>
    <w:p>
      <w:pPr>
        <w:pStyle w:val="ListParagraph"/>
        <w:numPr>
          <w:ilvl w:val="0"/>
          <w:numId w:val="2"/>
        </w:numPr>
        <w:spacing w:after="80" w:line="276"/>
      </w:pPr>
      <w:r>
        <w:rPr>
          <w:rFonts w:ascii="Arial" w:cs="Arial" w:eastAsia="Arial" w:hAnsi="Arial"/>
          <w:sz w:val="22"/>
          <w:szCs w:val="22"/>
        </w:rPr>
        <w:t xml:space="preserve">PTSD / Anxiety / Depression</w:t>
      </w:r>
    </w:p>
    <w:p>
      <w:pPr>
        <w:pStyle w:val="ListParagraph"/>
        <w:numPr>
          <w:ilvl w:val="0"/>
          <w:numId w:val="2"/>
        </w:numPr>
        <w:spacing w:after="80" w:line="276"/>
      </w:pPr>
      <w:r>
        <w:rPr>
          <w:rFonts w:ascii="Arial" w:cs="Arial" w:eastAsia="Arial" w:hAnsi="Arial"/>
          <w:sz w:val="22"/>
          <w:szCs w:val="22"/>
        </w:rPr>
        <w:t xml:space="preserve">Sleep Apnea (secondary to PTSD or weight gain)</w:t>
      </w:r>
    </w:p>
    <w:p>
      <w:pPr>
        <w:pStyle w:val="ListParagraph"/>
        <w:numPr>
          <w:ilvl w:val="0"/>
          <w:numId w:val="2"/>
        </w:numPr>
        <w:spacing w:after="80" w:line="276"/>
      </w:pPr>
      <w:r>
        <w:rPr>
          <w:rFonts w:ascii="Arial" w:cs="Arial" w:eastAsia="Arial" w:hAnsi="Arial"/>
          <w:sz w:val="22"/>
          <w:szCs w:val="22"/>
        </w:rPr>
        <w:t xml:space="preserve">Tinnitus / Hearing Loss</w:t>
      </w:r>
    </w:p>
    <w:p>
      <w:pPr>
        <w:pStyle w:val="ListParagraph"/>
        <w:numPr>
          <w:ilvl w:val="0"/>
          <w:numId w:val="2"/>
        </w:numPr>
        <w:spacing w:after="80" w:line="276"/>
      </w:pPr>
      <w:r>
        <w:rPr>
          <w:rFonts w:ascii="Arial" w:cs="Arial" w:eastAsia="Arial" w:hAnsi="Arial"/>
          <w:sz w:val="22"/>
          <w:szCs w:val="22"/>
        </w:rPr>
        <w:t xml:space="preserve">Back/Spine Conditions (lumbar, cervical)</w:t>
      </w:r>
    </w:p>
    <w:p>
      <w:pPr>
        <w:pStyle w:val="ListParagraph"/>
        <w:numPr>
          <w:ilvl w:val="0"/>
          <w:numId w:val="2"/>
        </w:numPr>
        <w:spacing w:after="80" w:line="276"/>
      </w:pPr>
      <w:r>
        <w:rPr>
          <w:rFonts w:ascii="Arial" w:cs="Arial" w:eastAsia="Arial" w:hAnsi="Arial"/>
          <w:sz w:val="22"/>
          <w:szCs w:val="22"/>
        </w:rPr>
        <w:t xml:space="preserve">Knee Conditions (bilateral)</w:t>
      </w:r>
    </w:p>
    <w:p>
      <w:pPr>
        <w:pStyle w:val="ListParagraph"/>
        <w:numPr>
          <w:ilvl w:val="0"/>
          <w:numId w:val="2"/>
        </w:numPr>
        <w:spacing w:after="80" w:line="276"/>
      </w:pPr>
      <w:r>
        <w:rPr>
          <w:rFonts w:ascii="Arial" w:cs="Arial" w:eastAsia="Arial" w:hAnsi="Arial"/>
          <w:sz w:val="22"/>
          <w:szCs w:val="22"/>
        </w:rPr>
        <w:t xml:space="preserve">Migraines / Headaches</w:t>
      </w:r>
    </w:p>
    <w:p>
      <w:pPr>
        <w:pStyle w:val="ListParagraph"/>
        <w:numPr>
          <w:ilvl w:val="0"/>
          <w:numId w:val="2"/>
        </w:numPr>
        <w:spacing w:after="80" w:line="276"/>
      </w:pPr>
      <w:r>
        <w:rPr>
          <w:rFonts w:ascii="Arial" w:cs="Arial" w:eastAsia="Arial" w:hAnsi="Arial"/>
          <w:sz w:val="22"/>
          <w:szCs w:val="22"/>
        </w:rPr>
        <w:t xml:space="preserve">GERD / IBS (secondary to mental health)</w:t>
      </w:r>
    </w:p>
    <w:p>
      <w:pPr>
        <w:pStyle w:val="ListParagraph"/>
        <w:numPr>
          <w:ilvl w:val="0"/>
          <w:numId w:val="2"/>
        </w:numPr>
        <w:spacing w:after="80" w:line="276"/>
      </w:pPr>
      <w:r>
        <w:rPr>
          <w:rFonts w:ascii="Arial" w:cs="Arial" w:eastAsia="Arial" w:hAnsi="Arial"/>
          <w:sz w:val="22"/>
          <w:szCs w:val="22"/>
        </w:rPr>
        <w:t xml:space="preserve">Hypertension (secondary to PTSD or obesity)</w:t>
      </w:r>
    </w:p>
    <w:p>
      <w:pPr>
        <w:pStyle w:val="ListParagraph"/>
        <w:numPr>
          <w:ilvl w:val="0"/>
          <w:numId w:val="2"/>
        </w:numPr>
        <w:spacing w:after="80" w:line="276"/>
      </w:pPr>
      <w:r>
        <w:rPr>
          <w:rFonts w:ascii="Arial" w:cs="Arial" w:eastAsia="Arial" w:hAnsi="Arial"/>
          <w:sz w:val="22"/>
          <w:szCs w:val="22"/>
        </w:rPr>
        <w:t xml:space="preserve">TBI (Traumatic Brain Injury)</w:t>
      </w:r>
    </w:p>
    <w:p>
      <w:pPr>
        <w:pStyle w:val="ListParagraph"/>
        <w:numPr>
          <w:ilvl w:val="0"/>
          <w:numId w:val="2"/>
        </w:numPr>
        <w:spacing w:after="80" w:line="276"/>
      </w:pPr>
      <w:r>
        <w:rPr>
          <w:rFonts w:ascii="Arial" w:cs="Arial" w:eastAsia="Arial" w:hAnsi="Arial"/>
          <w:sz w:val="22"/>
          <w:szCs w:val="22"/>
        </w:rPr>
        <w:t xml:space="preserve">Skin Conditions (eczema, psoriasis) related to toxic exposure</w:t>
      </w:r>
    </w:p>
    <w:p>
      <w:pPr>
        <w:pStyle w:val="ListParagraph"/>
        <w:numPr>
          <w:ilvl w:val="0"/>
          <w:numId w:val="2"/>
        </w:numPr>
        <w:spacing w:after="80" w:line="276"/>
      </w:pPr>
      <w:r>
        <w:rPr>
          <w:rFonts w:ascii="Arial" w:cs="Arial" w:eastAsia="Arial" w:hAnsi="Arial"/>
          <w:sz w:val="22"/>
          <w:szCs w:val="22"/>
        </w:rPr>
        <w:t xml:space="preserve">Respiratory Conditions (PACT Act / burn pit exposure)</w:t>
      </w:r>
    </w:p>
    <w:p>
      <w:pPr>
        <w:pStyle w:val="Heading2"/>
        <w:spacing w:after="150" w:before="300"/>
      </w:pPr>
      <w:r>
        <w:t xml:space="preserve">9.6 Post-Denial Claim Strategy Consultation</w:t>
      </w:r>
    </w:p>
    <w:p>
      <w:pPr>
        <w:spacing w:after="120" w:line="276"/>
      </w:pPr>
      <w:r>
        <w:rPr>
          <w:rFonts w:ascii="Arial" w:cs="Arial" w:eastAsia="Arial" w:hAnsi="Arial"/>
          <w:b/>
          <w:bCs/>
          <w:sz w:val="22"/>
          <w:szCs w:val="22"/>
        </w:rPr>
        <w:t xml:space="preserve">Market demand: HIGH. </w:t>
      </w:r>
      <w:r>
        <w:rPr>
          <w:rFonts w:ascii="Arial" w:cs="Arial" w:eastAsia="Arial" w:hAnsi="Arial"/>
          <w:sz w:val="22"/>
          <w:szCs w:val="22"/>
        </w:rPr>
        <w:t xml:space="preserve">Many veterans come to you AFTER a denial. Offering a specific “Post-Denial Strategy Session” that reviews the denial letter, identifies which appeal lane to use (Supplemental Claim, Higher-Level Review, or Board Appeal), and recommends the specific medical documentation needed would be a powerful lead-generation service. Price it affordably ($150–$225) to capture denied veterans as new clients who then purchase nexus letters and DBQs.</w:t>
      </w:r>
    </w:p>
    <w:p>
      <w:r>
        <w:br w:type="page"/>
      </w:r>
    </w:p>
    <w:p>
      <w:pPr>
        <w:pStyle w:val="Heading1"/>
        <w:spacing w:after="150" w:before="300"/>
      </w:pPr>
      <w:r>
        <w:t xml:space="preserve">10. Implementation Priority Roadmap</w:t>
      </w:r>
    </w:p>
    <w:p>
      <w:pPr>
        <w:pStyle w:val="Heading2"/>
        <w:spacing w:after="150" w:before="300"/>
      </w:pPr>
      <w:r>
        <w:t xml:space="preserve">Phase 1: Immediate (Week 1-2) — Quick Wins</w:t>
      </w:r>
    </w:p>
    <w:p>
      <w:pPr>
        <w:pStyle w:val="ListParagraph"/>
        <w:numPr>
          <w:ilvl w:val="0"/>
          <w:numId w:val="2"/>
        </w:numPr>
        <w:spacing w:after="80" w:line="276"/>
      </w:pPr>
      <w:r>
        <w:rPr>
          <w:rFonts w:ascii="Arial" w:cs="Arial" w:eastAsia="Arial" w:hAnsi="Arial"/>
          <w:sz w:val="22"/>
          <w:szCs w:val="22"/>
        </w:rPr>
        <w:t xml:space="preserve">Add C&amp;P Exam Coaching to the Services dropdown and /services page</w:t>
      </w:r>
    </w:p>
    <w:p>
      <w:pPr>
        <w:pStyle w:val="ListParagraph"/>
        <w:numPr>
          <w:ilvl w:val="0"/>
          <w:numId w:val="2"/>
        </w:numPr>
        <w:spacing w:after="80" w:line="276"/>
      </w:pPr>
      <w:r>
        <w:rPr>
          <w:rFonts w:ascii="Arial" w:cs="Arial" w:eastAsia="Arial" w:hAnsi="Arial"/>
          <w:sz w:val="22"/>
          <w:szCs w:val="22"/>
        </w:rPr>
        <w:t xml:space="preserve">Fix all FAQ sections: make answers visible in HTML, not just accordion-hidden</w:t>
      </w:r>
    </w:p>
    <w:p>
      <w:pPr>
        <w:pStyle w:val="ListParagraph"/>
        <w:numPr>
          <w:ilvl w:val="0"/>
          <w:numId w:val="2"/>
        </w:numPr>
        <w:spacing w:after="80" w:line="276"/>
      </w:pPr>
      <w:r>
        <w:rPr>
          <w:rFonts w:ascii="Arial" w:cs="Arial" w:eastAsia="Arial" w:hAnsi="Arial"/>
          <w:sz w:val="22"/>
          <w:szCs w:val="22"/>
        </w:rPr>
        <w:t xml:space="preserve">Add FAQPage schema markup (JSON-LD) to all service pages and the main /services page</w:t>
      </w:r>
    </w:p>
    <w:p>
      <w:pPr>
        <w:pStyle w:val="ListParagraph"/>
        <w:numPr>
          <w:ilvl w:val="0"/>
          <w:numId w:val="2"/>
        </w:numPr>
        <w:spacing w:after="80" w:line="276"/>
      </w:pPr>
      <w:r>
        <w:rPr>
          <w:rFonts w:ascii="Arial" w:cs="Arial" w:eastAsia="Arial" w:hAnsi="Arial"/>
          <w:sz w:val="22"/>
          <w:szCs w:val="22"/>
        </w:rPr>
        <w:t xml:space="preserve">Fix grammar: “What is a Aid and Attendance” → “What is Aid and Attendance”</w:t>
      </w:r>
    </w:p>
    <w:p>
      <w:pPr>
        <w:pStyle w:val="ListParagraph"/>
        <w:numPr>
          <w:ilvl w:val="0"/>
          <w:numId w:val="2"/>
        </w:numPr>
        <w:spacing w:after="80" w:line="276"/>
      </w:pPr>
      <w:r>
        <w:rPr>
          <w:rFonts w:ascii="Arial" w:cs="Arial" w:eastAsia="Arial" w:hAnsi="Arial"/>
          <w:sz w:val="22"/>
          <w:szCs w:val="22"/>
        </w:rPr>
        <w:t xml:space="preserve">Add outbound authority links (.gov sources) to each service page</w:t>
      </w:r>
    </w:p>
    <w:p>
      <w:pPr>
        <w:pStyle w:val="Heading2"/>
        <w:spacing w:after="150" w:before="300"/>
      </w:pPr>
      <w:r>
        <w:t xml:space="preserve">Phase 2: Short-Term (Week 3-6) — Content Enhancement</w:t>
      </w:r>
    </w:p>
    <w:p>
      <w:pPr>
        <w:pStyle w:val="ListParagraph"/>
        <w:numPr>
          <w:ilvl w:val="0"/>
          <w:numId w:val="2"/>
        </w:numPr>
        <w:spacing w:after="80" w:line="276"/>
      </w:pPr>
      <w:r>
        <w:rPr>
          <w:rFonts w:ascii="Arial" w:cs="Arial" w:eastAsia="Arial" w:hAnsi="Arial"/>
          <w:sz w:val="22"/>
          <w:szCs w:val="22"/>
        </w:rPr>
        <w:t xml:space="preserve">Expand all FAQ answers to 75-150 words each with direct answers in the first sentence</w:t>
      </w:r>
    </w:p>
    <w:p>
      <w:pPr>
        <w:pStyle w:val="ListParagraph"/>
        <w:numPr>
          <w:ilvl w:val="0"/>
          <w:numId w:val="2"/>
        </w:numPr>
        <w:spacing w:after="80" w:line="276"/>
      </w:pPr>
      <w:r>
        <w:rPr>
          <w:rFonts w:ascii="Arial" w:cs="Arial" w:eastAsia="Arial" w:hAnsi="Arial"/>
          <w:sz w:val="22"/>
          <w:szCs w:val="22"/>
        </w:rPr>
        <w:t xml:space="preserve">Add 3-5 new FAQ questions per service page targeting long-tail keywords</w:t>
      </w:r>
    </w:p>
    <w:p>
      <w:pPr>
        <w:pStyle w:val="ListParagraph"/>
        <w:numPr>
          <w:ilvl w:val="0"/>
          <w:numId w:val="2"/>
        </w:numPr>
        <w:spacing w:after="80" w:line="276"/>
      </w:pPr>
      <w:r>
        <w:rPr>
          <w:rFonts w:ascii="Arial" w:cs="Arial" w:eastAsia="Arial" w:hAnsi="Arial"/>
          <w:sz w:val="22"/>
          <w:szCs w:val="22"/>
        </w:rPr>
        <w:t xml:space="preserve">Implement the full internal linking matrix (service-to-service, service-to-blog, blog-to-service)</w:t>
      </w:r>
    </w:p>
    <w:p>
      <w:pPr>
        <w:pStyle w:val="ListParagraph"/>
        <w:numPr>
          <w:ilvl w:val="0"/>
          <w:numId w:val="2"/>
        </w:numPr>
        <w:spacing w:after="80" w:line="276"/>
      </w:pPr>
      <w:r>
        <w:rPr>
          <w:rFonts w:ascii="Arial" w:cs="Arial" w:eastAsia="Arial" w:hAnsi="Arial"/>
          <w:sz w:val="22"/>
          <w:szCs w:val="22"/>
        </w:rPr>
        <w:t xml:space="preserve">Add missing keyword clusters to each service page (secondary, long-tail variations)</w:t>
      </w:r>
    </w:p>
    <w:p>
      <w:pPr>
        <w:pStyle w:val="ListParagraph"/>
        <w:numPr>
          <w:ilvl w:val="0"/>
          <w:numId w:val="2"/>
        </w:numPr>
        <w:spacing w:after="80" w:line="276"/>
      </w:pPr>
      <w:r>
        <w:rPr>
          <w:rFonts w:ascii="Arial" w:cs="Arial" w:eastAsia="Arial" w:hAnsi="Arial"/>
          <w:sz w:val="22"/>
          <w:szCs w:val="22"/>
        </w:rPr>
        <w:t xml:space="preserve">Add “Conditions We Commonly Support” section to Nexus Letter and DBQ pages</w:t>
      </w:r>
    </w:p>
    <w:p>
      <w:pPr>
        <w:pStyle w:val="ListParagraph"/>
        <w:numPr>
          <w:ilvl w:val="0"/>
          <w:numId w:val="2"/>
        </w:numPr>
        <w:spacing w:after="80" w:line="276"/>
      </w:pPr>
      <w:r>
        <w:rPr>
          <w:rFonts w:ascii="Arial" w:cs="Arial" w:eastAsia="Arial" w:hAnsi="Arial"/>
          <w:sz w:val="22"/>
          <w:szCs w:val="22"/>
        </w:rPr>
        <w:t xml:space="preserve">Add Service schema, Organization schema, and BreadcrumbList schema site-wide</w:t>
      </w:r>
    </w:p>
    <w:p>
      <w:pPr>
        <w:pStyle w:val="Heading2"/>
        <w:spacing w:after="150" w:before="300"/>
      </w:pPr>
      <w:r>
        <w:t xml:space="preserve">Phase 3: Medium-Term (Week 7-12) — New Service Pages</w:t>
      </w:r>
    </w:p>
    <w:p>
      <w:pPr>
        <w:pStyle w:val="ListParagraph"/>
        <w:numPr>
          <w:ilvl w:val="0"/>
          <w:numId w:val="2"/>
        </w:numPr>
        <w:spacing w:after="80" w:line="276"/>
      </w:pPr>
      <w:r>
        <w:rPr>
          <w:rFonts w:ascii="Arial" w:cs="Arial" w:eastAsia="Arial" w:hAnsi="Arial"/>
          <w:sz w:val="22"/>
          <w:szCs w:val="22"/>
        </w:rPr>
        <w:t xml:space="preserve">Build and publish TDIU Medical Documentation service page</w:t>
      </w:r>
    </w:p>
    <w:p>
      <w:pPr>
        <w:pStyle w:val="ListParagraph"/>
        <w:numPr>
          <w:ilvl w:val="0"/>
          <w:numId w:val="2"/>
        </w:numPr>
        <w:spacing w:after="80" w:line="276"/>
      </w:pPr>
      <w:r>
        <w:rPr>
          <w:rFonts w:ascii="Arial" w:cs="Arial" w:eastAsia="Arial" w:hAnsi="Arial"/>
          <w:sz w:val="22"/>
          <w:szCs w:val="22"/>
        </w:rPr>
        <w:t xml:space="preserve">Build and publish Attorney/VSO Collaboration service page</w:t>
      </w:r>
    </w:p>
    <w:p>
      <w:pPr>
        <w:pStyle w:val="ListParagraph"/>
        <w:numPr>
          <w:ilvl w:val="0"/>
          <w:numId w:val="2"/>
        </w:numPr>
        <w:spacing w:after="80" w:line="276"/>
      </w:pPr>
      <w:r>
        <w:rPr>
          <w:rFonts w:ascii="Arial" w:cs="Arial" w:eastAsia="Arial" w:hAnsi="Arial"/>
          <w:sz w:val="22"/>
          <w:szCs w:val="22"/>
        </w:rPr>
        <w:t xml:space="preserve">Build and publish Rebuttal Letter service page</w:t>
      </w:r>
    </w:p>
    <w:p>
      <w:pPr>
        <w:pStyle w:val="ListParagraph"/>
        <w:numPr>
          <w:ilvl w:val="0"/>
          <w:numId w:val="2"/>
        </w:numPr>
        <w:spacing w:after="80" w:line="276"/>
      </w:pPr>
      <w:r>
        <w:rPr>
          <w:rFonts w:ascii="Arial" w:cs="Arial" w:eastAsia="Arial" w:hAnsi="Arial"/>
          <w:sz w:val="22"/>
          <w:szCs w:val="22"/>
        </w:rPr>
        <w:t xml:space="preserve">Create first 5 condition-specific landing pages (PTSD, Sleep Apnea, Tinnitus, Back, Knee)</w:t>
      </w:r>
    </w:p>
    <w:p>
      <w:pPr>
        <w:pStyle w:val="ListParagraph"/>
        <w:numPr>
          <w:ilvl w:val="0"/>
          <w:numId w:val="2"/>
        </w:numPr>
        <w:spacing w:after="80" w:line="276"/>
      </w:pPr>
      <w:r>
        <w:rPr>
          <w:rFonts w:ascii="Arial" w:cs="Arial" w:eastAsia="Arial" w:hAnsi="Arial"/>
          <w:sz w:val="22"/>
          <w:szCs w:val="22"/>
        </w:rPr>
        <w:t xml:space="preserve">Update all service page meta descriptions with primary keywords + CTA</w:t>
      </w:r>
    </w:p>
    <w:p>
      <w:pPr>
        <w:pStyle w:val="Heading2"/>
        <w:spacing w:after="150" w:before="300"/>
      </w:pPr>
      <w:r>
        <w:t xml:space="preserve">Phase 4: Ongoing (Month 4+) — Growth &amp; Authority</w:t>
      </w:r>
    </w:p>
    <w:p>
      <w:pPr>
        <w:pStyle w:val="ListParagraph"/>
        <w:numPr>
          <w:ilvl w:val="0"/>
          <w:numId w:val="2"/>
        </w:numPr>
        <w:spacing w:after="80" w:line="276"/>
      </w:pPr>
      <w:r>
        <w:rPr>
          <w:rFonts w:ascii="Arial" w:cs="Arial" w:eastAsia="Arial" w:hAnsi="Arial"/>
          <w:sz w:val="22"/>
          <w:szCs w:val="22"/>
        </w:rPr>
        <w:t xml:space="preserve">Launch backlink acquisition campaign (attorney partnerships, VSO directories, guest posts)</w:t>
      </w:r>
    </w:p>
    <w:p>
      <w:pPr>
        <w:pStyle w:val="ListParagraph"/>
        <w:numPr>
          <w:ilvl w:val="0"/>
          <w:numId w:val="2"/>
        </w:numPr>
        <w:spacing w:after="80" w:line="276"/>
      </w:pPr>
      <w:r>
        <w:rPr>
          <w:rFonts w:ascii="Arial" w:cs="Arial" w:eastAsia="Arial" w:hAnsi="Arial"/>
          <w:sz w:val="22"/>
          <w:szCs w:val="22"/>
        </w:rPr>
        <w:t xml:space="preserve">Create downloadable VA Claim Documentation Checklist for link building</w:t>
      </w:r>
    </w:p>
    <w:p>
      <w:pPr>
        <w:pStyle w:val="ListParagraph"/>
        <w:numPr>
          <w:ilvl w:val="0"/>
          <w:numId w:val="2"/>
        </w:numPr>
        <w:spacing w:after="80" w:line="276"/>
      </w:pPr>
      <w:r>
        <w:rPr>
          <w:rFonts w:ascii="Arial" w:cs="Arial" w:eastAsia="Arial" w:hAnsi="Arial"/>
          <w:sz w:val="22"/>
          <w:szCs w:val="22"/>
        </w:rPr>
        <w:t xml:space="preserve">Build remaining condition-specific landing pages</w:t>
      </w:r>
    </w:p>
    <w:p>
      <w:pPr>
        <w:pStyle w:val="ListParagraph"/>
        <w:numPr>
          <w:ilvl w:val="0"/>
          <w:numId w:val="2"/>
        </w:numPr>
        <w:spacing w:after="80" w:line="276"/>
      </w:pPr>
      <w:r>
        <w:rPr>
          <w:rFonts w:ascii="Arial" w:cs="Arial" w:eastAsia="Arial" w:hAnsi="Arial"/>
          <w:sz w:val="22"/>
          <w:szCs w:val="22"/>
        </w:rPr>
        <w:t xml:space="preserve">Add Personal Statement Guidance service</w:t>
      </w:r>
    </w:p>
    <w:p>
      <w:pPr>
        <w:pStyle w:val="ListParagraph"/>
        <w:numPr>
          <w:ilvl w:val="0"/>
          <w:numId w:val="2"/>
        </w:numPr>
        <w:spacing w:after="80" w:line="276"/>
      </w:pPr>
      <w:r>
        <w:rPr>
          <w:rFonts w:ascii="Arial" w:cs="Arial" w:eastAsia="Arial" w:hAnsi="Arial"/>
          <w:sz w:val="22"/>
          <w:szCs w:val="22"/>
        </w:rPr>
        <w:t xml:space="preserve">Explore vocational assessment partnership for TDIU</w:t>
      </w:r>
    </w:p>
    <w:p>
      <w:pPr>
        <w:pStyle w:val="ListParagraph"/>
        <w:numPr>
          <w:ilvl w:val="0"/>
          <w:numId w:val="2"/>
        </w:numPr>
        <w:spacing w:after="80" w:line="276"/>
      </w:pPr>
      <w:r>
        <w:rPr>
          <w:rFonts w:ascii="Arial" w:cs="Arial" w:eastAsia="Arial" w:hAnsi="Arial"/>
          <w:sz w:val="22"/>
          <w:szCs w:val="22"/>
        </w:rPr>
        <w:t xml:space="preserve">Publish original research/survey data for backlink attraction</w:t>
      </w:r>
    </w:p>
    <w:p>
      <w:pPr>
        <w:pStyle w:val="ListParagraph"/>
        <w:numPr>
          <w:ilvl w:val="0"/>
          <w:numId w:val="2"/>
        </w:numPr>
        <w:spacing w:after="80" w:line="276"/>
      </w:pPr>
      <w:r>
        <w:rPr>
          <w:rFonts w:ascii="Arial" w:cs="Arial" w:eastAsia="Arial" w:hAnsi="Arial"/>
          <w:sz w:val="22"/>
          <w:szCs w:val="22"/>
        </w:rPr>
        <w:t xml:space="preserve">Monitor AI citation presence in ChatGPT, Perplexity, and Google AI Overviews — adjust content accordingly</w:t>
      </w:r>
    </w:p>
    <w:p>
      <w:pPr>
        <w:pBdr>
          <w:bottom w:val="single" w:color="1B3A4B" w:sz="6" w:space="1"/>
        </w:pBdr>
        <w:spacing w:after="200" w:before="200"/>
      </w:pPr>
    </w:p>
    <w:p>
      <w:pPr>
        <w:spacing w:after="120" w:line="276"/>
      </w:pPr>
      <w:r>
        <w:rPr>
          <w:rFonts w:ascii="Arial" w:cs="Arial" w:eastAsia="Arial" w:hAnsi="Arial"/>
          <w:b/>
          <w:bCs/>
          <w:sz w:val="22"/>
          <w:szCs w:val="22"/>
        </w:rPr>
        <w:t xml:space="preserve">End of Report. </w:t>
      </w:r>
      <w:r>
        <w:rPr>
          <w:rFonts w:ascii="Arial" w:cs="Arial" w:eastAsia="Arial" w:hAnsi="Arial"/>
          <w:sz w:val="22"/>
          <w:szCs w:val="22"/>
        </w:rPr>
        <w:t xml:space="preserve">This analysis is based on a comprehensive review of all service pages at militarydisabilitynexus.com, competitive research across 10+ VA disability documentation providers, and current SEO/GEO/AEO best practices as of May 2026. Implementation of these recommendations should be prioritized according to the roadmap above, with the FAQ/schema fixes delivering the fastest ROI.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Prepared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Military Disability Nexus — Comprehensive SEO/GEO/AEO Audit &amp;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3A4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2026-05-01T23:51:34.905Z</dcterms:created>
  <dcterms:modified xsi:type="dcterms:W3CDTF">2026-05-01T23:51:34.918Z</dcterms:modified>
</cp:coreProperties>
</file>

<file path=docProps/custom.xml><?xml version="1.0" encoding="utf-8"?>
<Properties xmlns="http://schemas.openxmlformats.org/officeDocument/2006/custom-properties" xmlns:vt="http://schemas.openxmlformats.org/officeDocument/2006/docPropsVTypes"/>
</file>