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2ef8580ff7b4ec196e40fa6a8e89fa0102c7014"/>
    <w:p>
      <w:pPr>
        <w:pStyle w:val="Heading1"/>
      </w:pPr>
      <w:r>
        <w:t xml:space="preserve">Novel Word Learning from Social Robots by Autistic and Non-Autistic Children</w:t>
      </w:r>
    </w:p>
    <w:p>
      <w:pPr>
        <w:pStyle w:val="FirstParagraph"/>
      </w:pPr>
      <w:r>
        <w:t xml:space="preserve">This repository contains the data, analysis code, materials, and outputs</w:t>
      </w:r>
      <w:r>
        <w:t xml:space="preserve"> </w:t>
      </w:r>
      <w:r>
        <w:t xml:space="preserve">supporting the study of novel word learning from socially contingent robots in</w:t>
      </w:r>
      <w:r>
        <w:t xml:space="preserve"> </w:t>
      </w:r>
      <w:r>
        <w:t xml:space="preserve">autistic and non-autistic children. The materials are provided to support</w:t>
      </w:r>
      <w:r>
        <w:t xml:space="preserve"> </w:t>
      </w:r>
      <w:r>
        <w:t xml:space="preserve">transparency and computational reproducibility of the analyses reported in the</w:t>
      </w:r>
      <w:r>
        <w:t xml:space="preserve"> </w:t>
      </w:r>
      <w:r>
        <w:t xml:space="preserve">manuscript.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Children learned novel object labels from a video presentation that either did</w:t>
      </w:r>
      <w:r>
        <w:t xml:space="preserve"> </w:t>
      </w:r>
      <w:r>
        <w:t xml:space="preserve">or did not include a socially contingent robot. Word-learning accuracy was</w:t>
      </w:r>
      <w:r>
        <w:t xml:space="preserve"> </w:t>
      </w:r>
      <w:r>
        <w:t xml:space="preserve">measured with a 12-trial forced-choice test, and engagement was coded from</w:t>
      </w:r>
      <w:r>
        <w:t xml:space="preserve"> </w:t>
      </w:r>
      <w:r>
        <w:t xml:space="preserve">video across multiple behavioral channels. The autistic sample was</w:t>
      </w:r>
      <w:r>
        <w:t xml:space="preserve"> </w:t>
      </w:r>
      <w:r>
        <w:t xml:space="preserve">characterized using standardized diagnostic and developmental measures</w:t>
      </w:r>
      <w:r>
        <w:t xml:space="preserve"> </w:t>
      </w:r>
      <w:r>
        <w:t xml:space="preserve">(ADOS-2, MSEL, Vineland-3), which were used for sample description rather than</w:t>
      </w:r>
      <w:r>
        <w:t xml:space="preserve"> </w:t>
      </w:r>
      <w:r>
        <w:t xml:space="preserve">as eligibility criteria.</w:t>
      </w:r>
    </w:p>
    <w:bookmarkEnd w:id="20"/>
    <w:bookmarkStart w:id="21" w:name="preregistration"/>
    <w:p>
      <w:pPr>
        <w:pStyle w:val="Heading2"/>
      </w:pPr>
      <w:r>
        <w:t xml:space="preserve">Preregistration</w:t>
      </w:r>
    </w:p>
    <w:p>
      <w:pPr>
        <w:pStyle w:val="FirstParagraph"/>
      </w:pPr>
      <w:r>
        <w:t xml:space="preserve">The study was preregistered on the Open Science Framework prior to data</w:t>
      </w:r>
      <w:r>
        <w:t xml:space="preserve"> </w:t>
      </w:r>
      <w:r>
        <w:t xml:space="preserve">collection: https://osf.io/hg859/. Departures from the preregistered protocol</w:t>
      </w:r>
      <w:r>
        <w:t xml:space="preserve"> </w:t>
      </w:r>
      <w:r>
        <w:t xml:space="preserve">are documented in</w:t>
      </w:r>
      <w:r>
        <w:t xml:space="preserve"> </w:t>
      </w:r>
      <w:r>
        <w:rPr>
          <w:rStyle w:val="VerbatimChar"/>
        </w:rPr>
        <w:t xml:space="preserve">preregistration/deviation_log.md</w:t>
      </w:r>
      <w:r>
        <w:t xml:space="preserve">.</w:t>
      </w:r>
    </w:p>
    <w:bookmarkEnd w:id="21"/>
    <w:bookmarkStart w:id="22" w:name="repository-structure"/>
    <w:p>
      <w:pPr>
        <w:pStyle w:val="Heading2"/>
      </w:pPr>
      <w:r>
        <w:t xml:space="preserve">Repository structure</w:t>
      </w:r>
    </w:p>
    <w:p>
      <w:pPr>
        <w:pStyle w:val="SourceCode"/>
      </w:pPr>
      <w:r>
        <w:rPr>
          <w:rStyle w:val="VerbatimChar"/>
        </w:rPr>
        <w:t xml:space="preserve">OSF_release/</w:t>
      </w:r>
      <w:r>
        <w:br/>
      </w:r>
      <w:r>
        <w:rPr>
          <w:rStyle w:val="VerbatimChar"/>
        </w:rPr>
        <w:t xml:space="preserve">├── README.md                 This file</w:t>
      </w:r>
      <w:r>
        <w:br/>
      </w:r>
      <w:r>
        <w:rPr>
          <w:rStyle w:val="VerbatimChar"/>
        </w:rPr>
        <w:t xml:space="preserve">├── LICENSE.md                Licensing terms for code and for data/materials</w:t>
      </w:r>
      <w:r>
        <w:br/>
      </w:r>
      <w:r>
        <w:rPr>
          <w:rStyle w:val="VerbatimChar"/>
        </w:rPr>
        <w:t xml:space="preserve">├── CITATION.cff              Citation metadata for this deposit</w:t>
      </w:r>
      <w:r>
        <w:br/>
      </w:r>
      <w:r>
        <w:rPr>
          <w:rStyle w:val="VerbatimChar"/>
        </w:rPr>
        <w:t xml:space="preserve">├── ai_use_statement.md       Generative-AI transparency note</w:t>
      </w:r>
      <w:r>
        <w:br/>
      </w:r>
      <w:r>
        <w:rPr>
          <w:rStyle w:val="VerbatimChar"/>
        </w:rPr>
        <w:t xml:space="preserve">├── computational_environment.md  R and package versions</w:t>
      </w:r>
      <w:r>
        <w:br/>
      </w:r>
      <w:r>
        <w:rPr>
          <w:rStyle w:val="VerbatimChar"/>
        </w:rPr>
        <w:t xml:space="preserve">├── preregistration/          Preregistration link and deviation log</w:t>
      </w:r>
      <w:r>
        <w:br/>
      </w:r>
      <w:r>
        <w:rPr>
          <w:rStyle w:val="VerbatimChar"/>
        </w:rPr>
        <w:t xml:space="preserve">├── materials/                Stimuli, robot script, coding manual, blank consent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├── raw/                  Held securely, not shared (see raw/README.md)</w:t>
      </w:r>
      <w:r>
        <w:br/>
      </w:r>
      <w:r>
        <w:rPr>
          <w:rStyle w:val="VerbatimChar"/>
        </w:rPr>
        <w:t xml:space="preserve">│   ├── deidentified/         Shareable datasets (produced by deidentify_release.R)</w:t>
      </w:r>
      <w:r>
        <w:br/>
      </w:r>
      <w:r>
        <w:rPr>
          <w:rStyle w:val="VerbatimChar"/>
        </w:rPr>
        <w:t xml:space="preserve">│   ├── checksums.md          MD5 checksums for the released datasets</w:t>
      </w:r>
      <w:r>
        <w:br/>
      </w:r>
      <w:r>
        <w:rPr>
          <w:rStyle w:val="VerbatimChar"/>
        </w:rPr>
        <w:t xml:space="preserve">│   └── data_dictionary.xlsx  Variable definitions</w:t>
      </w:r>
      <w:r>
        <w:br/>
      </w:r>
      <w:r>
        <w:rPr>
          <w:rStyle w:val="VerbatimChar"/>
        </w:rPr>
        <w:t xml:space="preserve">├── code/                     Analysis notebook, revision scripts, power analysis, de-id script</w:t>
      </w:r>
      <w:r>
        <w:br/>
      </w:r>
      <w:r>
        <w:rPr>
          <w:rStyle w:val="VerbatimChar"/>
        </w:rPr>
        <w:t xml:space="preserve">└── outputs/</w:t>
      </w:r>
      <w:r>
        <w:br/>
      </w:r>
      <w:r>
        <w:rPr>
          <w:rStyle w:val="VerbatimChar"/>
        </w:rPr>
        <w:t xml:space="preserve">    ├── figures/              Manuscript figures</w:t>
      </w:r>
      <w:r>
        <w:br/>
      </w:r>
      <w:r>
        <w:rPr>
          <w:rStyle w:val="VerbatimChar"/>
        </w:rPr>
        <w:t xml:space="preserve">    └── *.html                Knitted analysis notebook</w:t>
      </w:r>
    </w:p>
    <w:bookmarkEnd w:id="22"/>
    <w:bookmarkStart w:id="23" w:name="how-to-reproduce"/>
    <w:p>
      <w:pPr>
        <w:pStyle w:val="Heading2"/>
      </w:pPr>
      <w:r>
        <w:t xml:space="preserve">How to reproduce</w:t>
      </w:r>
    </w:p>
    <w:p>
      <w:pPr>
        <w:pStyle w:val="FirstParagraph"/>
      </w:pPr>
      <w:r>
        <w:t xml:space="preserve">The analysis was conducted in R 4.5.3. The primary artifact is</w:t>
      </w:r>
      <w:r>
        <w:t xml:space="preserve"> </w:t>
      </w:r>
      <w:r>
        <w:rPr>
          <w:rStyle w:val="VerbatimChar"/>
        </w:rPr>
        <w:t xml:space="preserve">code/Social_Robot_Word_Learning_Analysis.Rmd</w:t>
      </w:r>
      <w:r>
        <w:t xml:space="preserve">, which knits to the HTML</w:t>
      </w:r>
      <w:r>
        <w:t xml:space="preserve"> </w:t>
      </w:r>
      <w:r>
        <w:t xml:space="preserve">notebook in</w:t>
      </w:r>
      <w:r>
        <w:t xml:space="preserve"> </w:t>
      </w:r>
      <w:r>
        <w:rPr>
          <w:rStyle w:val="VerbatimChar"/>
        </w:rPr>
        <w:t xml:space="preserve">outputs/</w:t>
      </w:r>
      <w:r>
        <w:t xml:space="preserve">. Revision analyses are reproduced by</w:t>
      </w:r>
      <w:r>
        <w:t xml:space="preserve"> </w:t>
      </w:r>
      <w:r>
        <w:rPr>
          <w:rStyle w:val="VerbatimChar"/>
        </w:rPr>
        <w:t xml:space="preserve">code/revision_recompute.R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code/revision_model_B.R</w:t>
      </w:r>
      <w:r>
        <w:t xml:space="preserve">, and the power</w:t>
      </w:r>
      <w:r>
        <w:t xml:space="preserve"> </w:t>
      </w:r>
      <w:r>
        <w:t xml:space="preserve">analysis by</w:t>
      </w:r>
      <w:r>
        <w:t xml:space="preserve"> </w:t>
      </w:r>
      <w:r>
        <w:rPr>
          <w:rStyle w:val="VerbatimChar"/>
        </w:rPr>
        <w:t xml:space="preserve">code/simr_power_robot_fixed.R</w:t>
      </w:r>
      <w:r>
        <w:t xml:space="preserve">. Exact package versions are listed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computational_environment.md</w:t>
      </w:r>
      <w:r>
        <w:t xml:space="preserve"> </w:t>
      </w:r>
      <w:r>
        <w:t xml:space="preserve">and in Section 12 (Session Info) of the</w:t>
      </w:r>
      <w:r>
        <w:t xml:space="preserve"> </w:t>
      </w:r>
      <w:r>
        <w:t xml:space="preserve">rendered notebook.</w:t>
      </w:r>
    </w:p>
    <w:p>
      <w:pPr>
        <w:pStyle w:val="BodyText"/>
      </w:pPr>
      <w:r>
        <w:rPr>
          <w:b/>
          <w:bCs/>
        </w:rPr>
        <w:t xml:space="preserve">Participant identifiers.</w:t>
      </w:r>
      <w:r>
        <w:t xml:space="preserve"> </w:t>
      </w:r>
      <w:r>
        <w:t xml:space="preserve">All participant IDs in this deposit (datasets,</w:t>
      </w:r>
      <w:r>
        <w:t xml:space="preserve"> </w:t>
      </w:r>
      <w:r>
        <w:t xml:space="preserve">notebook output, and figures) are re-coded public IDs that cannot be linked to</w:t>
      </w:r>
      <w:r>
        <w:t xml:space="preserve"> </w:t>
      </w:r>
      <w:r>
        <w:t xml:space="preserve">the identifiers used during data collection. The re-coding is performed by</w:t>
      </w:r>
      <w:r>
        <w:t xml:space="preserve"> </w:t>
      </w:r>
      <w:r>
        <w:rPr>
          <w:rStyle w:val="VerbatimChar"/>
        </w:rPr>
        <w:t xml:space="preserve">code/deidentify_release.R</w:t>
      </w:r>
      <w:r>
        <w:t xml:space="preserve">; the mapping is held securely by the authors and is</w:t>
      </w:r>
      <w:r>
        <w:t xml:space="preserve"> </w:t>
      </w:r>
      <w:r>
        <w:t xml:space="preserve">not deposited.</w:t>
      </w:r>
    </w:p>
    <w:p>
      <w:pPr>
        <w:pStyle w:val="BodyText"/>
      </w:pPr>
      <w:r>
        <w:rPr>
          <w:b/>
          <w:bCs/>
        </w:rPr>
        <w:t xml:space="preserve">What reproduces from the shared data.</w:t>
      </w:r>
      <w:r>
        <w:t xml:space="preserve"> </w:t>
      </w:r>
      <w:r>
        <w:t xml:space="preserve">The word-learning and engagement</w:t>
      </w:r>
      <w:r>
        <w:t xml:space="preserve"> </w:t>
      </w:r>
      <w:r>
        <w:t xml:space="preserve">analyses (notebook Sections 5–10) run from the de-identified datasets in</w:t>
      </w:r>
      <w:r>
        <w:t xml:space="preserve"> </w:t>
      </w:r>
      <w:r>
        <w:rPr>
          <w:rStyle w:val="VerbatimChar"/>
        </w:rPr>
        <w:t xml:space="preserve">data/deidentified/</w:t>
      </w:r>
      <w:r>
        <w:t xml:space="preserve">. Two parts require the secure source files and therefore</w:t>
      </w:r>
      <w:r>
        <w:t xml:space="preserve"> </w:t>
      </w:r>
      <w:r>
        <w:t xml:space="preserve">do not re-run from the public deposit: the interrater-reliability computation</w:t>
      </w:r>
      <w:r>
        <w:t xml:space="preserve"> </w:t>
      </w:r>
      <w:r>
        <w:t xml:space="preserve">(Section 3.4, raw coding workbooks) and the covariate screening on exact age</w:t>
      </w:r>
      <w:r>
        <w:t xml:space="preserve"> </w:t>
      </w:r>
      <w:r>
        <w:t xml:space="preserve">and clinical scores (Section 7.1.5; the released main dataset carries banded</w:t>
      </w:r>
      <w:r>
        <w:t xml:space="preserve"> </w:t>
      </w:r>
      <w:r>
        <w:t xml:space="preserve">age and banded clinical scores instead). The full analysis trail for those</w:t>
      </w:r>
      <w:r>
        <w:t xml:space="preserve"> </w:t>
      </w:r>
      <w:r>
        <w:t xml:space="preserve">sections is visible in the rendered notebook.</w:t>
      </w:r>
    </w:p>
    <w:bookmarkEnd w:id="23"/>
    <w:bookmarkStart w:id="24" w:name="data-access-statement"/>
    <w:p>
      <w:pPr>
        <w:pStyle w:val="Heading2"/>
      </w:pPr>
      <w:r>
        <w:t xml:space="preserve">Data-access statement</w:t>
      </w:r>
    </w:p>
    <w:p>
      <w:pPr>
        <w:pStyle w:val="FirstParagraph"/>
      </w:pPr>
      <w:r>
        <w:t xml:space="preserve">The de-identified datasets required to reproduce the published analyses are</w:t>
      </w:r>
      <w:r>
        <w:t xml:space="preserve"> </w:t>
      </w:r>
      <w:r>
        <w:t xml:space="preserve">provided in</w:t>
      </w:r>
      <w:r>
        <w:t xml:space="preserve"> </w:t>
      </w:r>
      <w:r>
        <w:rPr>
          <w:rStyle w:val="VerbatimChar"/>
        </w:rPr>
        <w:t xml:space="preserve">data/deidentified/</w:t>
      </w:r>
      <w:r>
        <w:t xml:space="preserve">. The raw source data are not shared because</w:t>
      </w:r>
      <w:r>
        <w:t xml:space="preserve"> </w:t>
      </w:r>
      <w:r>
        <w:t xml:space="preserve">they contain individual-level clinical and developmental scores on a small</w:t>
      </w:r>
      <w:r>
        <w:t xml:space="preserve"> </w:t>
      </w:r>
      <w:r>
        <w:t xml:space="preserve">autistic sample, for which the combination of quasi-identifiers carries a real</w:t>
      </w:r>
      <w:r>
        <w:t xml:space="preserve"> </w:t>
      </w:r>
      <w:r>
        <w:t xml:space="preserve">re-identification risk. Requests for access to the underlying data may be</w:t>
      </w:r>
      <w:r>
        <w:t xml:space="preserve"> </w:t>
      </w:r>
      <w:r>
        <w:t xml:space="preserve">directed to the corresponding author and are subject to ethics approval and a</w:t>
      </w:r>
      <w:r>
        <w:t xml:space="preserve"> </w:t>
      </w:r>
      <w:r>
        <w:t xml:space="preserve">data-sharing agreement.</w:t>
      </w:r>
    </w:p>
    <w:bookmarkEnd w:id="24"/>
    <w:bookmarkStart w:id="25" w:name="ethics"/>
    <w:p>
      <w:pPr>
        <w:pStyle w:val="Heading2"/>
      </w:pPr>
      <w:r>
        <w:t xml:space="preserve">Ethics</w:t>
      </w:r>
    </w:p>
    <w:p>
      <w:pPr>
        <w:pStyle w:val="FirstParagraph"/>
      </w:pPr>
      <w:r>
        <w:t xml:space="preserve">The study was approved by the relevant institutional human research ethics</w:t>
      </w:r>
      <w:r>
        <w:t xml:space="preserve"> </w:t>
      </w:r>
      <w:r>
        <w:t xml:space="preserve">committee. Approval reference numbers are reported in the manuscript.</w:t>
      </w:r>
    </w:p>
    <w:bookmarkEnd w:id="25"/>
    <w:bookmarkStart w:id="26" w:name="use-of-generative-ai"/>
    <w:p>
      <w:pPr>
        <w:pStyle w:val="Heading2"/>
      </w:pPr>
      <w:r>
        <w:t xml:space="preserve">Use of generative AI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ai_use_statement.md</w:t>
      </w:r>
      <w:r>
        <w:t xml:space="preserve"> </w:t>
      </w:r>
      <w:r>
        <w:t xml:space="preserve">for the analysis-transparency note describing the use</w:t>
      </w:r>
      <w:r>
        <w:t xml:space="preserve"> </w:t>
      </w:r>
      <w:r>
        <w:t xml:space="preserve">of generative AI tools in the preparation of the code and manuscript. This note</w:t>
      </w:r>
      <w:r>
        <w:t xml:space="preserve"> </w:t>
      </w:r>
      <w:r>
        <w:t xml:space="preserve">matches the declaration in the manuscript.</w:t>
      </w:r>
    </w:p>
    <w:bookmarkEnd w:id="26"/>
    <w:bookmarkStart w:id="27" w:name="citation"/>
    <w:p>
      <w:pPr>
        <w:pStyle w:val="Heading2"/>
      </w:pPr>
      <w:r>
        <w:t xml:space="preserve">Citation</w:t>
      </w:r>
    </w:p>
    <w:p>
      <w:pPr>
        <w:pStyle w:val="FirstParagraph"/>
      </w:pPr>
      <w:r>
        <w:t xml:space="preserve">If you use these materials, please cite both the manuscript and the OSF</w:t>
      </w:r>
      <w:r>
        <w:t xml:space="preserve"> </w:t>
      </w:r>
      <w:r>
        <w:t xml:space="preserve">deposit (see</w:t>
      </w:r>
      <w:r>
        <w:t xml:space="preserve"> </w:t>
      </w:r>
      <w:r>
        <w:rPr>
          <w:rStyle w:val="VerbatimChar"/>
        </w:rPr>
        <w:t xml:space="preserve">CITATION.cff</w:t>
      </w:r>
      <w:r>
        <w:t xml:space="preserve">). The OSF DOI is listed in the manuscript’s Data</w:t>
      </w:r>
      <w:r>
        <w:t xml:space="preserve"> </w:t>
      </w:r>
      <w:r>
        <w:t xml:space="preserve">and Code Availability statements once minted.</w:t>
      </w:r>
    </w:p>
    <w:bookmarkEnd w:id="27"/>
    <w:bookmarkStart w:id="28" w:name="contact"/>
    <w:p>
      <w:pPr>
        <w:pStyle w:val="Heading2"/>
      </w:pPr>
      <w:r>
        <w:t xml:space="preserve">Contact</w:t>
      </w:r>
    </w:p>
    <w:p>
      <w:pPr>
        <w:pStyle w:val="FirstParagraph"/>
      </w:pPr>
      <w:r>
        <w:t xml:space="preserve">Corresponding author: Dr Kristyn Sommer, School of Applied Psychology,</w:t>
      </w:r>
      <w:r>
        <w:t xml:space="preserve"> </w:t>
      </w:r>
      <w:r>
        <w:t xml:space="preserve">Griffith University (k.sommer@griffith.edu.au).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2026-08-11T04:10:14Z</dcterms:created>
  <dcterms:modified xsi:type="dcterms:W3CDTF">2026-08-11T04:10:14Z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