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plication-protocol"/>
      <w:r>
        <w:t xml:space="preserve">Replication Protocol</w:t>
      </w:r>
      <w:bookmarkEnd w:id="20"/>
    </w:p>
    <w:p>
      <w:pPr>
        <w:pStyle w:val="Heading2"/>
      </w:pPr>
      <w:bookmarkStart w:id="21" w:name="X4b655d107fd457f23030c204cf0b0def9d5ad2c"/>
      <w:r>
        <w:t xml:space="preserve">Novel Word Learning From a Social Robot (NAO) in Autistic and Non-Autistic Children</w:t>
      </w:r>
      <w:bookmarkEnd w:id="21"/>
    </w:p>
    <w:p>
      <w:pPr>
        <w:pStyle w:val="FirstParagraph"/>
      </w:pPr>
      <w:r>
        <w:t xml:space="preserve">This document is a consolidated protocol for replicating the study procedure. It</w:t>
      </w:r>
      <w:r>
        <w:t xml:space="preserve"> </w:t>
      </w:r>
      <w:r>
        <w:t xml:space="preserve">draws together the equipment list, room setup, session procedure, verbatim robot</w:t>
      </w:r>
      <w:r>
        <w:t xml:space="preserve"> </w:t>
      </w:r>
      <w:r>
        <w:t xml:space="preserve">scripts and timing, engagement coding scheme, word-learning task, and the</w:t>
      </w:r>
      <w:r>
        <w:t xml:space="preserve"> </w:t>
      </w:r>
      <w:r>
        <w:t xml:space="preserve">measures used to characterise participants. It supersedes several of the</w:t>
      </w:r>
      <w:r>
        <w:t xml:space="preserve"> </w:t>
      </w:r>
      <w:r>
        <w:t xml:space="preserve">standalone material files, which are retained as appendices and source documents</w:t>
      </w:r>
      <w:r>
        <w:t xml:space="preserve"> </w:t>
      </w:r>
      <w:r>
        <w:t xml:space="preserve">(see Section 9). All personal names, contact details, and institutional</w:t>
      </w:r>
      <w:r>
        <w:t xml:space="preserve"> </w:t>
      </w:r>
      <w:r>
        <w:t xml:space="preserve">identifiers have been removed for public release.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verview-and-design"/>
      <w:r>
        <w:t xml:space="preserve">1. Overview and design</w:t>
      </w:r>
      <w:bookmarkEnd w:id="22"/>
    </w:p>
    <w:p>
      <w:pPr>
        <w:pStyle w:val="FirstParagraph"/>
      </w:pPr>
      <w:r>
        <w:t xml:space="preserve">The study examined whether autistic and non-autistic children learn novel object</w:t>
      </w:r>
      <w:r>
        <w:t xml:space="preserve"> </w:t>
      </w:r>
      <w:r>
        <w:t xml:space="preserve">labels from a socially contingent humanoid robot (NAO) presenting an electronic</w:t>
      </w:r>
      <w:r>
        <w:t xml:space="preserve"> </w:t>
      </w:r>
      <w:r>
        <w:t xml:space="preserve">storybook. Each child completed a single session comprising a live interaction</w:t>
      </w:r>
      <w:r>
        <w:t xml:space="preserve"> </w:t>
      </w:r>
      <w:r>
        <w:t xml:space="preserve">with the robot followed by a robot-mediated storybook (the learning task) and a</w:t>
      </w:r>
      <w:r>
        <w:t xml:space="preserve"> </w:t>
      </w:r>
      <w:r>
        <w:t xml:space="preserve">forced-choice test of novel-word recognition. Child engagement was recorded</w:t>
      </w:r>
      <w:r>
        <w:t xml:space="preserve"> </w:t>
      </w:r>
      <w:r>
        <w:t xml:space="preserve">throughout and coded offline from video.</w:t>
      </w:r>
    </w:p>
    <w:p>
      <w:pPr>
        <w:pStyle w:val="BodyText"/>
      </w:pPr>
      <w:r>
        <w:t xml:space="preserve">A session proceeds through the following phases, in order:</w:t>
      </w:r>
    </w:p>
    <w:p>
      <w:pPr>
        <w:numPr>
          <w:ilvl w:val="0"/>
          <w:numId w:val="1001"/>
        </w:numPr>
        <w:pStyle w:val="Compact"/>
      </w:pPr>
      <w:r>
        <w:t xml:space="preserve">Warm-up and orientation (social story; teaching the greeting gesture).</w:t>
      </w:r>
    </w:p>
    <w:p>
      <w:pPr>
        <w:numPr>
          <w:ilvl w:val="0"/>
          <w:numId w:val="1001"/>
        </w:numPr>
        <w:pStyle w:val="Compact"/>
      </w:pPr>
      <w:r>
        <w:t xml:space="preserve">Modelling video (a short video model viewed before the live interaction).</w:t>
      </w:r>
    </w:p>
    <w:p>
      <w:pPr>
        <w:numPr>
          <w:ilvl w:val="0"/>
          <w:numId w:val="1001"/>
        </w:numPr>
        <w:pStyle w:val="Compact"/>
      </w:pPr>
      <w:r>
        <w:t xml:space="preserve">Live robot interaction: Introduction, Play, and Question-and-Answer.</w:t>
      </w:r>
    </w:p>
    <w:p>
      <w:pPr>
        <w:numPr>
          <w:ilvl w:val="0"/>
          <w:numId w:val="1001"/>
        </w:numPr>
        <w:pStyle w:val="Compact"/>
      </w:pPr>
      <w:r>
        <w:t xml:space="preserve">Learning task: the robot-mediated</w:t>
      </w:r>
      <w:r>
        <w:t xml:space="preserve"> </w:t>
      </w:r>
      <w:r>
        <w:t xml:space="preserve">“</w:t>
      </w:r>
      <w:r>
        <w:t xml:space="preserve">Show and Tell</w:t>
      </w:r>
      <w:r>
        <w:t xml:space="preserve">”</w:t>
      </w:r>
      <w:r>
        <w:t xml:space="preserve"> </w:t>
      </w:r>
      <w:r>
        <w:t xml:space="preserve">storybook on a tablet.</w:t>
      </w:r>
    </w:p>
    <w:p>
      <w:pPr>
        <w:numPr>
          <w:ilvl w:val="0"/>
          <w:numId w:val="1001"/>
        </w:numPr>
        <w:pStyle w:val="Compact"/>
      </w:pPr>
      <w:r>
        <w:t xml:space="preserve">Novel-word test: a 12-trial forced-choice picture task.</w:t>
      </w:r>
    </w:p>
    <w:p>
      <w:pPr>
        <w:numPr>
          <w:ilvl w:val="0"/>
          <w:numId w:val="1001"/>
        </w:numPr>
        <w:pStyle w:val="Compact"/>
      </w:pPr>
      <w:r>
        <w:t xml:space="preserve">Debrief and acknowledgement.</w:t>
      </w:r>
    </w:p>
    <w:p>
      <w:pPr>
        <w:pStyle w:val="FirstParagraph"/>
      </w:pPr>
      <w:r>
        <w:t xml:space="preserve">The robot was operated by a researcher using a wizard-of-Oz style control; the</w:t>
      </w:r>
      <w:r>
        <w:t xml:space="preserve"> </w:t>
      </w:r>
      <w:r>
        <w:t xml:space="preserve">robot’s speech and actions followed a fixed script (Section 6). Engagement was</w:t>
      </w:r>
      <w:r>
        <w:t xml:space="preserve"> </w:t>
      </w:r>
      <w:r>
        <w:t xml:space="preserve">coded in 10-second blocks across the interaction phases (Section 7).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quipment-and-materials"/>
      <w:r>
        <w:t xml:space="preserve">2. Equipment and materials</w:t>
      </w:r>
      <w:bookmarkEnd w:id="23"/>
    </w:p>
    <w:p>
      <w:pPr>
        <w:pStyle w:val="Heading3"/>
      </w:pPr>
      <w:bookmarkStart w:id="24" w:name="hardware"/>
      <w:r>
        <w:t xml:space="preserve">Hardware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One NAO humanoid robot (NAO 6) and its dedicated control laptop.</w:t>
      </w:r>
    </w:p>
    <w:p>
      <w:pPr>
        <w:numPr>
          <w:ilvl w:val="0"/>
          <w:numId w:val="1002"/>
        </w:numPr>
        <w:pStyle w:val="Compact"/>
      </w:pPr>
      <w:r>
        <w:t xml:space="preserve">One iPad (or equivalent tablet) presenting the storybook web application.</w:t>
      </w:r>
    </w:p>
    <w:p>
      <w:pPr>
        <w:numPr>
          <w:ilvl w:val="0"/>
          <w:numId w:val="1002"/>
        </w:numPr>
        <w:pStyle w:val="Compact"/>
      </w:pPr>
      <w:r>
        <w:t xml:space="preserve">One experimenter laptop.</w:t>
      </w:r>
    </w:p>
    <w:p>
      <w:pPr>
        <w:numPr>
          <w:ilvl w:val="0"/>
          <w:numId w:val="1002"/>
        </w:numPr>
        <w:pStyle w:val="Compact"/>
      </w:pPr>
      <w:r>
        <w:t xml:space="preserve">One GoPro camera on a bendable/adjustable tripod, set to video mode.</w:t>
      </w:r>
    </w:p>
    <w:p>
      <w:pPr>
        <w:numPr>
          <w:ilvl w:val="0"/>
          <w:numId w:val="1002"/>
        </w:numPr>
        <w:pStyle w:val="Compact"/>
      </w:pPr>
      <w:r>
        <w:t xml:space="preserve">SD card and external hard drive for footage; charging dock and chargers.</w:t>
      </w:r>
    </w:p>
    <w:p>
      <w:pPr>
        <w:numPr>
          <w:ilvl w:val="0"/>
          <w:numId w:val="1002"/>
        </w:numPr>
        <w:pStyle w:val="Compact"/>
      </w:pPr>
      <w:r>
        <w:t xml:space="preserve">Portable Wi-Fi or a mobile hotspot to create a local wireless network.</w:t>
      </w:r>
    </w:p>
    <w:p>
      <w:pPr>
        <w:numPr>
          <w:ilvl w:val="0"/>
          <w:numId w:val="1002"/>
        </w:numPr>
        <w:pStyle w:val="Compact"/>
      </w:pPr>
      <w:r>
        <w:t xml:space="preserve">A set of coloured wooden blocks.</w:t>
      </w:r>
    </w:p>
    <w:p>
      <w:pPr>
        <w:numPr>
          <w:ilvl w:val="0"/>
          <w:numId w:val="1002"/>
        </w:numPr>
        <w:pStyle w:val="Compact"/>
      </w:pPr>
      <w:r>
        <w:t xml:space="preserve">A lockable case for transport and secure storage.</w:t>
      </w:r>
    </w:p>
    <w:p>
      <w:pPr>
        <w:pStyle w:val="Heading3"/>
      </w:pPr>
      <w:bookmarkStart w:id="25" w:name="software"/>
      <w:r>
        <w:t xml:space="preserve">Software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Choreographe (NAO programming and control environment) on the control laptop.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Show and Tell</w:t>
      </w:r>
      <w:r>
        <w:t xml:space="preserve">”</w:t>
      </w:r>
      <w:r>
        <w:t xml:space="preserve"> </w:t>
      </w:r>
      <w:r>
        <w:t xml:space="preserve">storybook web application, served locally and opened in the</w:t>
      </w:r>
      <w:r>
        <w:t xml:space="preserve"> </w:t>
      </w:r>
      <w:r>
        <w:t xml:space="preserve">tablet’s web browser over the local network (see Section 3 for the connection</w:t>
      </w:r>
      <w:r>
        <w:t xml:space="preserve"> </w:t>
      </w:r>
      <w:r>
        <w:t xml:space="preserve">procedure).</w:t>
      </w:r>
    </w:p>
    <w:p>
      <w:pPr>
        <w:pStyle w:val="Heading3"/>
      </w:pPr>
      <w:bookmarkStart w:id="26" w:name="stimuli-see-stimuli"/>
      <w:r>
        <w:t xml:space="preserve">Stimuli (see</w:t>
      </w:r>
      <w:r>
        <w:t xml:space="preserve"> </w:t>
      </w:r>
      <w:r>
        <w:rPr>
          <w:rStyle w:val="VerbatimChar"/>
        </w:rPr>
        <w:t xml:space="preserve">stimuli/</w:t>
      </w:r>
      <w:r>
        <w:t xml:space="preserve">)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Show and Tell</w:t>
      </w:r>
      <w:r>
        <w:t xml:space="preserve">”</w:t>
      </w:r>
      <w:r>
        <w:t xml:space="preserve"> </w:t>
      </w:r>
      <w:r>
        <w:t xml:space="preserve">storybook (15 pages).</w:t>
      </w:r>
    </w:p>
    <w:p>
      <w:pPr>
        <w:numPr>
          <w:ilvl w:val="0"/>
          <w:numId w:val="1004"/>
        </w:numPr>
        <w:pStyle w:val="Compact"/>
      </w:pPr>
      <w:r>
        <w:t xml:space="preserve">Two counterbalanced picture-choice arrays (A and B; 15 images each) for the</w:t>
      </w:r>
      <w:r>
        <w:t xml:space="preserve"> </w:t>
      </w:r>
      <w:r>
        <w:t xml:space="preserve">novel-word test.</w:t>
      </w:r>
    </w:p>
    <w:p>
      <w:pPr>
        <w:numPr>
          <w:ilvl w:val="0"/>
          <w:numId w:val="1004"/>
        </w:numPr>
        <w:pStyle w:val="Compact"/>
      </w:pPr>
      <w:r>
        <w:t xml:space="preserve">The novel words and their referents are taught within the storybook and probed</w:t>
      </w:r>
      <w:r>
        <w:t xml:space="preserve"> </w:t>
      </w:r>
      <w:r>
        <w:t xml:space="preserve">at test (Section 8). Novel referents are drawn from the NOUN stimulus set</w:t>
      </w:r>
      <w:r>
        <w:t xml:space="preserve"> </w:t>
      </w:r>
      <w:r>
        <w:t xml:space="preserve">(Horst &amp; Hout, 2016); link the NOUN database rather than re-hosting.</w:t>
      </w:r>
    </w:p>
    <w:p>
      <w:pPr>
        <w:pStyle w:val="Heading3"/>
      </w:pPr>
      <w:bookmarkStart w:id="27" w:name="paperwork"/>
      <w:r>
        <w:t xml:space="preserve">Paperwork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Recruitment sheet, information sheet, and blank consent form.</w:t>
      </w:r>
    </w:p>
    <w:p>
      <w:pPr>
        <w:numPr>
          <w:ilvl w:val="0"/>
          <w:numId w:val="1005"/>
        </w:numPr>
        <w:pStyle w:val="Compact"/>
      </w:pPr>
      <w:r>
        <w:t xml:space="preserve">Scoring sheets (Section 8) and debrief sheets/certificates.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oom-setup"/>
      <w:r>
        <w:t xml:space="preserve">3. Room setup</w:t>
      </w:r>
      <w:bookmarkEnd w:id="28"/>
    </w:p>
    <w:p>
      <w:pPr>
        <w:pStyle w:val="FirstParagraph"/>
      </w:pPr>
      <w:r>
        <w:t xml:space="preserve">Conduct the session in a quiet room with the child seated on the floor. The</w:t>
      </w:r>
      <w:r>
        <w:t xml:space="preserve"> </w:t>
      </w:r>
      <w:r>
        <w:t xml:space="preserve">recommended layout (illustrated in Figure 2 of the deposit) is: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child</w:t>
      </w:r>
      <w:r>
        <w:t xml:space="preserve"> </w:t>
      </w:r>
      <w:r>
        <w:t xml:space="preserve">seated facing the robot.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NAO robot</w:t>
      </w:r>
      <w:r>
        <w:t xml:space="preserve"> </w:t>
      </w:r>
      <w:r>
        <w:t xml:space="preserve">positioned directly opposite the child, with the coloured</w:t>
      </w:r>
      <w:r>
        <w:t xml:space="preserve"> </w:t>
      </w:r>
      <w:r>
        <w:t xml:space="preserve">blocks to one side and the tablet placed on the floor in front of the child for</w:t>
      </w:r>
      <w:r>
        <w:t xml:space="preserve"> </w:t>
      </w:r>
      <w:r>
        <w:t xml:space="preserve">the learning task.</w:t>
      </w:r>
    </w:p>
    <w:p>
      <w:pPr>
        <w:numPr>
          <w:ilvl w:val="0"/>
          <w:numId w:val="1006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GoPro camera on a tripod</w:t>
      </w:r>
      <w:r>
        <w:t xml:space="preserve"> </w:t>
      </w:r>
      <w:r>
        <w:t xml:space="preserve">positioned to capture the child’s face and upper</w:t>
      </w:r>
      <w:r>
        <w:t xml:space="preserve"> </w:t>
      </w:r>
      <w:r>
        <w:t xml:space="preserve">body throughout all phases. Test the framing before the child enters.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researcher</w:t>
      </w:r>
      <w:r>
        <w:t xml:space="preserve"> </w:t>
      </w:r>
      <w:r>
        <w:t xml:space="preserve">seated against the wall, operating the robot and the video</w:t>
      </w:r>
      <w:r>
        <w:t xml:space="preserve"> </w:t>
      </w:r>
      <w:r>
        <w:t xml:space="preserve">presentation from the control laptop, positioned to see the child but outside</w:t>
      </w:r>
      <w:r>
        <w:t xml:space="preserve"> </w:t>
      </w:r>
      <w:r>
        <w:t xml:space="preserve">the child’s primary line of sight to the robot.</w:t>
      </w:r>
    </w:p>
    <w:p>
      <w:pPr>
        <w:numPr>
          <w:ilvl w:val="0"/>
          <w:numId w:val="1006"/>
        </w:numPr>
        <w:pStyle w:val="Compact"/>
      </w:pPr>
      <w:r>
        <w:t xml:space="preserve">An</w:t>
      </w:r>
      <w:r>
        <w:t xml:space="preserve"> </w:t>
      </w:r>
      <w:r>
        <w:rPr>
          <w:b/>
        </w:rPr>
        <w:t xml:space="preserve">educator or caregiver</w:t>
      </w:r>
      <w:r>
        <w:t xml:space="preserve"> </w:t>
      </w:r>
      <w:r>
        <w:t xml:space="preserve">may be present, seated to one side as an observer.</w:t>
      </w:r>
    </w:p>
    <w:p>
      <w:pPr>
        <w:pStyle w:val="Heading3"/>
      </w:pPr>
      <w:bookmarkStart w:id="29" w:name="network-and-web-application-setup"/>
      <w:r>
        <w:t xml:space="preserve">Network and web-application setup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Enable the mobile hotspot / portable Wi-Fi to create a local wireless network.</w:t>
      </w:r>
    </w:p>
    <w:p>
      <w:pPr>
        <w:numPr>
          <w:ilvl w:val="0"/>
          <w:numId w:val="1007"/>
        </w:numPr>
        <w:pStyle w:val="Compact"/>
      </w:pPr>
      <w:r>
        <w:t xml:space="preserve">Connect both the tablet and the NAO control laptop to that same network.</w:t>
      </w:r>
    </w:p>
    <w:p>
      <w:pPr>
        <w:numPr>
          <w:ilvl w:val="0"/>
          <w:numId w:val="1007"/>
        </w:numPr>
        <w:pStyle w:val="Compact"/>
      </w:pPr>
      <w:r>
        <w:t xml:space="preserve">Note the robot’s local IP address from the control software.</w:t>
      </w:r>
    </w:p>
    <w:p>
      <w:pPr>
        <w:numPr>
          <w:ilvl w:val="0"/>
          <w:numId w:val="1007"/>
        </w:numPr>
        <w:pStyle w:val="Compact"/>
      </w:pPr>
      <w:r>
        <w:t xml:space="preserve">On the tablet, open the web browser and navigate to the storybook web</w:t>
      </w:r>
      <w:r>
        <w:t xml:space="preserve"> </w:t>
      </w:r>
      <w:r>
        <w:t xml:space="preserve">application served at the robot’s local address.</w:t>
      </w:r>
    </w:p>
    <w:p>
      <w:pPr>
        <w:numPr>
          <w:ilvl w:val="0"/>
          <w:numId w:val="1007"/>
        </w:numPr>
        <w:pStyle w:val="Compact"/>
      </w:pPr>
      <w:r>
        <w:t xml:space="preserve">Confirm the first page of the storybook displays before the session begins.</w:t>
      </w:r>
    </w:p>
    <w:p>
      <w:pPr>
        <w:pStyle w:val="BlockText"/>
      </w:pPr>
      <w:r>
        <w:t xml:space="preserve">Note. The storybook is presented page-by-page in synchrony with the robot’s</w:t>
      </w:r>
      <w:r>
        <w:t xml:space="preserve"> </w:t>
      </w:r>
      <w:r>
        <w:t xml:space="preserve">narration. Verify audio and page advancement during setup.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participants-and-measures"/>
      <w:r>
        <w:t xml:space="preserve">4. Participants and measures</w:t>
      </w:r>
      <w:bookmarkEnd w:id="30"/>
    </w:p>
    <w:p>
      <w:pPr>
        <w:pStyle w:val="Heading3"/>
      </w:pPr>
      <w:bookmarkStart w:id="31" w:name="recruitment-and-consent"/>
      <w:r>
        <w:t xml:space="preserve">Recruitment and consent</w:t>
      </w:r>
      <w:bookmarkEnd w:id="31"/>
    </w:p>
    <w:p>
      <w:pPr>
        <w:pStyle w:val="FirstParagraph"/>
      </w:pPr>
      <w:r>
        <w:t xml:space="preserve">Children were recruited through early-childhood education and intervention</w:t>
      </w:r>
      <w:r>
        <w:t xml:space="preserve"> </w:t>
      </w:r>
      <w:r>
        <w:t xml:space="preserve">settings. Caregivers received an information sheet and provided written informed</w:t>
      </w:r>
      <w:r>
        <w:t xml:space="preserve"> </w:t>
      </w:r>
      <w:r>
        <w:t xml:space="preserve">consent before participation. A blank consent template is provided in the</w:t>
      </w:r>
      <w:r>
        <w:t xml:space="preserve"> </w:t>
      </w:r>
      <w:r>
        <w:t xml:space="preserve">appendices.</w:t>
      </w:r>
    </w:p>
    <w:p>
      <w:pPr>
        <w:pStyle w:val="Heading3"/>
      </w:pPr>
      <w:bookmarkStart w:id="32" w:name="inclusion-and-exclusion"/>
      <w:r>
        <w:t xml:space="preserve">Inclusion and exclusion</w:t>
      </w:r>
      <w:bookmarkEnd w:id="32"/>
    </w:p>
    <w:p>
      <w:pPr>
        <w:pStyle w:val="FirstParagraph"/>
      </w:pPr>
      <w:r>
        <w:t xml:space="preserve">Eligibility was based on age range and the capacity to complete the session.</w:t>
      </w:r>
      <w:r>
        <w:t xml:space="preserve"> </w:t>
      </w:r>
      <w:r>
        <w:t xml:space="preserve">Data-level inclusion and exclusion rules (engagement coverage and test</w:t>
      </w:r>
      <w:r>
        <w:t xml:space="preserve"> </w:t>
      </w:r>
      <w:r>
        <w:t xml:space="preserve">completion) are specified in Sections 7 and 8 and are applied after data</w:t>
      </w:r>
      <w:r>
        <w:t xml:space="preserve"> </w:t>
      </w:r>
      <w:r>
        <w:t xml:space="preserve">collection.</w:t>
      </w:r>
    </w:p>
    <w:p>
      <w:pPr>
        <w:pStyle w:val="Heading3"/>
      </w:pPr>
      <w:bookmarkStart w:id="33" w:name="X2b6f5ca8c9015f6df75f5de7121c13fc48cdc96"/>
      <w:r>
        <w:t xml:space="preserve">Characterisation measures (autistic sample)</w:t>
      </w:r>
      <w:bookmarkEnd w:id="33"/>
    </w:p>
    <w:p>
      <w:pPr>
        <w:pStyle w:val="FirstParagraph"/>
      </w:pPr>
      <w:r>
        <w:t xml:space="preserve">The following standardised instruments were administered by appropriately</w:t>
      </w:r>
      <w:r>
        <w:t xml:space="preserve"> </w:t>
      </w:r>
      <w:r>
        <w:t xml:space="preserve">trained personnel to characterise the autistic sample. They were used for sample</w:t>
      </w:r>
      <w:r>
        <w:t xml:space="preserve"> </w:t>
      </w:r>
      <w:r>
        <w:t xml:space="preserve">description rather than as eligibility criteria. Full descriptions are provided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Supplementary_Measures_Description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Autism Diagnostic Observation Schedule, Second Edition (ADOS-2).</w:t>
      </w:r>
      <w:r>
        <w:t xml:space="preserve"> </w:t>
      </w:r>
      <w:r>
        <w:t xml:space="preserve">Calibrated</w:t>
      </w:r>
      <w:r>
        <w:t xml:space="preserve"> </w:t>
      </w:r>
      <w:r>
        <w:t xml:space="preserve">comparison score reported as a descriptor of autism-related behaviours.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Mullen Scales of Early Learning (MSEL).</w:t>
      </w:r>
      <w:r>
        <w:t xml:space="preserve"> </w:t>
      </w:r>
      <w:r>
        <w:t xml:space="preserve">Developmental quotients (DQs) were</w:t>
      </w:r>
      <w:r>
        <w:t xml:space="preserve"> </w:t>
      </w:r>
      <w:r>
        <w:t xml:space="preserve">derived from age-equivalent scores (Verbal DQ from Receptive and Expressive</w:t>
      </w:r>
      <w:r>
        <w:t xml:space="preserve"> </w:t>
      </w:r>
      <w:r>
        <w:t xml:space="preserve">Language; Non-verbal DQ from Visual Reception and Fine Motor).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Vineland Adaptive Behavior Scales, Third Edition (Vineland-3).</w:t>
      </w:r>
      <w:r>
        <w:t xml:space="preserve"> </w:t>
      </w:r>
      <w:r>
        <w:t xml:space="preserve">Adaptive</w:t>
      </w:r>
      <w:r>
        <w:t xml:space="preserve"> </w:t>
      </w:r>
      <w:r>
        <w:t xml:space="preserve">Behavior Composite reported as an index of adaptive functioning.</w:t>
      </w:r>
    </w:p>
    <w:p>
      <w:pPr>
        <w:pStyle w:val="Heading3"/>
      </w:pPr>
      <w:bookmarkStart w:id="34" w:name="caregiver-questionnaires"/>
      <w:r>
        <w:t xml:space="preserve">Caregiver questionnaires</w:t>
      </w:r>
      <w:bookmarkEnd w:id="34"/>
    </w:p>
    <w:p>
      <w:pPr>
        <w:pStyle w:val="FirstParagraph"/>
      </w:pPr>
      <w:r>
        <w:t xml:space="preserve">Caregivers completed brief questionnaires (see</w:t>
      </w:r>
      <w:r>
        <w:t xml:space="preserve"> </w:t>
      </w:r>
      <w:r>
        <w:rPr>
          <w:rStyle w:val="VerbatimChar"/>
        </w:rPr>
        <w:t xml:space="preserve">Scale Outline</w:t>
      </w:r>
      <w:r>
        <w:t xml:space="preserve">):</w:t>
      </w:r>
    </w:p>
    <w:p>
      <w:pPr>
        <w:numPr>
          <w:ilvl w:val="0"/>
          <w:numId w:val="1009"/>
        </w:numPr>
        <w:pStyle w:val="Compact"/>
      </w:pPr>
      <w:r>
        <w:t xml:space="preserve">A generalised anxiety scale derived from the Preschool Anxiety Scale (Spence et</w:t>
      </w:r>
      <w:r>
        <w:t xml:space="preserve"> </w:t>
      </w:r>
      <w:r>
        <w:t xml:space="preserve">al., 2001).</w:t>
      </w:r>
    </w:p>
    <w:p>
      <w:pPr>
        <w:numPr>
          <w:ilvl w:val="0"/>
          <w:numId w:val="1009"/>
        </w:numPr>
        <w:pStyle w:val="Compact"/>
      </w:pPr>
      <w:r>
        <w:t xml:space="preserve">An expected-apprehension scale rating the likelihood of the child responding to</w:t>
      </w:r>
      <w:r>
        <w:t xml:space="preserve"> </w:t>
      </w:r>
      <w:r>
        <w:t xml:space="preserve">the robot with apprehension, unease, discomfort, fear, or disinterest (1 = not</w:t>
      </w:r>
      <w:r>
        <w:t xml:space="preserve"> </w:t>
      </w:r>
      <w:r>
        <w:t xml:space="preserve">at all likely to 5 = very likely).</w:t>
      </w:r>
    </w:p>
    <w:p>
      <w:pPr>
        <w:numPr>
          <w:ilvl w:val="0"/>
          <w:numId w:val="1009"/>
        </w:numPr>
        <w:pStyle w:val="Compact"/>
      </w:pPr>
      <w:r>
        <w:t xml:space="preserve">A short inventory of the child’s prior experience with social robots at home</w:t>
      </w:r>
      <w:r>
        <w:t xml:space="preserve"> </w:t>
      </w:r>
      <w:r>
        <w:t xml:space="preserve">(number of devices, time spent, names, and media exposure).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rocedure-end-to-end"/>
      <w:r>
        <w:t xml:space="preserve">5. Procedure, end to end</w:t>
      </w:r>
      <w:bookmarkEnd w:id="35"/>
    </w:p>
    <w:p>
      <w:pPr>
        <w:pStyle w:val="Heading3"/>
      </w:pPr>
      <w:bookmarkStart w:id="36" w:name="before-the-session"/>
      <w:r>
        <w:t xml:space="preserve">5.1 Before the session</w:t>
      </w:r>
      <w:bookmarkEnd w:id="36"/>
    </w:p>
    <w:p>
      <w:pPr>
        <w:numPr>
          <w:ilvl w:val="0"/>
          <w:numId w:val="1010"/>
        </w:numPr>
        <w:pStyle w:val="Compact"/>
      </w:pPr>
      <w:r>
        <w:t xml:space="preserve">Charge the iPad, both laptops, NAO, and the GoPro the night before; pack and</w:t>
      </w:r>
      <w:r>
        <w:t xml:space="preserve"> </w:t>
      </w:r>
      <w:r>
        <w:t xml:space="preserve">check all equipment against the checklist (Appendix; see</w:t>
      </w:r>
      <w:r>
        <w:t xml:space="preserve"> </w:t>
      </w:r>
      <w:r>
        <w:rPr>
          <w:rStyle w:val="VerbatimChar"/>
        </w:rPr>
        <w:t xml:space="preserve">ASD Word Learning   Checklist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Confirm the participant identifier (PID) to be used.</w:t>
      </w:r>
    </w:p>
    <w:p>
      <w:pPr>
        <w:numPr>
          <w:ilvl w:val="0"/>
          <w:numId w:val="1010"/>
        </w:numPr>
        <w:pStyle w:val="Compact"/>
      </w:pPr>
      <w:r>
        <w:t xml:space="preserve">Organise the testing area; test camera placement; open the tablet and confirm</w:t>
      </w:r>
      <w:r>
        <w:t xml:space="preserve"> </w:t>
      </w:r>
      <w:r>
        <w:t xml:space="preserve">the web application is running (Section 3).</w:t>
      </w:r>
    </w:p>
    <w:p>
      <w:pPr>
        <w:numPr>
          <w:ilvl w:val="0"/>
          <w:numId w:val="1010"/>
        </w:numPr>
        <w:pStyle w:val="Compact"/>
      </w:pPr>
      <w:r>
        <w:t xml:space="preserve">Pre-fill the child’s first name on the certificate.</w:t>
      </w:r>
    </w:p>
    <w:p>
      <w:pPr>
        <w:pStyle w:val="Heading3"/>
      </w:pPr>
      <w:bookmarkStart w:id="37" w:name="session-start-and-warm-up"/>
      <w:r>
        <w:t xml:space="preserve">5.2 Session start and warm-up</w:t>
      </w:r>
      <w:bookmarkEnd w:id="37"/>
    </w:p>
    <w:p>
      <w:pPr>
        <w:numPr>
          <w:ilvl w:val="0"/>
          <w:numId w:val="1011"/>
        </w:numPr>
        <w:pStyle w:val="Compact"/>
      </w:pPr>
      <w:r>
        <w:t xml:space="preserve">Power on NAO (press the chest button) and wake it in the control software; on</w:t>
      </w:r>
      <w:r>
        <w:t xml:space="preserve"> </w:t>
      </w:r>
      <w:r>
        <w:t xml:space="preserve">carpet, steady the robot as needed.</w:t>
      </w:r>
    </w:p>
    <w:p>
      <w:pPr>
        <w:numPr>
          <w:ilvl w:val="0"/>
          <w:numId w:val="1011"/>
        </w:numPr>
        <w:pStyle w:val="Compact"/>
      </w:pPr>
      <w:r>
        <w:t xml:space="preserve">Set up and start the GoPro on video mode.</w:t>
      </w:r>
    </w:p>
    <w:p>
      <w:pPr>
        <w:numPr>
          <w:ilvl w:val="0"/>
          <w:numId w:val="1011"/>
        </w:numPr>
        <w:pStyle w:val="Compact"/>
      </w:pPr>
      <w:r>
        <w:t xml:space="preserve">Introduce the child to the robot using the social story (see</w:t>
      </w:r>
      <w:r>
        <w:t xml:space="preserve"> </w:t>
      </w:r>
      <w:r>
        <w:rPr>
          <w:rStyle w:val="VerbatimChar"/>
        </w:rPr>
        <w:t xml:space="preserve">Social Story</w:t>
      </w:r>
      <w:r>
        <w:t xml:space="preserve">) and</w:t>
      </w:r>
      <w:r>
        <w:t xml:space="preserve"> </w:t>
      </w:r>
      <w:r>
        <w:t xml:space="preserve">teach the child the greeting gesture (the</w:t>
      </w:r>
      <w:r>
        <w:t xml:space="preserve"> </w:t>
      </w:r>
      <w:r>
        <w:t xml:space="preserve">“</w:t>
      </w:r>
      <w:r>
        <w:t xml:space="preserve">low five</w:t>
      </w:r>
      <w:r>
        <w:t xml:space="preserve">”</w:t>
      </w:r>
      <w:r>
        <w:t xml:space="preserve"> </w:t>
      </w:r>
      <w:r>
        <w:t xml:space="preserve">/ fist bump).</w:t>
      </w:r>
    </w:p>
    <w:p>
      <w:pPr>
        <w:numPr>
          <w:ilvl w:val="0"/>
          <w:numId w:val="1011"/>
        </w:numPr>
        <w:pStyle w:val="Compact"/>
      </w:pPr>
      <w:r>
        <w:t xml:space="preserve">Seat the child in front of the robot.</w:t>
      </w:r>
    </w:p>
    <w:p>
      <w:pPr>
        <w:pStyle w:val="Heading3"/>
      </w:pPr>
      <w:bookmarkStart w:id="38" w:name="modelling-video"/>
      <w:r>
        <w:t xml:space="preserve">5.3 Modelling video</w:t>
      </w:r>
      <w:bookmarkEnd w:id="38"/>
    </w:p>
    <w:p>
      <w:pPr>
        <w:pStyle w:val="FirstParagraph"/>
      </w:pPr>
      <w:r>
        <w:t xml:space="preserve">Before the live interaction, the child views a short modelling video presenting</w:t>
      </w:r>
      <w:r>
        <w:t xml:space="preserve"> </w:t>
      </w:r>
      <w:r>
        <w:t xml:space="preserve">the sequence of actions to be performed (greeting, joint play with the blocks,</w:t>
      </w:r>
      <w:r>
        <w:t xml:space="preserve"> </w:t>
      </w:r>
      <w:r>
        <w:t xml:space="preserve">and positive affect). The content of the modelling video corresponds to the</w:t>
      </w:r>
      <w:r>
        <w:t xml:space="preserve"> </w:t>
      </w:r>
      <w:r>
        <w:t xml:space="preserve">“</w:t>
      </w:r>
      <w:r>
        <w:t xml:space="preserve">modelling video</w:t>
      </w:r>
      <w:r>
        <w:t xml:space="preserve">”</w:t>
      </w:r>
      <w:r>
        <w:t xml:space="preserve"> </w:t>
      </w:r>
      <w:r>
        <w:t xml:space="preserve">coding outline in Section 6.4.</w:t>
      </w:r>
    </w:p>
    <w:p>
      <w:pPr>
        <w:pStyle w:val="Heading3"/>
      </w:pPr>
      <w:bookmarkStart w:id="39" w:name="live-robot-interaction"/>
      <w:r>
        <w:t xml:space="preserve">5.4 Live robot interaction</w:t>
      </w:r>
      <w:bookmarkEnd w:id="39"/>
    </w:p>
    <w:p>
      <w:pPr>
        <w:pStyle w:val="FirstParagraph"/>
      </w:pPr>
      <w:r>
        <w:t xml:space="preserve">The robot proceeds through three phases: Introduction, Play, and</w:t>
      </w:r>
      <w:r>
        <w:t xml:space="preserve"> </w:t>
      </w:r>
      <w:r>
        <w:t xml:space="preserve">Question-and-Answer. The full verbatim scripts and timing rules are given in</w:t>
      </w:r>
      <w:r>
        <w:t xml:space="preserve"> </w:t>
      </w:r>
      <w:r>
        <w:t xml:space="preserve">Section 6.</w:t>
      </w:r>
    </w:p>
    <w:p>
      <w:pPr>
        <w:pStyle w:val="Heading3"/>
      </w:pPr>
      <w:bookmarkStart w:id="40" w:name="learning-task-storybook"/>
      <w:r>
        <w:t xml:space="preserve">5.5 Learning task (storybook)</w:t>
      </w:r>
      <w:bookmarkEnd w:id="40"/>
    </w:p>
    <w:p>
      <w:pPr>
        <w:pStyle w:val="FirstParagraph"/>
      </w:pPr>
      <w:r>
        <w:t xml:space="preserve">The experimenter presents the tablet and introduces the storybook with the</w:t>
      </w:r>
      <w:r>
        <w:t xml:space="preserve"> </w:t>
      </w:r>
      <w:r>
        <w:t xml:space="preserve">standard preamble (Section 6.3). The robot then narrates the</w:t>
      </w:r>
      <w:r>
        <w:t xml:space="preserve"> </w:t>
      </w:r>
      <w:r>
        <w:t xml:space="preserve">“</w:t>
      </w:r>
      <w:r>
        <w:t xml:space="preserve">Show and Tell</w:t>
      </w:r>
      <w:r>
        <w:t xml:space="preserve">”</w:t>
      </w:r>
      <w:r>
        <w:t xml:space="preserve"> </w:t>
      </w:r>
      <w:r>
        <w:t xml:space="preserve">storybook page-by-page, during which the novel words and their referents are</w:t>
      </w:r>
      <w:r>
        <w:t xml:space="preserve"> </w:t>
      </w:r>
      <w:r>
        <w:t xml:space="preserve">presented.</w:t>
      </w:r>
    </w:p>
    <w:p>
      <w:pPr>
        <w:pStyle w:val="Heading3"/>
      </w:pPr>
      <w:bookmarkStart w:id="41" w:name="novel-word-test"/>
      <w:r>
        <w:t xml:space="preserve">5.6 Novel-word test</w:t>
      </w:r>
      <w:bookmarkEnd w:id="41"/>
    </w:p>
    <w:p>
      <w:pPr>
        <w:pStyle w:val="FirstParagraph"/>
      </w:pPr>
      <w:r>
        <w:t xml:space="preserve">Immediately after the storybook, administer the 12-trial forced-choice</w:t>
      </w:r>
      <w:r>
        <w:t xml:space="preserve"> </w:t>
      </w:r>
      <w:r>
        <w:t xml:space="preserve">recognition test using one of the two counterbalanced trial orders (Section 8).</w:t>
      </w:r>
      <w:r>
        <w:t xml:space="preserve"> </w:t>
      </w:r>
      <w:r>
        <w:t xml:space="preserve">Record responses on the scoring sheet.</w:t>
      </w:r>
    </w:p>
    <w:p>
      <w:pPr>
        <w:pStyle w:val="Heading3"/>
      </w:pPr>
      <w:bookmarkStart w:id="42" w:name="debrief"/>
      <w:r>
        <w:t xml:space="preserve">5.7 Debrief</w:t>
      </w:r>
      <w:bookmarkEnd w:id="42"/>
    </w:p>
    <w:p>
      <w:pPr>
        <w:pStyle w:val="FirstParagraph"/>
      </w:pPr>
      <w:r>
        <w:t xml:space="preserve">Provide the debrief sheet and the completed certificate, and thank the child and</w:t>
      </w:r>
      <w:r>
        <w:t xml:space="preserve"> </w:t>
      </w:r>
      <w:r>
        <w:t xml:space="preserve">caregiver.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robot-scripts-and-timing-verbatim"/>
      <w:r>
        <w:t xml:space="preserve">6. Robot scripts and timing (verbatim)</w:t>
      </w:r>
      <w:bookmarkEnd w:id="43"/>
    </w:p>
    <w:p>
      <w:pPr>
        <w:pStyle w:val="FirstParagraph"/>
      </w:pPr>
      <w:r>
        <w:t xml:space="preserve">The robot’s eyes turn green to cue that it is awaiting a child response. Retain</w:t>
      </w:r>
      <w:r>
        <w:t xml:space="preserve"> </w:t>
      </w:r>
      <w:r>
        <w:t xml:space="preserve">the wording below verbatim. Timing and contingency rules are specified inline.</w:t>
      </w:r>
    </w:p>
    <w:p>
      <w:pPr>
        <w:pStyle w:val="Heading3"/>
      </w:pPr>
      <w:bookmarkStart w:id="44" w:name="introduction"/>
      <w:r>
        <w:t xml:space="preserve">6.1 Introduction</w:t>
      </w:r>
      <w:bookmarkEnd w:id="44"/>
    </w:p>
    <w:p>
      <w:pPr>
        <w:numPr>
          <w:ilvl w:val="0"/>
          <w:numId w:val="1012"/>
        </w:numPr>
        <w:pStyle w:val="Compact"/>
      </w:pPr>
      <w:r>
        <w:rPr>
          <w:i/>
        </w:rPr>
        <w:t xml:space="preserve">Waves, looks at the child’s face.</w:t>
      </w:r>
      <w:r>
        <w:t xml:space="preserve"> </w:t>
      </w:r>
      <w:r>
        <w:t xml:space="preserve">“</w:t>
      </w:r>
      <w:r>
        <w:t xml:space="preserve">Hello, my name is NAO.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What is your name?</w:t>
      </w:r>
      <w:r>
        <w:t xml:space="preserve">”</w:t>
      </w:r>
      <w:r>
        <w:t xml:space="preserve"> </w:t>
      </w:r>
      <w:r>
        <w:rPr>
          <w:i/>
        </w:rPr>
        <w:t xml:space="preserve">(waits for response; eyes green)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Hello, how are you?</w:t>
      </w:r>
      <w:r>
        <w:t xml:space="preserve">”</w:t>
      </w:r>
      <w:r>
        <w:t xml:space="preserve"> </w:t>
      </w:r>
      <w:r>
        <w:rPr>
          <w:i/>
        </w:rPr>
        <w:t xml:space="preserve">(opens arms; waits for response; eyes green)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I am happy to meet you. Can you give me a low five?</w:t>
      </w:r>
      <w:r>
        <w:t xml:space="preserve">”</w:t>
      </w:r>
      <w:r>
        <w:t xml:space="preserve"> </w:t>
      </w:r>
      <w:r>
        <w:rPr>
          <w:i/>
        </w:rPr>
        <w:t xml:space="preserve">(extends hand; waits for</w:t>
      </w:r>
      <w:r>
        <w:rPr>
          <w:i/>
        </w:rPr>
        <w:t xml:space="preserve"> </w:t>
      </w:r>
      <w:r>
        <w:rPr>
          <w:i/>
        </w:rPr>
        <w:t xml:space="preserve">the child to touch the back of the hand)</w:t>
      </w:r>
    </w:p>
    <w:p>
      <w:pPr>
        <w:pStyle w:val="Heading3"/>
      </w:pPr>
      <w:bookmarkStart w:id="45" w:name="play"/>
      <w:r>
        <w:t xml:space="preserve">6.2 Play</w:t>
      </w:r>
      <w:bookmarkEnd w:id="45"/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Let’s play together.</w:t>
      </w:r>
      <w:r>
        <w:t xml:space="preserve">”</w:t>
      </w:r>
      <w:r>
        <w:t xml:space="preserve"> </w:t>
      </w:r>
      <w:r>
        <w:rPr>
          <w:i/>
        </w:rPr>
        <w:t xml:space="preserve">(looks at the blocks to the right; NAO sits down)</w:t>
      </w:r>
    </w:p>
    <w:p>
      <w:pPr>
        <w:numPr>
          <w:ilvl w:val="0"/>
          <w:numId w:val="1013"/>
        </w:numPr>
        <w:pStyle w:val="Compact"/>
      </w:pPr>
      <w:r>
        <w:t xml:space="preserve">NAO points to the blocks:</w:t>
      </w:r>
      <w:r>
        <w:t xml:space="preserve"> </w:t>
      </w:r>
      <w:r>
        <w:t xml:space="preserve">“</w:t>
      </w:r>
      <w:r>
        <w:t xml:space="preserve">Can you help me stack these?</w:t>
      </w:r>
      <w:r>
        <w:t xml:space="preserve">”</w:t>
      </w:r>
      <w:r>
        <w:t xml:space="preserve"> </w:t>
      </w:r>
      <w:r>
        <w:rPr>
          <w:i/>
        </w:rPr>
        <w:t xml:space="preserve">(eyes green; wait for</w:t>
      </w:r>
      <w:r>
        <w:rPr>
          <w:i/>
        </w:rPr>
        <w:t xml:space="preserve"> </w:t>
      </w:r>
      <w:r>
        <w:rPr>
          <w:i/>
        </w:rPr>
        <w:t xml:space="preserve">the child to finish stacking)</w:t>
      </w:r>
    </w:p>
    <w:p>
      <w:pPr>
        <w:numPr>
          <w:ilvl w:val="1"/>
          <w:numId w:val="1014"/>
        </w:numPr>
        <w:pStyle w:val="Compact"/>
      </w:pPr>
      <w:r>
        <w:t xml:space="preserve">If the child does not participate within ~4 seconds:</w:t>
      </w:r>
      <w:r>
        <w:t xml:space="preserve"> </w:t>
      </w:r>
      <w:r>
        <w:t xml:space="preserve">“</w:t>
      </w:r>
      <w:r>
        <w:t xml:space="preserve">Oh, that is okay.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t xml:space="preserve">If the child participates:</w:t>
      </w:r>
      <w:r>
        <w:t xml:space="preserve"> </w:t>
      </w:r>
      <w:r>
        <w:t xml:space="preserve">“</w:t>
      </w:r>
      <w:r>
        <w:t xml:space="preserve">Yay, good job.</w:t>
      </w:r>
      <w:r>
        <w:t xml:space="preserve">”</w:t>
      </w:r>
      <w:r>
        <w:t xml:space="preserve"> </w:t>
      </w:r>
      <w:r>
        <w:rPr>
          <w:i/>
        </w:rPr>
        <w:t xml:space="preserve">(opens arms)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Now can you help me put the blocks in order from your favourite colour to your</w:t>
      </w:r>
      <w:r>
        <w:t xml:space="preserve"> </w:t>
      </w:r>
      <w:r>
        <w:t xml:space="preserve">least favourite?</w:t>
      </w:r>
      <w:r>
        <w:t xml:space="preserve">”</w:t>
      </w:r>
      <w:r>
        <w:t xml:space="preserve"> </w:t>
      </w:r>
      <w:r>
        <w:rPr>
          <w:i/>
        </w:rPr>
        <w:t xml:space="preserve">(waits for response)</w:t>
      </w:r>
    </w:p>
    <w:p>
      <w:pPr>
        <w:numPr>
          <w:ilvl w:val="1"/>
          <w:numId w:val="1015"/>
        </w:numPr>
        <w:pStyle w:val="Compact"/>
      </w:pPr>
      <w:r>
        <w:t xml:space="preserve">If the child does:</w:t>
      </w:r>
      <w:r>
        <w:t xml:space="preserve"> </w:t>
      </w:r>
      <w:r>
        <w:t xml:space="preserve">“</w:t>
      </w:r>
      <w:r>
        <w:t xml:space="preserve">Yay, good job.</w:t>
      </w:r>
      <w:r>
        <w:t xml:space="preserve">”</w:t>
      </w:r>
    </w:p>
    <w:p>
      <w:pPr>
        <w:numPr>
          <w:ilvl w:val="1"/>
          <w:numId w:val="1015"/>
        </w:numPr>
        <w:pStyle w:val="Compact"/>
      </w:pPr>
      <w:r>
        <w:t xml:space="preserve">If the child does not:</w:t>
      </w:r>
      <w:r>
        <w:t xml:space="preserve"> </w:t>
      </w:r>
      <w:r>
        <w:t xml:space="preserve">“</w:t>
      </w:r>
      <w:r>
        <w:t xml:space="preserve">Oh, that is okay.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NAO points to the blocks and gestures behind itself:</w:t>
      </w:r>
      <w:r>
        <w:t xml:space="preserve"> </w:t>
      </w:r>
      <w:r>
        <w:t xml:space="preserve">“</w:t>
      </w:r>
      <w:r>
        <w:t xml:space="preserve">Can you help me put these</w:t>
      </w:r>
      <w:r>
        <w:t xml:space="preserve"> </w:t>
      </w:r>
      <w:r>
        <w:t xml:space="preserve">blocks over here?</w:t>
      </w:r>
      <w:r>
        <w:t xml:space="preserve">”</w:t>
      </w:r>
      <w:r>
        <w:t xml:space="preserve"> </w:t>
      </w:r>
      <w:r>
        <w:rPr>
          <w:i/>
        </w:rPr>
        <w:t xml:space="preserve">(looks at child; eyes green; waits ~20 seconds)</w:t>
      </w:r>
    </w:p>
    <w:p>
      <w:pPr>
        <w:numPr>
          <w:ilvl w:val="1"/>
          <w:numId w:val="1016"/>
        </w:numPr>
        <w:pStyle w:val="Compact"/>
      </w:pPr>
      <w:r>
        <w:t xml:space="preserve">If the child does:</w:t>
      </w:r>
      <w:r>
        <w:t xml:space="preserve"> </w:t>
      </w:r>
      <w:r>
        <w:t xml:space="preserve">“</w:t>
      </w:r>
      <w:r>
        <w:t xml:space="preserve">Yay.</w:t>
      </w:r>
      <w:r>
        <w:t xml:space="preserve">”</w:t>
      </w:r>
      <w:r>
        <w:t xml:space="preserve"> </w:t>
      </w:r>
      <w:r>
        <w:rPr>
          <w:i/>
        </w:rPr>
        <w:t xml:space="preserve">(opens arms)</w:t>
      </w:r>
    </w:p>
    <w:p>
      <w:pPr>
        <w:numPr>
          <w:ilvl w:val="1"/>
          <w:numId w:val="1016"/>
        </w:numPr>
        <w:pStyle w:val="Compact"/>
      </w:pPr>
      <w:r>
        <w:t xml:space="preserve">If the child does not:</w:t>
      </w:r>
      <w:r>
        <w:t xml:space="preserve"> </w:t>
      </w:r>
      <w:r>
        <w:t xml:space="preserve">“</w:t>
      </w:r>
      <w:r>
        <w:t xml:space="preserve">Oh, that is okay.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Thank you for playing with me. I had so much fun.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Let’s low-five.</w:t>
      </w:r>
      <w:r>
        <w:t xml:space="preserve">”</w:t>
      </w:r>
      <w:r>
        <w:t xml:space="preserve"> </w:t>
      </w:r>
      <w:r>
        <w:rPr>
          <w:i/>
        </w:rPr>
        <w:t xml:space="preserve">(extends hand; eyes green)</w:t>
      </w:r>
    </w:p>
    <w:p>
      <w:pPr>
        <w:pStyle w:val="Heading3"/>
      </w:pPr>
      <w:bookmarkStart w:id="46" w:name="question-and-answer"/>
      <w:r>
        <w:t xml:space="preserve">6.3 Question-and-Answer</w:t>
      </w:r>
      <w:bookmarkEnd w:id="46"/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Those blocks were very colourful. What is your favourite colour?</w:t>
      </w:r>
      <w:r>
        <w:t xml:space="preserve">”</w:t>
      </w:r>
      <w:r>
        <w:t xml:space="preserve"> </w:t>
      </w:r>
      <w:r>
        <w:rPr>
          <w:i/>
        </w:rPr>
        <w:t xml:space="preserve">(eyes green;</w:t>
      </w:r>
      <w:r>
        <w:rPr>
          <w:i/>
        </w:rPr>
        <w:t xml:space="preserve"> </w:t>
      </w:r>
      <w:r>
        <w:rPr>
          <w:i/>
        </w:rPr>
        <w:t xml:space="preserve">move on if no response after ~6 seconds)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Wow, can you tell me more about your favourite colour?</w:t>
      </w:r>
      <w:r>
        <w:t xml:space="preserve">”</w:t>
      </w:r>
      <w:r>
        <w:t xml:space="preserve"> </w:t>
      </w:r>
      <w:r>
        <w:rPr>
          <w:i/>
        </w:rPr>
        <w:t xml:space="preserve">(eyes green; move on</w:t>
      </w:r>
      <w:r>
        <w:rPr>
          <w:i/>
        </w:rPr>
        <w:t xml:space="preserve"> </w:t>
      </w:r>
      <w:r>
        <w:rPr>
          <w:i/>
        </w:rPr>
        <w:t xml:space="preserve">after ~6 seconds)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That is very cool.</w:t>
      </w:r>
      <w:r>
        <w:t xml:space="preserve">”</w:t>
      </w:r>
      <w:r>
        <w:t xml:space="preserve"> </w:t>
      </w:r>
      <w:r>
        <w:rPr>
          <w:i/>
        </w:rPr>
        <w:t xml:space="preserve">(opens arms)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What is your favourite game to play?</w:t>
      </w:r>
      <w:r>
        <w:t xml:space="preserve">”</w:t>
      </w:r>
      <w:r>
        <w:t xml:space="preserve"> </w:t>
      </w:r>
      <w:r>
        <w:rPr>
          <w:i/>
        </w:rPr>
        <w:t xml:space="preserve">(eyes green; move on after ~6 seconds)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That sounds fun, can you tell me more about your favourite game?</w:t>
      </w:r>
      <w:r>
        <w:t xml:space="preserve">”</w:t>
      </w:r>
      <w:r>
        <w:t xml:space="preserve"> </w:t>
      </w:r>
      <w:r>
        <w:rPr>
          <w:i/>
        </w:rPr>
        <w:t xml:space="preserve">(eyes green)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That sounds awesome.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I like elephants because they are very big.</w:t>
      </w:r>
      <w:r>
        <w:t xml:space="preserve">”</w:t>
      </w:r>
      <w:r>
        <w:t xml:space="preserve"> </w:t>
      </w:r>
      <w:r>
        <w:rPr>
          <w:i/>
        </w:rPr>
        <w:t xml:space="preserve">(spreads arms wide)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What is your favourite animal and why?</w:t>
      </w:r>
      <w:r>
        <w:t xml:space="preserve">”</w:t>
      </w:r>
      <w:r>
        <w:t xml:space="preserve"> </w:t>
      </w:r>
      <w:r>
        <w:rPr>
          <w:i/>
        </w:rPr>
        <w:t xml:space="preserve">(eyes green; move on after ~6 seconds)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Wow, that is so cool.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I had so much fun talking with you.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Can you give me a low five?</w:t>
      </w:r>
      <w:r>
        <w:t xml:space="preserve">”</w:t>
      </w:r>
      <w:r>
        <w:t xml:space="preserve"> </w:t>
      </w:r>
      <w:r>
        <w:rPr>
          <w:i/>
        </w:rPr>
        <w:t xml:space="preserve">(extends hand; eyes green)</w:t>
      </w:r>
    </w:p>
    <w:p>
      <w:pPr>
        <w:pStyle w:val="Heading3"/>
      </w:pPr>
      <w:bookmarkStart w:id="47" w:name="learning-task-preamble"/>
      <w:r>
        <w:t xml:space="preserve">6.4 Learning-task preamble</w:t>
      </w:r>
      <w:bookmarkEnd w:id="47"/>
    </w:p>
    <w:p>
      <w:pPr>
        <w:numPr>
          <w:ilvl w:val="0"/>
          <w:numId w:val="1018"/>
        </w:numPr>
        <w:pStyle w:val="Compact"/>
      </w:pPr>
      <w:r>
        <w:rPr>
          <w:i/>
        </w:rPr>
        <w:t xml:space="preserve">(Experimenter presents the tablet.)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Now we’re going to listen to a story. The story is going to be read to us on</w:t>
      </w:r>
      <w:r>
        <w:t xml:space="preserve"> </w:t>
      </w:r>
      <w:r>
        <w:t xml:space="preserve">this screen. It’s just like a story book. Let’s pay attention to the pictures on</w:t>
      </w:r>
      <w:r>
        <w:t xml:space="preserve"> </w:t>
      </w:r>
      <w:r>
        <w:t xml:space="preserve">the screen and listen well the whole time.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Are you ready?</w:t>
      </w:r>
      <w:r>
        <w:t xml:space="preserve">”</w:t>
      </w:r>
      <w:r>
        <w:t xml:space="preserve"> </w:t>
      </w:r>
      <w:r>
        <w:rPr>
          <w:i/>
        </w:rPr>
        <w:t xml:space="preserve">(waits ~3 seconds)</w:t>
      </w:r>
      <w:r>
        <w:t xml:space="preserve"> </w:t>
      </w:r>
      <w:r>
        <w:t xml:space="preserve">“</w:t>
      </w:r>
      <w:r>
        <w:t xml:space="preserve">Great! Let’s start.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This story is called Show and Tell.</w:t>
      </w:r>
      <w:r>
        <w:t xml:space="preserve">”</w:t>
      </w:r>
    </w:p>
    <w:p>
      <w:pPr>
        <w:pStyle w:val="Heading3"/>
      </w:pPr>
      <w:bookmarkStart w:id="48" w:name="modelling-video-action-outline"/>
      <w:r>
        <w:t xml:space="preserve">6.5 Modelling-video action outline</w:t>
      </w:r>
      <w:bookmarkEnd w:id="48"/>
    </w:p>
    <w:p>
      <w:pPr>
        <w:pStyle w:val="FirstParagraph"/>
      </w:pPr>
      <w:r>
        <w:t xml:space="preserve">The modelling video depicts the following sequence (used both as the model shown</w:t>
      </w:r>
      <w:r>
        <w:t xml:space="preserve"> </w:t>
      </w:r>
      <w:r>
        <w:t xml:space="preserve">to children and as the reference for fidelity coding):</w:t>
      </w:r>
    </w:p>
    <w:p>
      <w:pPr>
        <w:pStyle w:val="BodyText"/>
      </w:pPr>
      <w:r>
        <w:t xml:space="preserve">The child approaches NAO and sits down in front of it; NAO looks at the child’s</w:t>
      </w:r>
      <w:r>
        <w:t xml:space="preserve"> </w:t>
      </w:r>
      <w:r>
        <w:t xml:space="preserve">face. The child waves and says hello; NAO waves and says,</w:t>
      </w:r>
      <w:r>
        <w:t xml:space="preserve"> </w:t>
      </w:r>
      <w:r>
        <w:t xml:space="preserve">“</w:t>
      </w:r>
      <w:r>
        <w:t xml:space="preserve">Hello, my name is</w:t>
      </w:r>
      <w:r>
        <w:t xml:space="preserve"> </w:t>
      </w:r>
      <w:r>
        <w:t xml:space="preserve">NAO,</w:t>
      </w:r>
      <w:r>
        <w:t xml:space="preserve">”</w:t>
      </w:r>
      <w:r>
        <w:t xml:space="preserve"> </w:t>
      </w:r>
      <w:r>
        <w:t xml:space="preserve">then asks the child’s name and tilts its head. NAO says it is happy to meet</w:t>
      </w:r>
      <w:r>
        <w:t xml:space="preserve"> </w:t>
      </w:r>
      <w:r>
        <w:t xml:space="preserve">the child and offers a fist bump. NAO says,</w:t>
      </w:r>
      <w:r>
        <w:t xml:space="preserve"> </w:t>
      </w:r>
      <w:r>
        <w:t xml:space="preserve">“</w:t>
      </w:r>
      <w:r>
        <w:t xml:space="preserve">Let’s play together,</w:t>
      </w:r>
      <w:r>
        <w:t xml:space="preserve">”</w:t>
      </w:r>
      <w:r>
        <w:t xml:space="preserve"> </w:t>
      </w:r>
      <w:r>
        <w:t xml:space="preserve">points to the</w:t>
      </w:r>
      <w:r>
        <w:t xml:space="preserve"> </w:t>
      </w:r>
      <w:r>
        <w:t xml:space="preserve">blocks, walks two steps over, and sits down. NAO asks,</w:t>
      </w:r>
      <w:r>
        <w:t xml:space="preserve"> </w:t>
      </w:r>
      <w:r>
        <w:t xml:space="preserve">“</w:t>
      </w:r>
      <w:r>
        <w:t xml:space="preserve">Can you help me build a</w:t>
      </w:r>
      <w:r>
        <w:t xml:space="preserve"> </w:t>
      </w:r>
      <w:r>
        <w:t xml:space="preserve">city?</w:t>
      </w:r>
      <w:r>
        <w:t xml:space="preserve">”</w:t>
      </w:r>
      <w:r>
        <w:t xml:space="preserve">; the child stacks the blocks while NAO watches, pushes two blocks</w:t>
      </w:r>
      <w:r>
        <w:t xml:space="preserve"> </w:t>
      </w:r>
      <w:r>
        <w:t xml:space="preserve">together, raises its arms, says</w:t>
      </w:r>
      <w:r>
        <w:t xml:space="preserve"> </w:t>
      </w:r>
      <w:r>
        <w:t xml:space="preserve">“</w:t>
      </w:r>
      <w:r>
        <w:t xml:space="preserve">I am happy,</w:t>
      </w:r>
      <w:r>
        <w:t xml:space="preserve">”</w:t>
      </w:r>
      <w:r>
        <w:t xml:space="preserve"> </w:t>
      </w:r>
      <w:r>
        <w:t xml:space="preserve">and looks at the child.</w:t>
      </w:r>
    </w:p>
    <w:p>
      <w:pPr>
        <w:pStyle w:val="BlockText"/>
      </w:pPr>
      <w:r>
        <w:t xml:space="preserve">Note. Two script variants exist for the live interaction (a greeting using</w:t>
      </w:r>
      <w:r>
        <w:t xml:space="preserve"> </w:t>
      </w:r>
      <w:r>
        <w:t xml:space="preserve">“</w:t>
      </w:r>
      <w:r>
        <w:t xml:space="preserve">How</w:t>
      </w:r>
      <w:r>
        <w:t xml:space="preserve"> </w:t>
      </w:r>
      <w:r>
        <w:t xml:space="preserve">are you?</w:t>
      </w:r>
      <w:r>
        <w:t xml:space="preserve">”</w:t>
      </w:r>
      <w:r>
        <w:t xml:space="preserve"> </w:t>
      </w:r>
      <w:r>
        <w:t xml:space="preserve">with open arms, and a variant using</w:t>
      </w:r>
      <w:r>
        <w:t xml:space="preserve"> </w:t>
      </w:r>
      <w:r>
        <w:t xml:space="preserve">“</w:t>
      </w:r>
      <w:r>
        <w:t xml:space="preserve">Are you feeling good?</w:t>
      </w:r>
      <w:r>
        <w:t xml:space="preserve">”</w:t>
      </w:r>
      <w:r>
        <w:t xml:space="preserve"> </w:t>
      </w:r>
      <w:r>
        <w:t xml:space="preserve">with a</w:t>
      </w:r>
      <w:r>
        <w:t xml:space="preserve"> </w:t>
      </w:r>
      <w:r>
        <w:t xml:space="preserve">thumbs-up;</w:t>
      </w:r>
      <w:r>
        <w:t xml:space="preserve"> </w:t>
      </w:r>
      <w:r>
        <w:t xml:space="preserve">“</w:t>
      </w:r>
      <w:r>
        <w:t xml:space="preserve">build a city</w:t>
      </w:r>
      <w:r>
        <w:t xml:space="preserve">”</w:t>
      </w:r>
      <w:r>
        <w:t xml:space="preserve"> </w:t>
      </w:r>
      <w:r>
        <w:t xml:space="preserve">versus</w:t>
      </w:r>
      <w:r>
        <w:t xml:space="preserve"> </w:t>
      </w:r>
      <w:r>
        <w:t xml:space="preserve">“</w:t>
      </w:r>
      <w:r>
        <w:t xml:space="preserve">stack these</w:t>
      </w:r>
      <w:r>
        <w:t xml:space="preserve">”</w:t>
      </w:r>
      <w:r>
        <w:t xml:space="preserve">). Use one variant consistently</w:t>
      </w:r>
      <w:r>
        <w:t xml:space="preserve"> </w:t>
      </w:r>
      <w:r>
        <w:t xml:space="preserve">across participants and record which variant was used.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engagement-coding"/>
      <w:r>
        <w:t xml:space="preserve">7. Engagement coding</w:t>
      </w:r>
      <w:bookmarkEnd w:id="49"/>
    </w:p>
    <w:p>
      <w:pPr>
        <w:pStyle w:val="FirstParagraph"/>
      </w:pPr>
      <w:r>
        <w:t xml:space="preserve">Engagement is coded offline from the video in fixed 10-second blocks across the</w:t>
      </w:r>
      <w:r>
        <w:t xml:space="preserve"> </w:t>
      </w:r>
      <w:r>
        <w:t xml:space="preserve">interaction phases (introduction and play, question-and-answer, and the</w:t>
      </w:r>
      <w:r>
        <w:t xml:space="preserve"> </w:t>
      </w:r>
      <w:r>
        <w:t xml:space="preserve">after-task segment). The full scheme, anchors, and worked examples are in</w:t>
      </w:r>
      <w:r>
        <w:t xml:space="preserve"> </w:t>
      </w:r>
      <w:r>
        <w:rPr>
          <w:rStyle w:val="VerbatimChar"/>
        </w:rPr>
        <w:t xml:space="preserve">engagement_coding_manual</w:t>
      </w:r>
      <w:r>
        <w:t xml:space="preserve"> </w:t>
      </w:r>
      <w:r>
        <w:t xml:space="preserve">and the source</w:t>
      </w:r>
      <w:r>
        <w:t xml:space="preserve"> </w:t>
      </w:r>
      <w:r>
        <w:rPr>
          <w:rStyle w:val="VerbatimChar"/>
        </w:rPr>
        <w:t xml:space="preserve">Engagement Coding Template</w:t>
      </w:r>
      <w:r>
        <w:t xml:space="preserve">.</w:t>
      </w:r>
    </w:p>
    <w:p>
      <w:pPr>
        <w:pStyle w:val="Heading3"/>
      </w:pPr>
      <w:bookmarkStart w:id="50" w:name="behavioural-channels-each-15"/>
      <w:r>
        <w:t xml:space="preserve">Behavioural channels (each 1–5)</w:t>
      </w:r>
      <w:bookmarkEnd w:id="50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Proxemic engagement</w:t>
      </w:r>
      <w:r>
        <w:t xml:space="preserve"> </w:t>
      </w:r>
      <w:r>
        <w:t xml:space="preserve">— the child’s location in space relative to the robot.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Tactile engagement</w:t>
      </w:r>
      <w:r>
        <w:t xml:space="preserve"> </w:t>
      </w:r>
      <w:r>
        <w:t xml:space="preserve">— physical contact with the robot or task apparatus.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Communicative engagement</w:t>
      </w:r>
      <w:r>
        <w:t xml:space="preserve"> </w:t>
      </w:r>
      <w:r>
        <w:t xml:space="preserve">— verbal and non-verbal communication to or about</w:t>
      </w:r>
      <w:r>
        <w:t xml:space="preserve"> </w:t>
      </w:r>
      <w:r>
        <w:t xml:space="preserve">the robot or task.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Visual engagement</w:t>
      </w:r>
      <w:r>
        <w:t xml:space="preserve"> </w:t>
      </w:r>
      <w:r>
        <w:t xml:space="preserve">— direction of gaze toward the robot or a specified</w:t>
      </w:r>
      <w:r>
        <w:t xml:space="preserve"> </w:t>
      </w:r>
      <w:r>
        <w:t xml:space="preserve">location.</w:t>
      </w:r>
    </w:p>
    <w:p>
      <w:pPr>
        <w:pStyle w:val="FirstParagraph"/>
      </w:pPr>
      <w:r>
        <w:t xml:space="preserve">For each channel, 5 indicates high, sustained engagement and 1 indicates absent,</w:t>
      </w:r>
      <w:r>
        <w:t xml:space="preserve"> </w:t>
      </w:r>
      <w:r>
        <w:t xml:space="preserve">non-compliant, negative, or evasive engagement.</w:t>
      </w:r>
    </w:p>
    <w:p>
      <w:pPr>
        <w:pStyle w:val="Heading3"/>
      </w:pPr>
      <w:bookmarkStart w:id="51" w:name="emotional-engagement-valence-2-to-2"/>
      <w:r>
        <w:t xml:space="preserve">Emotional engagement (valence, −2 to +2)</w:t>
      </w:r>
      <w:bookmarkEnd w:id="51"/>
    </w:p>
    <w:p>
      <w:pPr>
        <w:pStyle w:val="FirstParagraph"/>
      </w:pPr>
      <w:r>
        <w:t xml:space="preserve">Affective valence is scored per block by the highest-magnitude affect present,</w:t>
      </w:r>
      <w:r>
        <w:t xml:space="preserve"> </w:t>
      </w:r>
      <w:r>
        <w:t xml:space="preserve">from +2 (very positive: laughter, open-mouthed smiling) through 0 (neutral) to</w:t>
      </w:r>
      <w:r>
        <w:t xml:space="preserve"> </w:t>
      </w:r>
      <w:r>
        <w:t xml:space="preserve">−2 (very negative: crying, distress). If both strongly positive and strongly</w:t>
      </w:r>
      <w:r>
        <w:t xml:space="preserve"> </w:t>
      </w:r>
      <w:r>
        <w:t xml:space="preserve">negative affect occur in the same block, score 0.</w:t>
      </w:r>
    </w:p>
    <w:p>
      <w:pPr>
        <w:pStyle w:val="Heading3"/>
      </w:pPr>
      <w:bookmarkStart w:id="52" w:name="missing-data-and-cleaning"/>
      <w:r>
        <w:t xml:space="preserve">Missing data and cleaning</w:t>
      </w:r>
      <w:bookmarkEnd w:id="52"/>
    </w:p>
    <w:p>
      <w:pPr>
        <w:numPr>
          <w:ilvl w:val="0"/>
          <w:numId w:val="1020"/>
        </w:numPr>
        <w:pStyle w:val="Compact"/>
      </w:pPr>
      <w:r>
        <w:t xml:space="preserve">A value of</w:t>
      </w:r>
      <w:r>
        <w:t xml:space="preserve"> </w:t>
      </w:r>
      <w:r>
        <w:rPr>
          <w:b/>
        </w:rPr>
        <w:t xml:space="preserve">99</w:t>
      </w:r>
      <w:r>
        <w:t xml:space="preserve"> </w:t>
      </w:r>
      <w:r>
        <w:t xml:space="preserve">denotes a behaviour precluded from being performed or observed</w:t>
      </w:r>
      <w:r>
        <w:t xml:space="preserve"> </w:t>
      </w:r>
      <w:r>
        <w:t xml:space="preserve">(for example, a child instructed not to touch the robot, or a child not visible</w:t>
      </w:r>
      <w:r>
        <w:t xml:space="preserve"> </w:t>
      </w:r>
      <w:r>
        <w:t xml:space="preserve">on the video). The 99 value is treated as missing when aggregate scores are</w:t>
      </w:r>
      <w:r>
        <w:t xml:space="preserve"> </w:t>
      </w:r>
      <w:r>
        <w:t xml:space="preserve">computed.</w:t>
      </w:r>
    </w:p>
    <w:p>
      <w:pPr>
        <w:numPr>
          <w:ilvl w:val="0"/>
          <w:numId w:val="1020"/>
        </w:numPr>
        <w:pStyle w:val="Compact"/>
      </w:pPr>
      <w:r>
        <w:t xml:space="preserve">A segment is excluded where more than</w:t>
      </w:r>
      <w:r>
        <w:t xml:space="preserve"> </w:t>
      </w:r>
      <w:r>
        <w:rPr>
          <w:b/>
        </w:rPr>
        <w:t xml:space="preserve">50% of its intervals are contiguously</w:t>
      </w:r>
      <w:r>
        <w:rPr>
          <w:b/>
        </w:rPr>
        <w:t xml:space="preserve"> </w:t>
      </w:r>
      <w:r>
        <w:rPr>
          <w:b/>
        </w:rPr>
        <w:t xml:space="preserve">missing</w:t>
      </w:r>
      <w:r>
        <w:t xml:space="preserve"> </w:t>
      </w:r>
      <w:r>
        <w:t xml:space="preserve">(the 50%-contiguous-missingness rule).</w:t>
      </w:r>
    </w:p>
    <w:p>
      <w:pPr>
        <w:numPr>
          <w:ilvl w:val="0"/>
          <w:numId w:val="1020"/>
        </w:numPr>
        <w:pStyle w:val="Compact"/>
      </w:pPr>
      <w:r>
        <w:t xml:space="preserve">A second coder independently rates a subset of sessions; the target is</w:t>
      </w:r>
      <w:r>
        <w:t xml:space="preserve"> </w:t>
      </w:r>
      <w:r>
        <w:t xml:space="preserve">approximately 80% agreement.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word-learning-task-and-scoring"/>
      <w:r>
        <w:t xml:space="preserve">8. Word-learning task and scoring</w:t>
      </w:r>
      <w:bookmarkEnd w:id="53"/>
    </w:p>
    <w:p>
      <w:pPr>
        <w:pStyle w:val="Heading3"/>
      </w:pPr>
      <w:bookmarkStart w:id="54" w:name="design"/>
      <w:r>
        <w:t xml:space="preserve">Design</w:t>
      </w:r>
      <w:bookmarkEnd w:id="54"/>
    </w:p>
    <w:p>
      <w:pPr>
        <w:pStyle w:val="FirstParagraph"/>
      </w:pPr>
      <w:r>
        <w:t xml:space="preserve">The child is taught four novel words (e.g.,</w:t>
      </w:r>
      <w:r>
        <w:t xml:space="preserve"> </w:t>
      </w:r>
      <w:r>
        <w:rPr>
          <w:i/>
        </w:rPr>
        <w:t xml:space="preserve">wug</w:t>
      </w:r>
      <w:r>
        <w:t xml:space="preserve">,</w:t>
      </w:r>
      <w:r>
        <w:t xml:space="preserve"> </w:t>
      </w:r>
      <w:r>
        <w:rPr>
          <w:i/>
        </w:rPr>
        <w:t xml:space="preserve">lif</w:t>
      </w:r>
      <w:r>
        <w:t xml:space="preserve">,</w:t>
      </w:r>
      <w:r>
        <w:t xml:space="preserve"> </w:t>
      </w:r>
      <w:r>
        <w:rPr>
          <w:i/>
        </w:rPr>
        <w:t xml:space="preserve">pok</w:t>
      </w:r>
      <w:r>
        <w:t xml:space="preserve">,</w:t>
      </w:r>
      <w:r>
        <w:t xml:space="preserve"> </w:t>
      </w:r>
      <w:r>
        <w:rPr>
          <w:i/>
        </w:rPr>
        <w:t xml:space="preserve">neem</w:t>
      </w:r>
      <w:r>
        <w:t xml:space="preserve">) paired</w:t>
      </w:r>
      <w:r>
        <w:t xml:space="preserve"> </w:t>
      </w:r>
      <w:r>
        <w:t xml:space="preserve">with novel referents within the</w:t>
      </w:r>
      <w:r>
        <w:t xml:space="preserve"> </w:t>
      </w:r>
      <w:r>
        <w:t xml:space="preserve">“</w:t>
      </w:r>
      <w:r>
        <w:t xml:space="preserve">Show and Tell</w:t>
      </w:r>
      <w:r>
        <w:t xml:space="preserve">”</w:t>
      </w:r>
      <w:r>
        <w:t xml:space="preserve"> </w:t>
      </w:r>
      <w:r>
        <w:t xml:space="preserve">storybook, then tested in a</w:t>
      </w:r>
      <w:r>
        <w:t xml:space="preserve"> </w:t>
      </w:r>
      <w:r>
        <w:t xml:space="preserve">two-alternative forced-choice picture task. Two familiar training trials (a known</w:t>
      </w:r>
      <w:r>
        <w:t xml:space="preserve"> </w:t>
      </w:r>
      <w:r>
        <w:t xml:space="preserve">word paired with a foil; e.g.,</w:t>
      </w:r>
      <w:r>
        <w:t xml:space="preserve"> </w:t>
      </w:r>
      <w:r>
        <w:rPr>
          <w:i/>
        </w:rPr>
        <w:t xml:space="preserve">apple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chair</w:t>
      </w:r>
      <w:r>
        <w:t xml:space="preserve">) precede the novel-word test</w:t>
      </w:r>
      <w:r>
        <w:t xml:space="preserve"> </w:t>
      </w:r>
      <w:r>
        <w:t xml:space="preserve">trials to confirm task comprehension.</w:t>
      </w:r>
    </w:p>
    <w:p>
      <w:pPr>
        <w:pStyle w:val="Heading3"/>
      </w:pPr>
      <w:bookmarkStart w:id="55" w:name="test-structure"/>
      <w:r>
        <w:t xml:space="preserve">Test structure</w:t>
      </w:r>
      <w:bookmarkEnd w:id="55"/>
    </w:p>
    <w:p>
      <w:pPr>
        <w:numPr>
          <w:ilvl w:val="0"/>
          <w:numId w:val="1021"/>
        </w:numPr>
        <w:pStyle w:val="Compact"/>
      </w:pPr>
      <w:r>
        <w:t xml:space="preserve">Two training trials followed by twelve novel-word test trials.</w:t>
      </w:r>
    </w:p>
    <w:p>
      <w:pPr>
        <w:numPr>
          <w:ilvl w:val="0"/>
          <w:numId w:val="1021"/>
        </w:numPr>
        <w:pStyle w:val="Compact"/>
      </w:pPr>
      <w:r>
        <w:t xml:space="preserve">On each trial, the target word is named and two pictures are presented; the</w:t>
      </w:r>
      <w:r>
        <w:t xml:space="preserve"> </w:t>
      </w:r>
      <w:r>
        <w:t xml:space="preserve">child selects the referent. The correct side is counterbalanced across trials.</w:t>
      </w:r>
    </w:p>
    <w:p>
      <w:pPr>
        <w:numPr>
          <w:ilvl w:val="0"/>
          <w:numId w:val="1021"/>
        </w:numPr>
        <w:pStyle w:val="Compact"/>
      </w:pPr>
      <w:r>
        <w:t xml:space="preserve">Two fully counterbalanced trial orders (</w:t>
      </w:r>
      <w:r>
        <w:rPr>
          <w:b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B</w:t>
      </w:r>
      <w:r>
        <w:t xml:space="preserve">) are provided so that</w:t>
      </w:r>
      <w:r>
        <w:t xml:space="preserve"> </w:t>
      </w:r>
      <w:r>
        <w:t xml:space="preserve">order and side are balanced across participants. Record which order was</w:t>
      </w:r>
      <w:r>
        <w:t xml:space="preserve"> </w:t>
      </w:r>
      <w:r>
        <w:t xml:space="preserve">administered.</w:t>
      </w:r>
    </w:p>
    <w:p>
      <w:pPr>
        <w:numPr>
          <w:ilvl w:val="0"/>
          <w:numId w:val="1021"/>
        </w:numPr>
        <w:pStyle w:val="Compact"/>
      </w:pPr>
      <w:r>
        <w:t xml:space="preserve">Responses are recorded on the scoring sheet (</w:t>
      </w:r>
      <w:r>
        <w:rPr>
          <w:rStyle w:val="VerbatimChar"/>
        </w:rPr>
        <w:t xml:space="preserve">Scoring Sheet</w:t>
      </w:r>
      <w:r>
        <w:t xml:space="preserve">), which lists, for</w:t>
      </w:r>
      <w:r>
        <w:t xml:space="preserve"> </w:t>
      </w:r>
      <w:r>
        <w:t xml:space="preserve">each trial, the response ID, target word, the two response options, and the</w:t>
      </w:r>
      <w:r>
        <w:t xml:space="preserve"> </w:t>
      </w:r>
      <w:r>
        <w:t xml:space="preserve">correct option.</w:t>
      </w:r>
    </w:p>
    <w:p>
      <w:pPr>
        <w:pStyle w:val="Heading3"/>
      </w:pPr>
      <w:bookmarkStart w:id="56" w:name="scoring-and-inclusion-thresholds"/>
      <w:r>
        <w:t xml:space="preserve">Scoring and inclusion thresholds</w:t>
      </w:r>
      <w:bookmarkEnd w:id="56"/>
    </w:p>
    <w:p>
      <w:pPr>
        <w:numPr>
          <w:ilvl w:val="0"/>
          <w:numId w:val="1022"/>
        </w:numPr>
        <w:pStyle w:val="Compact"/>
      </w:pPr>
      <w:r>
        <w:t xml:space="preserve">Each test trial is scored 1 (correct) or 0 (incorrect); a child’s score is the</w:t>
      </w:r>
      <w:r>
        <w:t xml:space="preserve"> </w:t>
      </w:r>
      <w:r>
        <w:t xml:space="preserve">number of correct responses among valid trials.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Practice rule:</w:t>
      </w:r>
      <w:r>
        <w:t xml:space="preserve"> </w:t>
      </w:r>
      <w:r>
        <w:t xml:space="preserve">a child must have at least one successful practice (training)</w:t>
      </w:r>
      <w:r>
        <w:t xml:space="preserve"> </w:t>
      </w:r>
      <w:r>
        <w:t xml:space="preserve">trial; a child with no successful practice trial is flagged for exclusion.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Test rule:</w:t>
      </w:r>
      <w:r>
        <w:t xml:space="preserve"> </w:t>
      </w:r>
      <w:r>
        <w:t xml:space="preserve">a child must complete a minimum of</w:t>
      </w:r>
      <w:r>
        <w:t xml:space="preserve"> </w:t>
      </w:r>
      <w:r>
        <w:rPr>
          <w:b/>
        </w:rPr>
        <w:t xml:space="preserve">6 valid test trials</w:t>
      </w:r>
      <w:r>
        <w:t xml:space="preserve"> </w:t>
      </w:r>
      <w:r>
        <w:t xml:space="preserve">(50%</w:t>
      </w:r>
      <w:r>
        <w:t xml:space="preserve"> </w:t>
      </w:r>
      <w:r>
        <w:t xml:space="preserve">of the planned 12); fewer than 6 valid trials flags the child for exclusion.</w:t>
      </w:r>
    </w:p>
    <w:p>
      <w:pPr>
        <w:numPr>
          <w:ilvl w:val="0"/>
          <w:numId w:val="1022"/>
        </w:numPr>
        <w:pStyle w:val="Compact"/>
      </w:pPr>
      <w:r>
        <w:t xml:space="preserve">Engagement-based exclusions follow the rules in Section 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appendices-and-linked-materials"/>
      <w:r>
        <w:t xml:space="preserve">9. Appendices and linked materials</w:t>
      </w:r>
      <w:bookmarkEnd w:id="57"/>
    </w:p>
    <w:p>
      <w:pPr>
        <w:pStyle w:val="FirstParagraph"/>
      </w:pPr>
      <w:r>
        <w:t xml:space="preserve">This protocol consolidates the procedure. The following source files are retained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materials/</w:t>
      </w:r>
      <w:r>
        <w:t xml:space="preserve"> </w:t>
      </w:r>
      <w:r>
        <w:t xml:space="preserve">as appendices and reference documents: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Stimuli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stimuli/</w:t>
      </w:r>
      <w:r>
        <w:t xml:space="preserve"> </w:t>
      </w:r>
      <w:r>
        <w:t xml:space="preserve">(storybook and A/B picture-choice arrays).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Engagement coding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engagement_coding_manual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Engagement Coding   Template</w:t>
      </w:r>
      <w:r>
        <w:t xml:space="preserve"> </w:t>
      </w:r>
      <w:r>
        <w:t xml:space="preserve">(full scheme, anchors, worked examples).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Robot scripts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NAO Social Robot Interaction 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NAO play activity   script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NAO coding scheme</w:t>
      </w:r>
      <w:r>
        <w:t xml:space="preserve"> </w:t>
      </w:r>
      <w:r>
        <w:t xml:space="preserve">(source scripts and fidelity outline).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Scoring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Scoring Sheet</w:t>
      </w:r>
      <w:r>
        <w:t xml:space="preserve"> </w:t>
      </w:r>
      <w:r>
        <w:t xml:space="preserve">(both counterbalanced orders).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Caregiver questionnaires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Scale Outline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Measures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Supplementary_Measures_Description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Consent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Informed Consent</w:t>
      </w:r>
      <w:r>
        <w:t xml:space="preserve"> </w:t>
      </w:r>
      <w:r>
        <w:t xml:space="preserve">(blank template).</w:t>
      </w:r>
    </w:p>
    <w:p>
      <w:pPr>
        <w:pStyle w:val="FirstParagraph"/>
      </w:pPr>
      <w:r>
        <w:t xml:space="preserve">The following standalone files are</w:t>
      </w:r>
      <w:r>
        <w:t xml:space="preserve"> </w:t>
      </w:r>
      <w:r>
        <w:rPr>
          <w:b/>
        </w:rPr>
        <w:t xml:space="preserve">superseded</w:t>
      </w:r>
      <w:r>
        <w:t xml:space="preserve"> </w:t>
      </w:r>
      <w:r>
        <w:t xml:space="preserve">by this protocol and may be</w:t>
      </w:r>
      <w:r>
        <w:t xml:space="preserve"> </w:t>
      </w:r>
      <w:r>
        <w:t xml:space="preserve">retired from the public deposit if a single consolidated guide is preferred:</w:t>
      </w:r>
      <w:r>
        <w:t xml:space="preserve"> </w:t>
      </w:r>
      <w:r>
        <w:rPr>
          <w:rStyle w:val="VerbatimChar"/>
        </w:rPr>
        <w:t xml:space="preserve">ASD Word Learning Checklist</w:t>
      </w:r>
      <w:r>
        <w:t xml:space="preserve"> </w:t>
      </w:r>
      <w:r>
        <w:t xml:space="preserve">(equipment and run-day steps, now Sections 2 and</w:t>
      </w:r>
      <w:r>
        <w:t xml:space="preserve"> </w:t>
      </w:r>
      <w:r>
        <w:t xml:space="preserve">5.1), and the recruitment/debrief/Centre Director letters (operational</w:t>
      </w:r>
      <w:r>
        <w:t xml:space="preserve"> </w:t>
      </w:r>
      <w:r>
        <w:t xml:space="preserve">correspondence rather than reproducible method). Retain blank templates only.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ethics-and-ai-use-note"/>
      <w:r>
        <w:t xml:space="preserve">10. Ethics and AI-use note</w:t>
      </w:r>
      <w:bookmarkEnd w:id="58"/>
    </w:p>
    <w:p>
      <w:pPr>
        <w:pStyle w:val="FirstParagraph"/>
      </w:pPr>
      <w:r>
        <w:t xml:space="preserve">The study was approved by the relevant human research ethics committee; approval</w:t>
      </w:r>
      <w:r>
        <w:t xml:space="preserve"> </w:t>
      </w:r>
      <w:r>
        <w:t xml:space="preserve">reference numbers are reported in the manuscript. Any manuscript or output that</w:t>
      </w:r>
      <w:r>
        <w:t xml:space="preserve"> </w:t>
      </w:r>
      <w:r>
        <w:t xml:space="preserve">used generative AI assistance must include the appropriate AI-disclosure</w:t>
      </w:r>
      <w:r>
        <w:t xml:space="preserve"> </w:t>
      </w:r>
      <w:r>
        <w:t xml:space="preserve">statement (see</w:t>
      </w:r>
      <w:r>
        <w:t xml:space="preserve"> </w:t>
      </w:r>
      <w:r>
        <w:rPr>
          <w:rStyle w:val="VerbatimChar"/>
        </w:rPr>
        <w:t xml:space="preserve">ai_use_statement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references"/>
      <w:r>
        <w:t xml:space="preserve">References</w:t>
      </w:r>
      <w:bookmarkEnd w:id="59"/>
    </w:p>
    <w:p>
      <w:pPr>
        <w:pStyle w:val="FirstParagraph"/>
      </w:pPr>
      <w:r>
        <w:t xml:space="preserve">Horst, J. S., &amp; Hout, M. C. (2016). The Novel Object and Unusual Name (NOUN)</w:t>
      </w:r>
      <w:r>
        <w:t xml:space="preserve"> </w:t>
      </w:r>
      <w:r>
        <w:t xml:space="preserve">Database: A collection of novel images for use in experimental research.</w:t>
      </w:r>
      <w:r>
        <w:t xml:space="preserve"> </w:t>
      </w:r>
      <w:r>
        <w:rPr>
          <w:i/>
        </w:rPr>
        <w:t xml:space="preserve">Behavior Research Methods, 48</w:t>
      </w:r>
      <w:r>
        <w:t xml:space="preserve">, 1393–1409.</w:t>
      </w:r>
    </w:p>
    <w:p>
      <w:pPr>
        <w:pStyle w:val="BodyText"/>
      </w:pPr>
      <w:r>
        <w:t xml:space="preserve">Spence, S. H., Rapee, R., McDonald, C., &amp; Ingram, M. (2001). The structure of</w:t>
      </w:r>
      <w:r>
        <w:t xml:space="preserve"> </w:t>
      </w:r>
      <w:r>
        <w:t xml:space="preserve">anxiety symptoms among preschoolers.</w:t>
      </w:r>
      <w:r>
        <w:t xml:space="preserve"> </w:t>
      </w:r>
      <w:r>
        <w:rPr>
          <w:i/>
        </w:rPr>
        <w:t xml:space="preserve">Behaviour Research and Therapy, 39</w:t>
      </w:r>
      <w:r>
        <w:t xml:space="preserve">,</w:t>
      </w:r>
      <w:r>
        <w:t xml:space="preserve"> </w:t>
      </w:r>
      <w:r>
        <w:t xml:space="preserve">1293–1316.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2026-06-12T00:52:37Z</dcterms:created>
  <dcterms:modified xsi:type="dcterms:W3CDTF">2026-06-12T00:52:37Z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