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ngagement-coding-manual"/>
      <w:r>
        <w:t xml:space="preserve">Engagement Coding Manual</w:t>
      </w:r>
      <w:bookmarkEnd w:id="20"/>
    </w:p>
    <w:p>
      <w:pPr>
        <w:pStyle w:val="FirstParagraph"/>
      </w:pPr>
      <w:r>
        <w:rPr>
          <w:i/>
        </w:rPr>
        <w:t xml:space="preserve">Novel Word Learning from Social Robots by Autistic and Non-Autistic Children</w:t>
      </w:r>
    </w:p>
    <w:p>
      <w:pPr>
        <w:pStyle w:val="BodyText"/>
      </w:pPr>
      <w:r>
        <w:t xml:space="preserve">This document summarizes the scheme used to code child engagement from video.</w:t>
      </w:r>
      <w:r>
        <w:t xml:space="preserve"> </w:t>
      </w:r>
      <w:r>
        <w:t xml:space="preserve">The authoritative version is the full coding guide (</w:t>
      </w:r>
      <w:r>
        <w:rPr>
          <w:rStyle w:val="VerbatimChar"/>
        </w:rPr>
        <w:t xml:space="preserve">Engagement Coding Template.docx</w:t>
      </w:r>
      <w:r>
        <w:t xml:space="preserve">) and its accompanying coding spreadsheet, both deposited in this</w:t>
      </w:r>
      <w:r>
        <w:t xml:space="preserve"> </w:t>
      </w:r>
      <w:r>
        <w:t xml:space="preserve">folder. The scheme was adapted from the engagement paradigm used in the authors’</w:t>
      </w:r>
      <w:r>
        <w:t xml:space="preserve"> </w:t>
      </w:r>
      <w:r>
        <w:t xml:space="preserve">prior work. This summary is provided for quick reference and is not a substitute</w:t>
      </w:r>
      <w:r>
        <w:t xml:space="preserve"> </w:t>
      </w:r>
      <w:r>
        <w:t xml:space="preserve">for the full guide and its worked examples.</w:t>
      </w:r>
    </w:p>
    <w:p>
      <w:pPr>
        <w:pStyle w:val="Heading2"/>
      </w:pPr>
      <w:bookmarkStart w:id="21" w:name="unit-of-analysis"/>
      <w:r>
        <w:t xml:space="preserve">Unit of analysis</w:t>
      </w:r>
      <w:bookmarkEnd w:id="21"/>
    </w:p>
    <w:p>
      <w:pPr>
        <w:pStyle w:val="FirstParagraph"/>
      </w:pPr>
      <w:r>
        <w:t xml:space="preserve">Codes are entered for each 10-second block of the robot interaction. Blocks are</w:t>
      </w:r>
      <w:r>
        <w:t xml:space="preserve"> </w:t>
      </w:r>
      <w:r>
        <w:t xml:space="preserve">numbered chronologically from 1 (for example, block 12 covers seconds 111-120).</w:t>
      </w:r>
      <w:r>
        <w:t xml:space="preserve"> </w:t>
      </w:r>
      <w:r>
        <w:t xml:space="preserve">Coding spans three task segments: introduction and playtime, question and</w:t>
      </w:r>
      <w:r>
        <w:t xml:space="preserve"> </w:t>
      </w:r>
      <w:r>
        <w:t xml:space="preserve">answer, and the after-task / goodbye segment, with the start and end of each</w:t>
      </w:r>
      <w:r>
        <w:t xml:space="preserve"> </w:t>
      </w:r>
      <w:r>
        <w:t xml:space="preserve">segment anchored to specific points in the robot’s script.</w:t>
      </w:r>
    </w:p>
    <w:p>
      <w:pPr>
        <w:pStyle w:val="Heading2"/>
      </w:pPr>
      <w:bookmarkStart w:id="22" w:name="missing-data-value-99"/>
      <w:r>
        <w:t xml:space="preserve">Missing-data value (99)</w:t>
      </w:r>
      <w:bookmarkEnd w:id="22"/>
    </w:p>
    <w:p>
      <w:pPr>
        <w:pStyle w:val="FirstParagraph"/>
      </w:pPr>
      <w:r>
        <w:t xml:space="preserve">A value of 99 denotes a behavior that was precluded from being performed or</w:t>
      </w:r>
      <w:r>
        <w:t xml:space="preserve"> </w:t>
      </w:r>
      <w:r>
        <w:t xml:space="preserve">observed, rather than a low score. Examples include a child who was asked not to</w:t>
      </w:r>
      <w:r>
        <w:t xml:space="preserve"> </w:t>
      </w:r>
      <w:r>
        <w:t xml:space="preserve">touch the robot (coded 99 on the tactile channel from that point onward) and a</w:t>
      </w:r>
      <w:r>
        <w:t xml:space="preserve"> </w:t>
      </w:r>
      <w:r>
        <w:t xml:space="preserve">child who is not visible on the video but has not left the room (coded 99 for the</w:t>
      </w:r>
      <w:r>
        <w:t xml:space="preserve"> </w:t>
      </w:r>
      <w:r>
        <w:t xml:space="preserve">affected blocks). The 99 value is treated as missing when aggregate engagement</w:t>
      </w:r>
      <w:r>
        <w:t xml:space="preserve"> </w:t>
      </w:r>
      <w:r>
        <w:t xml:space="preserve">scores are computed. (For the emotional channel, 99 is used only when the child</w:t>
      </w:r>
      <w:r>
        <w:t xml:space="preserve"> </w:t>
      </w:r>
      <w:r>
        <w:t xml:space="preserve">is not visible in frame.)</w:t>
      </w:r>
    </w:p>
    <w:p>
      <w:pPr>
        <w:pStyle w:val="Heading2"/>
      </w:pPr>
      <w:bookmarkStart w:id="23" w:name="behavioral-engagement-channels"/>
      <w:r>
        <w:t xml:space="preserve">Behavioral engagement channels</w:t>
      </w:r>
      <w:bookmarkEnd w:id="23"/>
    </w:p>
    <w:p>
      <w:pPr>
        <w:pStyle w:val="FirstParagraph"/>
      </w:pPr>
      <w:r>
        <w:t xml:space="preserve">Behavioral engagement is coded on four channels, each on a 1 to 5 scale where 5</w:t>
      </w:r>
      <w:r>
        <w:t xml:space="preserve"> </w:t>
      </w:r>
      <w:r>
        <w:t xml:space="preserve">is the highest engagement and 1 indicates absent, non-compliant, negative, or</w:t>
      </w:r>
      <w:r>
        <w:t xml:space="preserve"> </w:t>
      </w:r>
      <w:r>
        <w:t xml:space="preserve">evasive engagement.</w:t>
      </w:r>
    </w:p>
    <w:p>
      <w:pPr>
        <w:pStyle w:val="Heading3"/>
      </w:pPr>
      <w:bookmarkStart w:id="24" w:name="X7336de1c2a8e051f3de9fc6a6e19418cad737a4"/>
      <w:r>
        <w:t xml:space="preserve">Proxemic engagement (where the child is in space relative to the robot)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Touching the robot or right next to it (within ~10 cm).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p>
            <w:pPr>
              <w:pStyle w:val="Compact"/>
              <w:jc w:val="left"/>
            </w:pPr>
            <w:r>
              <w:t xml:space="preserve">Within arm’s length / under 1 m / seated on the pre-designated spot / on caregiver’s lap.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Under 2 m from robot.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Indifferent</w:t>
            </w:r>
          </w:p>
        </w:tc>
        <w:tc>
          <w:p>
            <w:pPr>
              <w:pStyle w:val="Compact"/>
              <w:jc w:val="left"/>
            </w:pPr>
            <w:r>
              <w:t xml:space="preserve">More than ~2 arm’s lengths / metres from robot.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Absent / evasive</w:t>
            </w:r>
          </w:p>
        </w:tc>
        <w:tc>
          <w:p>
            <w:pPr>
              <w:pStyle w:val="Compact"/>
              <w:jc w:val="left"/>
            </w:pPr>
            <w:r>
              <w:t xml:space="preserve">More than ~3 arm’s lengths / metres, leaves the interaction, back turned, behind the robot, or at the back of the room.</w:t>
            </w:r>
          </w:p>
        </w:tc>
      </w:tr>
    </w:tbl>
    <w:p>
      <w:pPr>
        <w:pStyle w:val="BodyText"/>
      </w:pPr>
      <w:r>
        <w:t xml:space="preserve">For each block, code the closest location the child reaches; in rooms shorter</w:t>
      </w:r>
      <w:r>
        <w:t xml:space="preserve"> </w:t>
      </w:r>
      <w:r>
        <w:t xml:space="preserve">than 3 m, scale the distances to the room rather than using absolute metres.</w:t>
      </w:r>
    </w:p>
    <w:p>
      <w:pPr>
        <w:pStyle w:val="Heading3"/>
      </w:pPr>
      <w:bookmarkStart w:id="25" w:name="X8c7e9f5d43c8db45ee4fc343ac945e18dbc46ef"/>
      <w:r>
        <w:t xml:space="preserve">Tactile engagement (physical contact with the robot or task apparatus)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Touches the robot or blocks when relevant for most of the block (~7-10 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p>
            <w:pPr>
              <w:pStyle w:val="Compact"/>
              <w:jc w:val="left"/>
            </w:pPr>
            <w:r>
              <w:t xml:space="preserve">Touches the robot or task when relevant for about half the block (~4-6 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Any touch with the robot or task (≤3 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Absent / evasive</w:t>
            </w:r>
          </w:p>
        </w:tc>
        <w:tc>
          <w:p>
            <w:pPr>
              <w:pStyle w:val="Compact"/>
              <w:jc w:val="left"/>
            </w:pPr>
            <w:r>
              <w:t xml:space="preserve">Does not touch, refuses to touch, leaves the room, or turns away.</w:t>
            </w:r>
          </w:p>
        </w:tc>
      </w:tr>
    </w:tbl>
    <w:p>
      <w:pPr>
        <w:pStyle w:val="BodyText"/>
      </w:pPr>
      <w:r>
        <w:t xml:space="preserve">Left blank for the duration where a child was instructed not to touch the robot</w:t>
      </w:r>
      <w:r>
        <w:t xml:space="preserve"> </w:t>
      </w:r>
      <w:r>
        <w:t xml:space="preserve">(see the 99 rule).</w:t>
      </w:r>
    </w:p>
    <w:p>
      <w:pPr>
        <w:pStyle w:val="Heading3"/>
      </w:pPr>
      <w:bookmarkStart w:id="26" w:name="Xab1ac6bc61154444b93f1948a20dce4d3aa927a"/>
      <w:r>
        <w:t xml:space="preserve">Communicative engagement (verbal or non-verbal communication to or about the robot/task)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Responds promptly/eagerly; frequent vocalisations, imitation, stimming, gestures (~7-10 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p>
            <w:pPr>
              <w:pStyle w:val="Compact"/>
              <w:jc w:val="left"/>
            </w:pPr>
            <w:r>
              <w:t xml:space="preserve">Responds; some vocalisations, imitation, stimming, gestures (~4-6 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Hesitant or occasional response with noticeable delay; infrequent vocalisations/gestures (≤3 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Absent / evasive</w:t>
            </w:r>
          </w:p>
        </w:tc>
        <w:tc>
          <w:p>
            <w:pPr>
              <w:pStyle w:val="Compact"/>
              <w:jc w:val="left"/>
            </w:pPr>
            <w:r>
              <w:t xml:space="preserve">Does not respond or refuses despite prompting; no vocalisations or gestures; turns away or leaves.</w:t>
            </w:r>
          </w:p>
        </w:tc>
      </w:tr>
    </w:tbl>
    <w:p>
      <w:pPr>
        <w:pStyle w:val="BodyText"/>
      </w:pPr>
      <w:r>
        <w:t xml:space="preserve">Communication is expected to vary with the child’s age and diagnosis.</w:t>
      </w:r>
    </w:p>
    <w:p>
      <w:pPr>
        <w:pStyle w:val="Heading3"/>
      </w:pPr>
      <w:bookmarkStart w:id="27" w:name="X2c146fee992bfd4cea317e3026285eb55d0f1ab"/>
      <w:r>
        <w:t xml:space="preserve">Visual engagement (direction of eye gaze, not eye contact)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On-task visual attention for all or most of the block (~7-10 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p>
            <w:pPr>
              <w:pStyle w:val="Compact"/>
              <w:jc w:val="left"/>
            </w:pPr>
            <w:r>
              <w:t xml:space="preserve">On-task visual attention for about half the block (~4-6 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On-task visual attention for some of the block (~2-3 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Absent / evasive</w:t>
            </w:r>
          </w:p>
        </w:tc>
        <w:tc>
          <w:p>
            <w:pPr>
              <w:pStyle w:val="Compact"/>
              <w:jc w:val="left"/>
            </w:pPr>
            <w:r>
              <w:t xml:space="preserve">Back turned on the interaction or leaves the room.</w:t>
            </w:r>
          </w:p>
        </w:tc>
      </w:tr>
    </w:tbl>
    <w:p>
      <w:pPr>
        <w:pStyle w:val="BodyText"/>
      </w:pPr>
      <w:r>
        <w:t xml:space="preserve">Visual engagement concerns whether the child looks toward the robot or to a</w:t>
      </w:r>
      <w:r>
        <w:t xml:space="preserve"> </w:t>
      </w:r>
      <w:r>
        <w:t xml:space="preserve">location specified by the robot or experimenter, not whether the child makes eye</w:t>
      </w:r>
      <w:r>
        <w:t xml:space="preserve"> </w:t>
      </w:r>
      <w:r>
        <w:t xml:space="preserve">contact.</w:t>
      </w:r>
    </w:p>
    <w:p>
      <w:pPr>
        <w:pStyle w:val="Heading2"/>
      </w:pPr>
      <w:bookmarkStart w:id="28" w:name="emotional-engagement-affective-valence"/>
      <w:r>
        <w:t xml:space="preserve">Emotional engagement (affective valence)</w:t>
      </w:r>
      <w:bookmarkEnd w:id="28"/>
    </w:p>
    <w:p>
      <w:pPr>
        <w:pStyle w:val="FirstParagraph"/>
      </w:pPr>
      <w:r>
        <w:t xml:space="preserve">Emotional engagement is coded on a bipolar valence scale. Score each block by the</w:t>
      </w:r>
      <w:r>
        <w:t xml:space="preserve"> </w:t>
      </w:r>
      <w:r>
        <w:t xml:space="preserve">highest-magnitude affect present; if both strongly positive and strongly</w:t>
      </w:r>
      <w:r>
        <w:t xml:space="preserve"> </w:t>
      </w:r>
      <w:r>
        <w:t xml:space="preserve">negative affect occur within the same block, score 0. Use multiple cues (facial</w:t>
      </w:r>
      <w:r>
        <w:t xml:space="preserve"> </w:t>
      </w:r>
      <w:r>
        <w:t xml:space="preserve">expression, tone of voice, speech content, posture, gestures, movement) because</w:t>
      </w:r>
      <w:r>
        <w:t xml:space="preserve"> </w:t>
      </w:r>
      <w:r>
        <w:t xml:space="preserve">the face is not always visible. Use 99 only when the child is out of frame.</w:t>
      </w:r>
      <w:r>
        <w:t xml:space="preserve"> </w:t>
      </w:r>
      <w:r>
        <w:t xml:space="preserve">Stimming may be positively or negatively valenced; use other cues to decide.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p>
            <w:pPr>
              <w:pStyle w:val="Compact"/>
              <w:jc w:val="left"/>
            </w:pPr>
            <w:r>
              <w:t xml:space="preserve">Very positive</w:t>
            </w:r>
          </w:p>
        </w:tc>
        <w:tc>
          <w:p>
            <w:pPr>
              <w:pStyle w:val="Compact"/>
              <w:jc w:val="left"/>
            </w:pPr>
            <w:r>
              <w:t xml:space="preserve">Laughter, squealing, open-mouthed smiling, positive stimming, clapping.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Closed-mouth smiling (mouth turned upward).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Disinterest; looks away or up/down instead of responding.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p>
            <w:pPr>
              <w:pStyle w:val="Compact"/>
              <w:jc w:val="left"/>
            </w:pPr>
            <w:r>
              <w:t xml:space="preserve">Frowning, frequent looks away, hides face, down-turned mouth, anxious stimming.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−2</w:t>
            </w:r>
          </w:p>
        </w:tc>
        <w:tc>
          <w:p>
            <w:pPr>
              <w:pStyle w:val="Compact"/>
              <w:jc w:val="left"/>
            </w:pPr>
            <w:r>
              <w:t xml:space="preserve">Very negative</w:t>
            </w:r>
          </w:p>
        </w:tc>
        <w:tc>
          <w:p>
            <w:pPr>
              <w:pStyle w:val="Compact"/>
              <w:jc w:val="left"/>
            </w:pPr>
            <w:r>
              <w:t xml:space="preserve">Crying, screaming, hiding, aggression/anger.</w:t>
            </w:r>
          </w:p>
        </w:tc>
      </w:tr>
    </w:tbl>
    <w:p>
      <w:pPr>
        <w:pStyle w:val="Heading2"/>
      </w:pPr>
      <w:bookmarkStart w:id="29" w:name="reliability"/>
      <w:r>
        <w:t xml:space="preserve">Reliability</w:t>
      </w:r>
      <w:bookmarkEnd w:id="29"/>
    </w:p>
    <w:p>
      <w:pPr>
        <w:pStyle w:val="FirstParagraph"/>
      </w:pPr>
      <w:r>
        <w:t xml:space="preserve">A second coder independently rated a subset of sessions; the target was roughly</w:t>
      </w:r>
      <w:r>
        <w:t xml:space="preserve"> </w:t>
      </w:r>
      <w:r>
        <w:t xml:space="preserve">80% agreement between coders. The double-coded proportion and the reliability</w:t>
      </w:r>
      <w:r>
        <w:t xml:space="preserve"> </w:t>
      </w:r>
      <w:r>
        <w:t xml:space="preserve">statistic are reported in the manuscript and supplementary materials.</w:t>
      </w:r>
    </w:p>
    <w:p>
      <w:pPr>
        <w:pStyle w:val="Heading2"/>
      </w:pPr>
      <w:bookmarkStart w:id="30" w:name="aggregation-and-cleaning"/>
      <w:r>
        <w:t xml:space="preserve">Aggregation and cleaning</w:t>
      </w:r>
      <w:bookmarkEnd w:id="30"/>
    </w:p>
    <w:p>
      <w:pPr>
        <w:pStyle w:val="FirstParagraph"/>
      </w:pPr>
      <w:r>
        <w:t xml:space="preserve">Block-level codes are aggregated to produce engagement scores, with 99 treated</w:t>
      </w:r>
      <w:r>
        <w:t xml:space="preserve"> </w:t>
      </w:r>
      <w:r>
        <w:t xml:space="preserve">as missing. A segment-level cleaning rule excludes a segment where more than 50%</w:t>
      </w:r>
      <w:r>
        <w:t xml:space="preserve"> </w:t>
      </w:r>
      <w:r>
        <w:t xml:space="preserve">of its intervals are contiguously missing (the 50%-contiguous-missingness rule</w:t>
      </w:r>
      <w:r>
        <w:t xml:space="preserve"> </w:t>
      </w:r>
      <w:r>
        <w:t xml:space="preserve">applied in the analysis pipeline). See the analysis notebook for the exact</w:t>
      </w:r>
      <w:r>
        <w:t xml:space="preserve"> </w:t>
      </w:r>
      <w:r>
        <w:t xml:space="preserve">implementation.</w:t>
      </w:r>
    </w:p>
    <w:p>
      <w:pPr>
        <w:pStyle w:val="Heading2"/>
      </w:pPr>
      <w:bookmarkStart w:id="31" w:name="notes-for-re-use"/>
      <w:r>
        <w:t xml:space="preserve">Notes for re-use</w:t>
      </w:r>
      <w:bookmarkEnd w:id="31"/>
    </w:p>
    <w:p>
      <w:pPr>
        <w:numPr>
          <w:ilvl w:val="0"/>
          <w:numId w:val="1001"/>
        </w:numPr>
        <w:pStyle w:val="Compact"/>
      </w:pPr>
      <w:r>
        <w:t xml:space="preserve">This summary documents the coding scheme only; no participant data are</w:t>
      </w:r>
      <w:r>
        <w:t xml:space="preserve"> </w:t>
      </w:r>
      <w:r>
        <w:t xml:space="preserve">included.</w:t>
      </w:r>
    </w:p>
    <w:p>
      <w:pPr>
        <w:numPr>
          <w:ilvl w:val="0"/>
          <w:numId w:val="1001"/>
        </w:numPr>
        <w:pStyle w:val="Compact"/>
      </w:pPr>
      <w:r>
        <w:t xml:space="preserve">The scheme was adapted from the authors’ prior engagement paradigm; cite that</w:t>
      </w:r>
      <w:r>
        <w:t xml:space="preserve"> </w:t>
      </w:r>
      <w:r>
        <w:t xml:space="preserve">source when re-using.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2026-06-11T23:29:31Z</dcterms:created>
  <dcterms:modified xsi:type="dcterms:W3CDTF">2026-06-11T23:29:31Z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