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spacing w:lineRule="auto" w:line="276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  <w:t>Министерство науки и высшего образования Российской Федерации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Normal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4"/>
        <w:jc w:val="center"/>
        <w:rPr>
          <w:b w:val="false"/>
          <w:b w:val="false"/>
          <w:i/>
          <w:i/>
        </w:rPr>
      </w:pPr>
      <w:r>
        <w:rPr>
          <w:b w:val="false"/>
          <w:bCs w:val="false"/>
          <w:szCs w:val="26"/>
        </w:rPr>
        <w:t xml:space="preserve">Кафедра Высшей математики 1 </w:t>
      </w:r>
    </w:p>
    <w:p>
      <w:pPr>
        <w:pStyle w:val="4"/>
        <w:jc w:val="center"/>
        <w:rPr/>
      </w:pPr>
      <w:r>
        <w:rPr>
          <w:b w:val="false"/>
          <w:sz w:val="28"/>
        </w:rPr>
        <w:t xml:space="preserve"> </w:t>
      </w:r>
    </w:p>
    <w:tbl>
      <w:tblPr>
        <w:tblW w:w="4714" w:type="dxa"/>
        <w:jc w:val="left"/>
        <w:tblInd w:w="521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714"/>
      </w:tblGrid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  <w:t>УтверждЕН</w:t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 заседании кафедры ВМ-1</w:t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«___»_______201__ г., протокол № __</w:t>
            </w:r>
          </w:p>
          <w:p>
            <w:pPr>
              <w:pStyle w:val="Normal"/>
              <w:spacing w:before="12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Заведующий кафедрой ВМ-1 </w:t>
            </w:r>
          </w:p>
          <w:p>
            <w:pPr>
              <w:pStyle w:val="Normal"/>
              <w:spacing w:before="12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___________________</w:t>
            </w:r>
            <w:r>
              <w:rPr>
                <w:color w:val="auto"/>
                <w:sz w:val="24"/>
                <w:szCs w:val="24"/>
              </w:rPr>
              <w:t>Прокофьев А.А.</w:t>
            </w:r>
          </w:p>
          <w:p>
            <w:pPr>
              <w:pStyle w:val="Normal"/>
              <w:jc w:val="center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ФОНД</w:t>
      </w:r>
    </w:p>
    <w:p>
      <w:pPr>
        <w:pStyle w:val="Normal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ОЦЕНОЧНЫХ СРЕДСТВ</w:t>
      </w:r>
    </w:p>
    <w:p>
      <w:pPr>
        <w:pStyle w:val="Normal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pStyle w:val="Normal"/>
        <w:spacing w:lineRule="auto" w:line="276"/>
        <w:jc w:val="both"/>
        <w:rPr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</w:rPr>
        <w:t xml:space="preserve">ПО ПОДКОМПЕТЕНЦИИ </w:t>
      </w:r>
      <w:r>
        <w:rPr>
          <w:b/>
          <w:color w:val="000000"/>
          <w:sz w:val="24"/>
          <w:szCs w:val="24"/>
        </w:rPr>
        <w:t>ОПК-3.ЧМРУрМФ.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jc w:val="both"/>
        <w:rPr>
          <w:bCs/>
          <w:color w:val="000000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КОМПЕТЕНЦИИ </w:t>
      </w:r>
      <w:r>
        <w:rPr>
          <w:b/>
          <w:color w:val="000000"/>
          <w:sz w:val="24"/>
          <w:szCs w:val="24"/>
        </w:rPr>
        <w:t>ОПК-3.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>
      <w:pPr>
        <w:pStyle w:val="Normal"/>
        <w:spacing w:before="120" w:after="120"/>
        <w:jc w:val="both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 xml:space="preserve">Дисциплина </w:t>
      </w:r>
      <w:r>
        <w:rPr>
          <w:color w:val="auto"/>
          <w:sz w:val="24"/>
          <w:szCs w:val="24"/>
          <w:lang w:eastAsia="ru-RU"/>
        </w:rPr>
        <w:t>«</w:t>
      </w:r>
      <w:r>
        <w:rPr>
          <w:b/>
          <w:color w:val="auto"/>
          <w:sz w:val="24"/>
          <w:szCs w:val="24"/>
          <w:lang w:eastAsia="ru-RU"/>
        </w:rPr>
        <w:t>Численные методы уравнений математической физики»</w:t>
      </w:r>
    </w:p>
    <w:p>
      <w:pPr>
        <w:pStyle w:val="Normal"/>
        <w:widowControl w:val="false"/>
        <w:spacing w:lineRule="auto" w:line="276" w:before="0" w:after="0"/>
        <w:ind w:left="709" w:hanging="709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Направление подготовки 01.03.04 «Прикладная математика»</w:t>
      </w:r>
    </w:p>
    <w:p>
      <w:pPr>
        <w:pStyle w:val="Normal"/>
        <w:widowControl w:val="false"/>
        <w:spacing w:lineRule="auto" w:line="276" w:before="0" w:after="0"/>
        <w:ind w:left="709" w:hanging="709"/>
        <w:contextualSpacing/>
        <w:jc w:val="center"/>
        <w:rPr>
          <w:b/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Направленность (профиль) - «Применение математических методов к решению инженерных и естественнонаучных задач»</w:t>
      </w:r>
    </w:p>
    <w:p>
      <w:pPr>
        <w:pStyle w:val="Normal"/>
        <w:spacing w:lineRule="auto" w:line="360"/>
        <w:jc w:val="center"/>
        <w:rPr>
          <w:color w:val="auto"/>
          <w:sz w:val="24"/>
          <w:szCs w:val="26"/>
        </w:rPr>
      </w:pPr>
      <w:r>
        <w:rPr>
          <w:color w:val="auto"/>
          <w:sz w:val="24"/>
          <w:szCs w:val="26"/>
        </w:rPr>
      </w:r>
    </w:p>
    <w:tbl>
      <w:tblPr>
        <w:tblW w:w="9462" w:type="dxa"/>
        <w:jc w:val="left"/>
        <w:tblInd w:w="67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61"/>
        <w:gridCol w:w="4500"/>
      </w:tblGrid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tabs>
                <w:tab w:val="left" w:pos="1665" w:leader="none"/>
              </w:tabs>
              <w:jc w:val="both"/>
              <w:outlineLvl w:val="0"/>
              <w:rPr>
                <w:rFonts w:eastAsia="Calibri" w:cs="" w:cstheme="minorBidi" w:eastAsiaTheme="minorHAnsi"/>
                <w:color w:val="auto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color w:val="auto"/>
                <w:sz w:val="24"/>
                <w:szCs w:val="24"/>
              </w:rPr>
              <w:tab/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Начальник АНОК </w:t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________________ И.М. Никулина</w:t>
            </w:r>
          </w:p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"____" ________ 20 ___ г.</w:t>
            </w:r>
          </w:p>
          <w:p>
            <w:pPr>
              <w:pStyle w:val="Normal"/>
              <w:jc w:val="center"/>
              <w:rPr>
                <w:b/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Москва 2020 </w:t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Style27"/>
        <w:spacing w:lineRule="auto" w:line="276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sz w:val="24"/>
          <w:szCs w:val="24"/>
          <w:lang w:eastAsia="ru-RU"/>
        </w:rPr>
      </w:pPr>
      <w:r>
        <w:rPr>
          <w:b/>
          <w:sz w:val="24"/>
          <w:szCs w:val="24"/>
        </w:rPr>
        <w:t>Компетенция ОПК-3.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>ОПК-3.</w:t>
      </w:r>
      <w:r>
        <w:rPr>
          <w:b/>
          <w:sz w:val="24"/>
          <w:szCs w:val="24"/>
        </w:rPr>
        <w:t>ЧМРУрМФ</w:t>
      </w:r>
      <w:r>
        <w:rPr>
          <w:b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Индикаторы достижения компетенций/подкомпетенций:</w:t>
      </w:r>
      <w:r>
        <w:rPr>
          <w:color w:val="auto"/>
          <w:sz w:val="24"/>
          <w:szCs w:val="24"/>
          <w:u w:val="single"/>
        </w:rPr>
        <w:t xml:space="preserve">  </w:t>
      </w:r>
    </w:p>
    <w:p>
      <w:pPr>
        <w:pStyle w:val="Normal"/>
        <w:spacing w:lineRule="auto" w:line="276"/>
        <w:ind w:firstLine="709"/>
        <w:jc w:val="both"/>
        <w:rPr>
          <w:bCs/>
          <w:color w:val="CCC0D9" w:themeColor="accent4" w:themeTint="66"/>
          <w:sz w:val="24"/>
          <w:szCs w:val="24"/>
          <w:lang w:eastAsia="ru-RU"/>
        </w:rPr>
      </w:pPr>
      <w:r>
        <w:rPr>
          <w:b/>
          <w:i/>
          <w:iCs/>
          <w:color w:val="auto" w:themeTint="66"/>
          <w:sz w:val="24"/>
          <w:szCs w:val="24"/>
          <w:lang w:eastAsia="ru-RU"/>
        </w:rPr>
        <w:t>Знает</w:t>
      </w:r>
      <w:r>
        <w:rPr>
          <w:bCs/>
          <w:color w:val="auto" w:themeTint="66"/>
          <w:sz w:val="24"/>
          <w:szCs w:val="24"/>
          <w:lang w:eastAsia="ru-RU"/>
        </w:rPr>
        <w:t xml:space="preserve"> теоретические основы современных численных методов решения уравнений математической физики.</w:t>
      </w:r>
    </w:p>
    <w:p>
      <w:pPr>
        <w:pStyle w:val="Normal"/>
        <w:spacing w:lineRule="auto" w:line="276"/>
        <w:ind w:firstLine="709"/>
        <w:jc w:val="both"/>
        <w:rPr>
          <w:color w:val="auto"/>
        </w:rPr>
      </w:pPr>
      <w:r>
        <w:rPr>
          <w:b/>
          <w:i/>
          <w:iCs/>
          <w:color w:val="auto" w:themeShade="bf"/>
          <w:sz w:val="24"/>
          <w:szCs w:val="24"/>
          <w:lang w:eastAsia="ru-RU"/>
        </w:rPr>
        <w:t>Умеет</w:t>
      </w:r>
      <w:r>
        <w:rPr>
          <w:bCs/>
          <w:color w:val="auto" w:themeShade="bf"/>
          <w:sz w:val="24"/>
          <w:szCs w:val="24"/>
          <w:lang w:eastAsia="ru-RU"/>
        </w:rPr>
        <w:t xml:space="preserve"> реализовывать </w:t>
      </w:r>
      <w:r>
        <w:rPr>
          <w:bCs/>
          <w:color w:val="auto" w:themeTint="66"/>
          <w:sz w:val="24"/>
          <w:szCs w:val="24"/>
          <w:lang w:eastAsia="ru-RU"/>
        </w:rPr>
        <w:t>современные численные методы решения уравнений математической физики</w:t>
      </w:r>
      <w:r>
        <w:rPr>
          <w:bCs/>
          <w:color w:val="auto" w:themeShade="bf"/>
          <w:sz w:val="24"/>
          <w:szCs w:val="24"/>
          <w:lang w:eastAsia="ru-RU"/>
        </w:rPr>
        <w:t xml:space="preserve"> с помощью аналитических и научных пакетов прикладных программ.</w:t>
      </w:r>
    </w:p>
    <w:p>
      <w:pPr>
        <w:pStyle w:val="Normal"/>
        <w:spacing w:lineRule="auto" w:line="276"/>
        <w:ind w:firstLine="709"/>
        <w:rPr>
          <w:bCs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  <w:t>Имеет опыт</w:t>
      </w:r>
      <w:r>
        <w:rPr>
          <w:bCs/>
          <w:sz w:val="24"/>
          <w:szCs w:val="24"/>
          <w:lang w:eastAsia="ru-RU"/>
        </w:rPr>
        <w:t xml:space="preserve"> моделирования физических процессов.</w:t>
      </w:r>
    </w:p>
    <w:p>
      <w:pPr>
        <w:pStyle w:val="Normal"/>
        <w:spacing w:lineRule="auto" w:line="276"/>
        <w:ind w:firstLine="709"/>
        <w:rPr>
          <w:b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center"/>
        <w:rPr>
          <w:b/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>ПОКАЗАТЕЛИ ОЦЕНИВАНИЯ СФОРМИРОВАННОСТИ КОМПЕТЕНЦИИ</w:t>
      </w:r>
    </w:p>
    <w:p>
      <w:pPr>
        <w:pStyle w:val="Normal"/>
        <w:spacing w:lineRule="auto" w:line="276"/>
        <w:jc w:val="center"/>
        <w:rPr>
          <w:b/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</w:r>
    </w:p>
    <w:tbl>
      <w:tblPr>
        <w:tblW w:w="978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179"/>
        <w:gridCol w:w="4332"/>
        <w:gridCol w:w="2270"/>
      </w:tblGrid>
      <w:tr>
        <w:trPr>
          <w:tblHeader w:val="true"/>
          <w:trHeight w:val="726" w:hRule="atLeast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pStyle w:val="Normal"/>
              <w:jc w:val="center"/>
              <w:rPr>
                <w:rFonts w:eastAsia="Calibri"/>
                <w:bCs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i/>
                <w:color w:val="auto"/>
                <w:sz w:val="24"/>
                <w:szCs w:val="24"/>
              </w:rPr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Показатели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оценки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color w:val="auto"/>
                <w:sz w:val="24"/>
                <w:szCs w:val="24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i/>
                <w:i/>
                <w:color w:val="FF0000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auto"/>
                <w:sz w:val="24"/>
                <w:szCs w:val="24"/>
              </w:rPr>
              <w:t>оценочного средства</w:t>
            </w:r>
          </w:p>
        </w:tc>
      </w:tr>
      <w:tr>
        <w:trPr>
          <w:trHeight w:val="20" w:hRule="atLeast"/>
          <w:cantSplit w:val="true"/>
        </w:trPr>
        <w:tc>
          <w:tcPr>
            <w:tcW w:w="3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both"/>
              <w:rPr>
                <w:color w:val="auto"/>
              </w:rPr>
            </w:pPr>
            <w:r>
              <w:rPr>
                <w:b/>
                <w:i/>
                <w:iCs/>
                <w:color w:val="auto" w:themeTint="66"/>
                <w:sz w:val="24"/>
                <w:szCs w:val="24"/>
                <w:lang w:val="ru-RU" w:eastAsia="ru-RU"/>
              </w:rPr>
              <w:t>Знает</w:t>
            </w:r>
            <w:r>
              <w:rPr>
                <w:bCs/>
                <w:color w:val="auto" w:themeTint="66"/>
                <w:sz w:val="24"/>
                <w:szCs w:val="24"/>
                <w:lang w:val="ru-RU"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eastAsia="Calibri"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 xml:space="preserve">Теоретические вопросы </w:t>
            </w:r>
          </w:p>
        </w:tc>
      </w:tr>
      <w:tr>
        <w:trPr>
          <w:trHeight w:val="1646" w:hRule="atLeast"/>
          <w:cantSplit w:val="true"/>
        </w:trPr>
        <w:tc>
          <w:tcPr>
            <w:tcW w:w="31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  <w:insideH w:val="single" w:sz="4" w:space="0" w:color="000000"/>
              <w:insideV w:val="single" w:sz="4" w:space="0" w:color="00000A"/>
            </w:tcBorders>
            <w:shd w:fill="auto" w:val="clear"/>
          </w:tcPr>
          <w:p>
            <w:pPr>
              <w:pStyle w:val="11"/>
              <w:spacing w:lineRule="auto" w:line="276"/>
              <w:ind w:left="34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/>
                <w:b w:val="false"/>
                <w:bCs w:val="false"/>
                <w:color w:val="auto"/>
                <w:sz w:val="24"/>
                <w:szCs w:val="24"/>
              </w:rPr>
              <w:t>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color w:val="auto"/>
                <w:sz w:val="24"/>
                <w:szCs w:val="24"/>
                <w:highlight w:val="lightGray"/>
              </w:rPr>
            </w:pPr>
            <w:r>
              <w:rPr>
                <w:color w:val="auto"/>
                <w:sz w:val="24"/>
                <w:szCs w:val="24"/>
                <w:highlight w:val="lightGray"/>
              </w:rPr>
            </w:r>
          </w:p>
        </w:tc>
      </w:tr>
      <w:tr>
        <w:trPr>
          <w:trHeight w:val="2670" w:hRule="atLeast"/>
          <w:cantSplit w:val="true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hanging="0"/>
              <w:jc w:val="both"/>
              <w:rPr>
                <w:color w:val="auto"/>
              </w:rPr>
            </w:pPr>
            <w:r>
              <w:rPr>
                <w:b/>
                <w:bCs/>
                <w:i/>
                <w:iCs/>
                <w:color w:val="auto" w:themeShade="bf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 w:themeShade="bf"/>
                <w:sz w:val="24"/>
                <w:szCs w:val="24"/>
                <w:lang w:eastAsia="ru-RU"/>
              </w:rPr>
              <w:t xml:space="preserve"> реализовывать </w:t>
            </w:r>
            <w:r>
              <w:rPr>
                <w:bCs/>
                <w:color w:val="auto" w:themeTint="66"/>
                <w:sz w:val="24"/>
                <w:szCs w:val="24"/>
                <w:lang w:eastAsia="ru-RU"/>
              </w:rPr>
              <w:t>современные численные методы решения уравнений математической физики</w:t>
            </w:r>
            <w:r>
              <w:rPr>
                <w:bCs/>
                <w:color w:val="auto" w:themeShade="bf"/>
                <w:sz w:val="24"/>
                <w:szCs w:val="24"/>
                <w:lang w:eastAsia="ru-RU"/>
              </w:rPr>
              <w:t xml:space="preserve"> с помощью аналитических и научных пакетов прикладных программ.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11"/>
              <w:spacing w:lineRule="auto" w:line="276"/>
              <w:ind w:left="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pStyle w:val="Normal"/>
              <w:spacing w:lineRule="auto" w:line="276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color w:val="auto"/>
                <w:sz w:val="24"/>
                <w:szCs w:val="24"/>
                <w:highlight w:val="lightGray"/>
              </w:rPr>
            </w:pPr>
            <w:r>
              <w:rPr>
                <w:color w:val="auto"/>
                <w:sz w:val="24"/>
                <w:szCs w:val="24"/>
              </w:rPr>
              <w:t xml:space="preserve">Задачи </w:t>
            </w:r>
          </w:p>
        </w:tc>
      </w:tr>
      <w:tr>
        <w:trPr>
          <w:trHeight w:val="1895" w:hRule="atLeast"/>
          <w:cantSplit w:val="true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sz w:val="24"/>
                <w:szCs w:val="24"/>
                <w:lang w:eastAsia="ru-RU"/>
              </w:rPr>
              <w:t>Имеет опыт</w:t>
            </w:r>
            <w:r>
              <w:rPr>
                <w:bCs/>
                <w:sz w:val="24"/>
                <w:szCs w:val="24"/>
                <w:lang w:eastAsia="ru-RU"/>
              </w:rPr>
              <w:t xml:space="preserve"> моделирования физических процессов.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rFonts w:eastAsia="Calibri"/>
                <w:bCs/>
                <w:color w:val="auto" w:themeShade="bf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Практико-ориентированное задание </w:t>
            </w:r>
          </w:p>
        </w:tc>
      </w:tr>
    </w:tbl>
    <w:p>
      <w:pPr>
        <w:pStyle w:val="Normal"/>
        <w:spacing w:lineRule="auto" w:line="276" w:before="0" w:after="200"/>
        <w:ind w:firstLine="799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jc w:val="center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b/>
          <w:b/>
          <w:bCs/>
          <w:iCs/>
          <w:sz w:val="24"/>
          <w:szCs w:val="26"/>
        </w:rPr>
      </w:pPr>
      <w:r>
        <w:rPr>
          <w:b/>
          <w:bCs/>
          <w:iCs/>
          <w:color w:val="auto"/>
          <w:sz w:val="24"/>
          <w:szCs w:val="26"/>
        </w:rPr>
        <w:t>3.1. Теоретические вопросы</w:t>
      </w:r>
    </w:p>
    <w:p>
      <w:pPr>
        <w:pStyle w:val="Style20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/>
          <w:i/>
          <w:szCs w:val="26"/>
        </w:rPr>
      </w:pPr>
      <w:r>
        <w:rPr>
          <w:b/>
          <w:szCs w:val="26"/>
          <w:u w:val="single"/>
        </w:rPr>
        <w:t>3.1.1. Описание типового задания</w:t>
      </w:r>
      <w:r>
        <w:rPr>
          <w:b/>
          <w:szCs w:val="26"/>
        </w:rPr>
        <w:t>:</w:t>
      </w:r>
      <w:r>
        <w:rPr>
          <w:i/>
          <w:szCs w:val="26"/>
        </w:rPr>
        <w:t xml:space="preserve"> </w:t>
      </w:r>
    </w:p>
    <w:p>
      <w:pPr>
        <w:pStyle w:val="Style20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szCs w:val="26"/>
        </w:rPr>
        <w:t>Сформулировать основные теоретические положения (утверждения, определения), относящиеся к содержанию теоретического вопроса</w:t>
      </w:r>
      <w:r>
        <w:rPr>
          <w:i/>
          <w:szCs w:val="26"/>
        </w:rPr>
        <w:t>.</w:t>
      </w:r>
      <w:r>
        <w:rPr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Style20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bCs/>
          <w:iCs/>
        </w:rPr>
      </w:pPr>
      <w:r>
        <w:rPr>
          <w:b/>
          <w:bCs/>
          <w:iCs/>
          <w:sz w:val="24"/>
          <w:szCs w:val="26"/>
        </w:rPr>
        <w:t>Список теоретических вопросов.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>Уточнение по Эйткену.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/>
          <w:sz w:val="24"/>
          <w:szCs w:val="24"/>
        </w:rPr>
        <w:t>-Кутты. Четырехстадийная схема Рунге-Кутты.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/>
          <w:sz w:val="24"/>
          <w:szCs w:val="24"/>
          <w:lang w:val="en-US"/>
        </w:rPr>
        <w:t>t</w:t>
      </w:r>
      <w:r>
        <w:rPr>
          <w:rFonts w:eastAsia="Symbol"/>
          <w:sz w:val="24"/>
          <w:szCs w:val="24"/>
        </w:rPr>
        <w:t>-монотонность. Трудности явных схем.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/>
          <w:sz w:val="24"/>
          <w:szCs w:val="24"/>
          <w:lang w:val="en-US"/>
        </w:rPr>
        <w:t>CROS</w:t>
      </w:r>
      <w:r>
        <w:rPr>
          <w:rFonts w:eastAsia="Symbol"/>
          <w:sz w:val="24"/>
          <w:szCs w:val="24"/>
        </w:rPr>
        <w:t>); точность, устойчивость, монотонность.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Дифференциально-алгебраические системы.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Многомерный перенос: постановка задачи, разностные схемы.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/>
      </w:pPr>
      <w:r>
        <w:rPr>
          <w:rFonts w:eastAsia="Symbol"/>
          <w:sz w:val="24"/>
          <w:szCs w:val="24"/>
        </w:rPr>
        <w:t>Эволюционно-факторизованная схема для многомерного уравнения теплопроводности. Разностные краевые условия.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pStyle w:val="Normal"/>
        <w:spacing w:before="120" w:after="120"/>
        <w:ind w:right="141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pStyle w:val="Normal"/>
        <w:spacing w:lineRule="auto" w:line="276"/>
        <w:ind w:firstLine="851"/>
        <w:jc w:val="both"/>
        <w:rPr>
          <w:b/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>
          <w:b/>
          <w:b/>
          <w:i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pStyle w:val="Normal"/>
        <w:spacing w:lineRule="auto" w:line="276"/>
        <w:ind w:firstLine="851"/>
        <w:jc w:val="both"/>
        <w:rPr>
          <w:i/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Style29"/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/>
        <w:t>личный конспект сдающего экзамен.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3"/>
        <w:gridCol w:w="2551"/>
        <w:gridCol w:w="3267"/>
        <w:gridCol w:w="1551"/>
      </w:tblGrid>
      <w:tr>
        <w:trPr>
          <w:tblHeader w:val="true"/>
          <w:trHeight w:val="1244" w:hRule="atLeast"/>
        </w:trPr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1548" w:hRule="atLeast"/>
        </w:trPr>
        <w:tc>
          <w:tcPr>
            <w:tcW w:w="25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Calibri"/>
                <w:b w:val="false"/>
                <w:bCs w:val="false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544" w:hRule="atLeast"/>
        </w:trPr>
        <w:tc>
          <w:tcPr>
            <w:tcW w:w="25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25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282" w:hRule="atLeast"/>
        </w:trPr>
        <w:tc>
          <w:tcPr>
            <w:tcW w:w="25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ind w:left="34" w:firstLine="709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</w:rPr>
      </w:pPr>
      <w:r>
        <w:rPr>
          <w:b/>
          <w:sz w:val="24"/>
          <w:szCs w:val="26"/>
        </w:rPr>
        <w:t>3.2. Задача</w:t>
      </w:r>
    </w:p>
    <w:p>
      <w:pPr>
        <w:pStyle w:val="Normal"/>
        <w:spacing w:lineRule="auto" w:line="276"/>
        <w:ind w:firstLine="709"/>
        <w:jc w:val="both"/>
        <w:rPr>
          <w:i/>
          <w:i/>
          <w:sz w:val="24"/>
          <w:szCs w:val="26"/>
        </w:rPr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  <w:sz w:val="24"/>
          <w:szCs w:val="26"/>
        </w:rPr>
        <w:t>Пример типового задания.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 xml:space="preserve">. </w:t>
      </w:r>
      <w:r>
        <w:rPr>
          <w:sz w:val="24"/>
          <w:szCs w:val="26"/>
        </w:rPr>
        <w:t>Реализовать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компьютере </w:t>
      </w:r>
      <w:r>
        <w:rPr>
          <w:sz w:val="24"/>
          <w:szCs w:val="24"/>
        </w:rPr>
        <w:t xml:space="preserve">квадратурную формулу Симпсона на основе формулы трапеций с помощью сгущения сетки и формулы уточнения по Ричардсону. </w:t>
      </w:r>
      <w:r>
        <w:rPr>
          <w:sz w:val="24"/>
          <w:szCs w:val="24"/>
        </w:rPr>
        <w:t>На тестовом примере с помощью техники определения эффективного порядка подтвердить 4 порядок аппроксимации.</w:t>
      </w:r>
    </w:p>
    <w:p>
      <w:pPr>
        <w:pStyle w:val="Normal"/>
        <w:spacing w:lineRule="auto" w:line="276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20</w:t>
      </w:r>
      <w:r>
        <w:rPr>
          <w:b w:val="false"/>
          <w:bCs w:val="false"/>
          <w:i w:val="false"/>
          <w:iCs w:val="false"/>
          <w:sz w:val="24"/>
          <w:szCs w:val="26"/>
        </w:rPr>
        <w:t xml:space="preserve"> </w:t>
      </w:r>
      <w:r>
        <w:rPr>
          <w:i w:val="false"/>
          <w:iCs w:val="false"/>
          <w:sz w:val="24"/>
          <w:szCs w:val="26"/>
        </w:rPr>
        <w:t>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Style29"/>
        <w:spacing w:lineRule="auto" w:line="276"/>
        <w:ind w:firstLine="851"/>
        <w:jc w:val="both"/>
        <w:rPr/>
      </w:pPr>
      <w:r>
        <w:rPr>
          <w:b/>
          <w:bCs/>
          <w:iCs/>
          <w:sz w:val="24"/>
          <w:szCs w:val="26"/>
        </w:rPr>
        <w:t xml:space="preserve">Список литературы и информационных источников, доступных во время экзамена: </w:t>
      </w:r>
      <w:r>
        <w:rPr>
          <w:bCs/>
          <w:iCs/>
          <w:sz w:val="24"/>
          <w:szCs w:val="26"/>
        </w:rPr>
        <w:t>личный конспект</w:t>
      </w:r>
      <w:r>
        <w:rPr>
          <w:bCs/>
          <w:i/>
          <w:iCs/>
          <w:sz w:val="24"/>
          <w:szCs w:val="26"/>
        </w:rPr>
        <w:t xml:space="preserve"> </w:t>
      </w:r>
      <w:r>
        <w:rPr>
          <w:bCs/>
          <w:iCs/>
          <w:sz w:val="24"/>
          <w:szCs w:val="26"/>
        </w:rPr>
        <w:t>сдающего экзамен.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30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000"/>
        <w:gridCol w:w="1697"/>
        <w:gridCol w:w="3688"/>
        <w:gridCol w:w="1545"/>
      </w:tblGrid>
      <w:tr>
        <w:trPr>
          <w:tblHeader w:val="true"/>
          <w:trHeight w:val="1244" w:hRule="atLeast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rPr>
          <w:trHeight w:val="557" w:hRule="atLeast"/>
        </w:trPr>
        <w:tc>
          <w:tcPr>
            <w:tcW w:w="3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spacing w:lineRule="auto" w:line="276"/>
              <w:ind w:lef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 студент может объяснить, как она работает и ответить на вопросы по тексту программы.</w:t>
            </w:r>
          </w:p>
        </w:tc>
        <w:tc>
          <w:tcPr>
            <w:tcW w:w="16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/>
            </w:pPr>
            <w:r>
              <w:rPr>
                <w:b w:val="false"/>
                <w:bCs w:val="false"/>
                <w:iCs/>
                <w:sz w:val="24"/>
                <w:szCs w:val="24"/>
              </w:rPr>
              <w:t>Получен верный результат, решение обосновано</w:t>
            </w:r>
            <w:r>
              <w:rPr>
                <w:b w:val="false"/>
                <w:bCs w:val="false"/>
                <w:iCs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30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ind w:left="34" w:firstLine="709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/>
            </w:pPr>
            <w:r>
              <w:rPr>
                <w:b w:val="false"/>
                <w:bCs w:val="false"/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ошибки.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30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ind w:left="34" w:firstLine="709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ошибок.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30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ind w:left="34" w:firstLine="709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В остальных случаях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322" w:hRule="atLeast"/>
        </w:trPr>
        <w:tc>
          <w:tcPr>
            <w:tcW w:w="83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right"/>
              <w:rPr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</w:rPr>
      </w:pPr>
      <w:r>
        <w:rPr>
          <w:b/>
          <w:sz w:val="24"/>
          <w:szCs w:val="26"/>
        </w:rPr>
        <w:t>4.1. Практико-ориентированное задание</w:t>
      </w:r>
    </w:p>
    <w:p>
      <w:pPr>
        <w:pStyle w:val="Normal"/>
        <w:spacing w:lineRule="auto" w:line="276" w:before="120" w:after="0"/>
        <w:ind w:firstLine="709"/>
        <w:jc w:val="both"/>
        <w:rPr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pStyle w:val="Normal"/>
        <w:spacing w:lineRule="auto" w:line="276"/>
        <w:ind w:firstLine="851"/>
        <w:jc w:val="both"/>
        <w:rPr/>
      </w:pPr>
      <w:r>
        <w:rPr>
          <w:sz w:val="24"/>
          <w:szCs w:val="26"/>
        </w:rPr>
        <w:t>Решить задачу встречи пули крупнокалиберного пулемета Никитина-Соколова-Волкова калибром 12.7 мм и вертолета условного противника, летящего в направлении стреляющего со скоростью 50 м/c с курсовым параметром 200м на высоте 200м. Дальность обнаружения (наклонная) — 3 км.</w:t>
      </w:r>
    </w:p>
    <w:p>
      <w:pPr>
        <w:pStyle w:val="Normal"/>
        <w:spacing w:lineRule="auto" w:line="276" w:before="120" w:after="0"/>
        <w:ind w:firstLine="851"/>
        <w:rPr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Style29"/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экзамен, методический материал к лабораторной работе №13.</w:t>
      </w:r>
    </w:p>
    <w:p>
      <w:pPr>
        <w:pStyle w:val="Normal"/>
        <w:rPr/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pStyle w:val="Normal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325"/>
        <w:gridCol w:w="2127"/>
        <w:gridCol w:w="3924"/>
        <w:gridCol w:w="1546"/>
      </w:tblGrid>
      <w:tr>
        <w:trPr>
          <w:tblHeader w:val="true"/>
          <w:trHeight w:val="124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641" w:hRule="atLeast"/>
        </w:trPr>
        <w:tc>
          <w:tcPr>
            <w:tcW w:w="23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 w:themeShade="bf"/>
              </w:rPr>
            </w:pPr>
            <w:r>
              <w:rPr>
                <w:rFonts w:eastAsia="Calibri"/>
                <w:bCs/>
                <w:color w:val="auto" w:themeShade="bf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rPr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trHeight w:val="726" w:hRule="atLeast"/>
        </w:trPr>
        <w:tc>
          <w:tcPr>
            <w:tcW w:w="232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12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726" w:hRule="atLeast"/>
        </w:trPr>
        <w:tc>
          <w:tcPr>
            <w:tcW w:w="232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12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232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ind w:left="34" w:firstLine="709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12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1"/>
              <w:tabs>
                <w:tab w:val="left" w:pos="258" w:leader="none"/>
              </w:tabs>
              <w:ind w:left="33" w:hanging="0"/>
              <w:rPr>
                <w:b w:val="false"/>
                <w:b w:val="false"/>
                <w:bCs w:val="false"/>
              </w:rPr>
            </w:pPr>
            <w:bookmarkStart w:id="0" w:name="__DdeLink__470_4105078664"/>
            <w:r>
              <w:rPr>
                <w:b w:val="false"/>
                <w:bCs w:val="false"/>
                <w:sz w:val="24"/>
                <w:szCs w:val="24"/>
              </w:rPr>
              <w:t>В остальных случаях</w:t>
            </w:r>
            <w:bookmarkEnd w:id="0"/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83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11"/>
              <w:tabs>
                <w:tab w:val="left" w:pos="258" w:leader="none"/>
              </w:tabs>
              <w:ind w:left="33" w:firstLine="709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0 - 12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</w:r>
    </w:p>
    <w:p>
      <w:pPr>
        <w:pStyle w:val="Normal"/>
        <w:spacing w:lineRule="auto" w:line="276" w:before="120" w:after="120"/>
        <w:jc w:val="center"/>
        <w:rPr>
          <w:b/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pStyle w:val="Normal"/>
        <w:spacing w:lineRule="auto" w:line="276" w:before="240" w:after="120"/>
        <w:jc w:val="center"/>
        <w:rPr>
          <w:i/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pStyle w:val="Normal"/>
        <w:spacing w:lineRule="auto" w:line="276" w:before="120" w:after="120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851" w:gutter="0"/>
      <w:pgNumType w:fmt="decimal"/>
      <w:formProt w:val="false"/>
      <w:titlePg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sz w:val="24"/>
        <w:i w:val="false"/>
        <w:b w:val="false"/>
        <w:szCs w:val="24"/>
        <w:rFonts w:eastAsia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en-US" w:bidi="ar-SA"/>
    </w:rPr>
  </w:style>
  <w:style w:type="paragraph" w:styleId="3">
    <w:name w:val="Heading 3"/>
    <w:basedOn w:val="Normal"/>
    <w:link w:val="31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4">
    <w:name w:val="Heading 4"/>
    <w:basedOn w:val="Normal"/>
    <w:link w:val="41"/>
    <w:qFormat/>
    <w:pPr>
      <w:keepNext w:val="true"/>
      <w:outlineLvl w:val="3"/>
    </w:pPr>
    <w:rPr>
      <w:b/>
      <w:bCs/>
      <w:sz w:val="24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Style12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31" w:customStyle="1">
    <w:name w:val="Заголовок 3 Знак1"/>
    <w:basedOn w:val="DefaultParagraphFont"/>
    <w:link w:val="3"/>
    <w:qFormat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41" w:customStyle="1">
    <w:name w:val="Заголовок 4 Знак1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3" w:customStyle="1">
    <w:name w:val="Схема документа Знак"/>
    <w:basedOn w:val="DefaultParagraphFon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5" w:customStyle="1">
    <w:name w:val="Тема примечания Знак"/>
    <w:basedOn w:val="Style14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6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7" w:customStyle="1">
    <w:name w:val="Верхний колонтитул Знак"/>
    <w:basedOn w:val="DefaultParagraphFont"/>
    <w:link w:val="1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8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</w:rPr>
  </w:style>
  <w:style w:type="character" w:styleId="1" w:customStyle="1">
    <w:name w:val="Заголовок №1_"/>
    <w:link w:val="30"/>
    <w:qFormat/>
    <w:locked/>
    <w:rPr>
      <w:sz w:val="23"/>
      <w:szCs w:val="23"/>
      <w:shd w:fill="FFFFFF" w:val="clear"/>
    </w:rPr>
  </w:style>
  <w:style w:type="character" w:styleId="2" w:customStyle="1">
    <w:name w:val="Основной текст 2 Знак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32" w:customStyle="1">
    <w:name w:val="Заголовок 3 Знак"/>
    <w:basedOn w:val="DefaultParagraphFont"/>
    <w:link w:val="10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WW8Num2z0" w:customStyle="1">
    <w:name w:val="WW8Num2z0"/>
    <w:qFormat/>
    <w:rPr>
      <w:rFonts w:ascii="Times New Roman" w:hAnsi="Times New Roman" w:eastAsia="Symbol" w:cs="Times New Roman"/>
      <w:b w:val="false"/>
      <w:i w:val="false"/>
      <w:sz w:val="24"/>
      <w:szCs w:val="24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ListLabel4" w:customStyle="1">
    <w:name w:val="ListLabel 4"/>
    <w:qFormat/>
    <w:rPr>
      <w:rFonts w:eastAsia="Symbol" w:cs="Times New Roman"/>
      <w:b w:val="false"/>
      <w:i w:val="false"/>
      <w:sz w:val="24"/>
      <w:szCs w:val="24"/>
    </w:rPr>
  </w:style>
  <w:style w:type="character" w:styleId="ListLabel5" w:customStyle="1">
    <w:name w:val="ListLabel 5"/>
    <w:qFormat/>
    <w:rPr>
      <w:rFonts w:eastAsia="Symbol" w:cs="Times New Roman"/>
      <w:b w:val="false"/>
      <w:i w:val="false"/>
      <w:sz w:val="24"/>
      <w:szCs w:val="24"/>
    </w:rPr>
  </w:style>
  <w:style w:type="character" w:styleId="ListLabel6" w:customStyle="1">
    <w:name w:val="ListLabel 6"/>
    <w:qFormat/>
    <w:rPr>
      <w:rFonts w:eastAsia="Symbol" w:cs="Times New Roman"/>
      <w:b w:val="false"/>
      <w:i w:val="false"/>
      <w:sz w:val="24"/>
      <w:szCs w:val="24"/>
    </w:rPr>
  </w:style>
  <w:style w:type="character" w:styleId="ListLabel7" w:customStyle="1">
    <w:name w:val="ListLabel 7"/>
    <w:qFormat/>
    <w:rPr>
      <w:rFonts w:eastAsia="Symbol" w:cs="Times New Roman"/>
      <w:b w:val="false"/>
      <w:i w:val="false"/>
      <w:sz w:val="24"/>
      <w:szCs w:val="24"/>
    </w:rPr>
  </w:style>
  <w:style w:type="character" w:styleId="ListLabel8" w:customStyle="1">
    <w:name w:val="ListLabel 8"/>
    <w:qFormat/>
    <w:rPr>
      <w:rFonts w:eastAsia="Symbol" w:cs="Times New Roman"/>
      <w:b w:val="false"/>
      <w:i w:val="false"/>
      <w:sz w:val="24"/>
      <w:szCs w:val="24"/>
    </w:rPr>
  </w:style>
  <w:style w:type="character" w:styleId="ListLabel9">
    <w:name w:val="ListLabel 9"/>
    <w:qFormat/>
    <w:rPr>
      <w:rFonts w:eastAsia="Symbol" w:cs="Times New Roman"/>
      <w:b w:val="false"/>
      <w:i w:val="false"/>
      <w:sz w:val="24"/>
      <w:szCs w:val="24"/>
    </w:rPr>
  </w:style>
  <w:style w:type="character" w:styleId="ListLabel10">
    <w:name w:val="ListLabel 10"/>
    <w:qFormat/>
    <w:rPr>
      <w:rFonts w:eastAsia="Symbol" w:cs="Times New Roman"/>
      <w:b w:val="false"/>
      <w:i w:val="false"/>
      <w:sz w:val="24"/>
      <w:szCs w:val="24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jc w:val="center"/>
    </w:pPr>
    <w:rPr>
      <w:sz w:val="24"/>
    </w:rPr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uiPriority w:val="99"/>
    <w:unhideWhenUsed/>
    <w:qFormat/>
    <w:pPr>
      <w:spacing w:lineRule="auto" w:line="480" w:before="0" w:after="120"/>
    </w:pPr>
    <w:rPr/>
  </w:style>
  <w:style w:type="paragraph" w:styleId="Annotationtext">
    <w:name w:val="annotation text"/>
    <w:basedOn w:val="Normal"/>
    <w:uiPriority w:val="99"/>
    <w:unhideWhenUsed/>
    <w:qFormat/>
    <w:pPr/>
    <w:rPr/>
  </w:style>
  <w:style w:type="paragraph" w:styleId="Annotationsubject">
    <w:name w:val="annotation subject"/>
    <w:basedOn w:val="Annotationtext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5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11" w:customStyle="1">
    <w:name w:val="Абзац списка1"/>
    <w:basedOn w:val="Normal"/>
    <w:link w:val="aa"/>
    <w:uiPriority w:val="34"/>
    <w:qFormat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styleId="Style27" w:customStyle="1">
    <w:name w:val="По центру"/>
    <w:basedOn w:val="Normal"/>
    <w:qFormat/>
    <w:pPr>
      <w:spacing w:lineRule="auto" w:line="360"/>
      <w:jc w:val="center"/>
    </w:pPr>
    <w:rPr>
      <w:sz w:val="26"/>
      <w:lang w:eastAsia="ru-RU"/>
    </w:rPr>
  </w:style>
  <w:style w:type="paragraph" w:styleId="Style28" w:customStyle="1">
    <w:name w:val="Форма для подписи"/>
    <w:basedOn w:val="Normal"/>
    <w:qFormat/>
    <w:pPr>
      <w:ind w:left="567" w:hanging="0"/>
    </w:pPr>
    <w:rPr>
      <w:sz w:val="26"/>
      <w:szCs w:val="24"/>
      <w:lang w:eastAsia="ru-RU"/>
    </w:rPr>
  </w:style>
  <w:style w:type="paragraph" w:styleId="12" w:customStyle="1">
    <w:name w:val="Заголовок №1"/>
    <w:basedOn w:val="Normal"/>
    <w:qFormat/>
    <w:pPr>
      <w:shd w:val="clear" w:color="auto" w:fill="FFFFFF"/>
      <w:spacing w:lineRule="exact" w:line="277" w:before="0" w:after="180"/>
      <w:outlineLvl w:val="0"/>
    </w:pPr>
    <w:rPr>
      <w:rFonts w:ascii="Calibri" w:hAnsi="Calibri" w:eastAsia="Calibri" w:cs="" w:asciiTheme="minorHAnsi" w:cstheme="minorBidi" w:eastAsiaTheme="minorHAnsi" w:hAnsiTheme="minorHAnsi"/>
      <w:sz w:val="23"/>
      <w:szCs w:val="23"/>
    </w:rPr>
  </w:style>
  <w:style w:type="paragraph" w:styleId="Style29" w:customStyle="1">
    <w:name w:val="Марк_СМ"/>
    <w:basedOn w:val="Normal"/>
    <w:qFormat/>
    <w:pPr>
      <w:spacing w:lineRule="auto" w:line="276" w:before="0" w:after="120"/>
      <w:contextualSpacing/>
      <w:jc w:val="both"/>
    </w:pPr>
    <w:rPr>
      <w:sz w:val="24"/>
      <w:szCs w:val="28"/>
      <w:lang w:eastAsia="ru-RU"/>
    </w:rPr>
  </w:style>
  <w:style w:type="paragraph" w:styleId="13" w:customStyle="1">
    <w:name w:val="Обычный1"/>
    <w:qFormat/>
    <w:pPr>
      <w:widowControl w:val="false"/>
      <w:bidi w:val="0"/>
      <w:ind w:firstLine="709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Style30" w:customStyle="1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30"/>
    <w:qFormat/>
    <w:pPr/>
    <w:rPr/>
  </w:style>
  <w:style w:type="paragraph" w:styleId="ListParagraph">
    <w:name w:val="List Paragraph"/>
    <w:basedOn w:val="Normal"/>
    <w:uiPriority w:val="99"/>
    <w:qFormat/>
    <w:rsid w:val="00c33d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LibreOffice/6.0.7.3$Linux_X86_64 LibreOffice_project/00m0$Build-3</Application>
  <Pages>7</Pages>
  <Words>1323</Words>
  <Characters>10187</Characters>
  <CharactersWithSpaces>11360</CharactersWithSpaces>
  <Paragraphs>171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2019-11-08T15:25:00Z</dcterms:created>
  <dc:creator>oper_ira</dc:creator>
  <dc:description/>
  <dc:language>ru-RU</dc:language>
  <cp:lastModifiedBy/>
  <cp:lastPrinted>2019-07-04T20:05:00Z</cp:lastPrinted>
  <dcterms:modified xsi:type="dcterms:W3CDTF">2021-04-26T11:49:06Z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