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spacing w:lineRule="auto" w:line="276"/>
        <w:rPr>
          <w:sz w:val="22"/>
          <w:szCs w:val="22"/>
          <w:highlight w:val="white"/>
        </w:rPr>
      </w:pPr>
      <w:r>
        <w:rPr>
          <w:sz w:val="22"/>
          <w:szCs w:val="22"/>
          <w:shd w:fill="FFFFFF" w:val="clear"/>
        </w:rPr>
        <w:t>Министерство науки и высшего образования Российской Федерации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Normal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4"/>
        <w:jc w:val="center"/>
        <w:rPr>
          <w:b w:val="false"/>
          <w:b w:val="false"/>
          <w:i/>
          <w:i/>
        </w:rPr>
      </w:pPr>
      <w:r>
        <w:rPr>
          <w:b w:val="false"/>
          <w:bCs w:val="false"/>
          <w:szCs w:val="26"/>
        </w:rPr>
        <w:t xml:space="preserve">Кафедра Высшей математики 1 </w:t>
      </w:r>
    </w:p>
    <w:p>
      <w:pPr>
        <w:pStyle w:val="4"/>
        <w:jc w:val="center"/>
        <w:rPr/>
      </w:pPr>
      <w:r>
        <w:rPr>
          <w:b w:val="false"/>
          <w:sz w:val="28"/>
        </w:rPr>
        <w:t xml:space="preserve">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16"/>
        <w:tblW w:w="4714" w:type="dxa"/>
        <w:jc w:val="left"/>
        <w:tblInd w:w="521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</w:tblGrid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УтверждЕН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кафедры</w:t>
            </w:r>
            <w:r>
              <w:rPr>
                <w:szCs w:val="26"/>
              </w:rPr>
              <w:t xml:space="preserve"> ВМ-1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«___»_______201__ г., протокол № __</w:t>
            </w:r>
          </w:p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ВМ-1 Прокофьев А.А.</w:t>
            </w:r>
          </w:p>
          <w:p>
            <w:pPr>
              <w:pStyle w:val="Normal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ФОНД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ОЦЕНОЧНЫХ СРЕДСТВ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t xml:space="preserve">ПО ПОДКОМПЕТЕНЦИИ </w:t>
      </w:r>
      <w:r>
        <w:rPr>
          <w:bCs/>
          <w:color w:val="00000A"/>
          <w:sz w:val="24"/>
          <w:szCs w:val="24"/>
        </w:rPr>
        <w:t>ОПК-3.ЧМРУрМФ.</w:t>
      </w:r>
      <w:r>
        <w:rPr>
          <w:bCs/>
          <w:color w:val="FF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color w:val="00000A"/>
          <w:sz w:val="24"/>
          <w:szCs w:val="24"/>
        </w:rPr>
        <w:t xml:space="preserve">КОМПЕТЕНЦИИ </w:t>
      </w:r>
      <w:r>
        <w:rPr>
          <w:bCs/>
          <w:color w:val="00000A"/>
          <w:sz w:val="24"/>
          <w:szCs w:val="24"/>
        </w:rPr>
        <w:t xml:space="preserve">ОПК-3.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Normal"/>
        <w:spacing w:before="120" w:after="12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</w:r>
    </w:p>
    <w:p>
      <w:pPr>
        <w:pStyle w:val="Normal"/>
        <w:spacing w:before="120" w:after="1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Style27"/>
        <w:rPr/>
      </w:pPr>
      <w:r>
        <w:rPr>
          <w:b/>
          <w:sz w:val="26"/>
          <w:szCs w:val="26"/>
        </w:rPr>
        <w:t xml:space="preserve">Дисциплина </w:t>
      </w:r>
      <w:r>
        <w:rPr>
          <w:sz w:val="26"/>
          <w:szCs w:val="26"/>
        </w:rPr>
        <w:t>«</w:t>
      </w:r>
      <w:r>
        <w:rPr>
          <w:b/>
          <w:sz w:val="26"/>
          <w:szCs w:val="26"/>
        </w:rPr>
        <w:t>Численные  методы  решения  уравнений  математической  физики»</w:t>
      </w:r>
    </w:p>
    <w:p>
      <w:pPr>
        <w:pStyle w:val="Style2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- </w:t>
      </w:r>
      <w:r>
        <w:rPr>
          <w:color w:val="000000"/>
          <w:sz w:val="24"/>
          <w:szCs w:val="24"/>
        </w:rPr>
        <w:t>01.03.04. «</w:t>
      </w:r>
      <w:r>
        <w:rPr>
          <w:b w:val="false"/>
          <w:bCs/>
          <w:sz w:val="24"/>
          <w:szCs w:val="24"/>
        </w:rPr>
        <w:t>Прикладная математика</w:t>
      </w:r>
      <w:r>
        <w:rPr>
          <w:sz w:val="24"/>
          <w:szCs w:val="24"/>
        </w:rPr>
        <w:t>»</w:t>
      </w:r>
    </w:p>
    <w:p>
      <w:pPr>
        <w:pStyle w:val="13"/>
        <w:spacing w:lineRule="auto" w:line="276" w:before="0" w:after="0"/>
        <w:ind w:left="709" w:hanging="709"/>
        <w:contextualSpacing/>
        <w:jc w:val="center"/>
        <w:rPr/>
      </w:pPr>
      <w:r>
        <w:rPr>
          <w:lang w:val="ru-RU"/>
        </w:rPr>
        <w:t>Профиль - «</w:t>
      </w:r>
      <w:r>
        <w:rPr>
          <w:b w:val="false"/>
          <w:bCs/>
          <w:sz w:val="26"/>
          <w:szCs w:val="26"/>
        </w:rPr>
        <w:t>Применение математических методов к решению инженерных и естественнонаучных задач</w:t>
      </w:r>
      <w:r>
        <w:rPr>
          <w:lang w:val="ru-RU"/>
        </w:rPr>
        <w:t>»</w:t>
      </w:r>
    </w:p>
    <w:p>
      <w:pPr>
        <w:pStyle w:val="Normal"/>
        <w:spacing w:lineRule="auto" w:line="360"/>
        <w:jc w:val="center"/>
        <w:rPr>
          <w:sz w:val="24"/>
          <w:szCs w:val="26"/>
        </w:rPr>
      </w:pPr>
      <w:r>
        <w:rPr>
          <w:sz w:val="24"/>
          <w:szCs w:val="26"/>
        </w:rPr>
        <w:t>Квалификация (степень) выпускника — бакалавр</w:t>
      </w:r>
    </w:p>
    <w:tbl>
      <w:tblPr>
        <w:tblStyle w:val="16"/>
        <w:tblW w:w="9462" w:type="dxa"/>
        <w:jc w:val="left"/>
        <w:tblInd w:w="67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500"/>
      </w:tblGrid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Зав. кафедрой ВМ-1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________________ А.А. Прокофьев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20___ г.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 w:val="true"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АНОК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 И.М. Никулина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 ___ г.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СОГЛАСОВАНО 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Представитель предприятия-партнера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________________ И.О. Фамилия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highlight w:val="lightGray"/>
              </w:rPr>
              <w:t>____</w:t>
            </w:r>
            <w:r>
              <w:rPr>
                <w:sz w:val="24"/>
                <w:szCs w:val="24"/>
              </w:rPr>
              <w:t xml:space="preserve">" </w:t>
            </w:r>
            <w:r>
              <w:rPr>
                <w:sz w:val="24"/>
                <w:szCs w:val="24"/>
                <w:highlight w:val="lightGray"/>
              </w:rPr>
              <w:t>________</w:t>
            </w:r>
            <w:r>
              <w:rPr>
                <w:sz w:val="24"/>
                <w:szCs w:val="24"/>
              </w:rPr>
              <w:t xml:space="preserve"> 20 __ г.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 w:val="true"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Москва 202</w:t>
      </w:r>
      <w:r>
        <w:rPr>
          <w:sz w:val="24"/>
          <w:szCs w:val="24"/>
        </w:rPr>
        <w:t>1</w:t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Style27"/>
        <w:spacing w:lineRule="auto" w:line="276"/>
        <w:ind w:left="72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firstLine="799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bCs w:val="false"/>
          <w:color w:val="00000A"/>
          <w:sz w:val="24"/>
          <w:szCs w:val="24"/>
        </w:rPr>
        <w:t>ОПК-3.</w:t>
      </w:r>
      <w:r>
        <w:rPr>
          <w:bCs/>
          <w:color w:val="00000A"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13"/>
        <w:spacing w:lineRule="auto" w:line="276" w:before="0" w:after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ind w:left="0" w:firstLine="8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ОПК-3. </w:t>
      </w:r>
      <w:r>
        <w:rPr>
          <w:rFonts w:cs="Times New Roman"/>
          <w:b/>
          <w:bCs w:val="false"/>
          <w:sz w:val="24"/>
          <w:szCs w:val="24"/>
        </w:rPr>
        <w:t>ЧМРУрМФ</w:t>
      </w:r>
      <w:r>
        <w:rPr>
          <w:b/>
          <w:bCs w:val="false"/>
          <w:color w:val="00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Знания:</w:t>
      </w:r>
      <w:r>
        <w:rPr>
          <w:lang w:val="ru-RU"/>
        </w:rPr>
        <w:t xml:space="preserve"> 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Знает теоретические основы современных численных методов решения уравнений</w:t>
      </w:r>
      <w:r>
        <w:rPr>
          <w:rFonts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математической физики.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Умения:</w:t>
      </w:r>
      <w:r>
        <w:rPr>
          <w:lang w:val="ru-RU"/>
        </w:rPr>
        <w:t xml:space="preserve">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Умеет реализовывать эти методы с помощью аналитических и научных пакетов прикладных программ.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Опыт деятельности:</w:t>
      </w:r>
      <w:r>
        <w:rPr>
          <w:lang w:val="ru-RU"/>
        </w:rPr>
        <w:t xml:space="preserve"> </w:t>
      </w:r>
    </w:p>
    <w:p>
      <w:pPr>
        <w:pStyle w:val="Normal"/>
        <w:spacing w:lineRule="auto" w:line="276" w:before="0" w:after="200"/>
        <w:ind w:left="0" w:firstLine="799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Имеет опыт моделирования физических процессов.</w:t>
      </w:r>
    </w:p>
    <w:p>
      <w:pPr>
        <w:pStyle w:val="Normal"/>
        <w:spacing w:lineRule="auto" w:line="276" w:before="0" w:after="200"/>
        <w:ind w:left="0" w:firstLine="799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ПОКАЗАТЕЛИ ОЦЕНИВАНИЯ СФОРМИРОВАННОСТИ КОМПЕТЕНЦИИ</w:t>
      </w:r>
    </w:p>
    <w:p>
      <w:pPr>
        <w:pStyle w:val="Style27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16"/>
        <w:tblW w:w="9781" w:type="dxa"/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547"/>
        <w:gridCol w:w="4822"/>
        <w:gridCol w:w="2412"/>
      </w:tblGrid>
      <w:tr>
        <w:trPr>
          <w:tblHeader w:val="true"/>
          <w:trHeight w:val="726" w:hRule="atLeast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>
            <w:pPr>
              <w:pStyle w:val="Normal"/>
              <w:jc w:val="center"/>
              <w:rPr>
                <w:rFonts w:eastAsia="Calibri"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Cs/>
                <w:i/>
                <w:sz w:val="24"/>
                <w:szCs w:val="24"/>
              </w:rPr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i/>
                <w:i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>
        <w:trPr>
          <w:trHeight w:val="937" w:hRule="atLeast"/>
          <w:cantSplit w:val="true"/>
        </w:trPr>
        <w:tc>
          <w:tcPr>
            <w:tcW w:w="2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3"/>
              <w:spacing w:lineRule="auto" w:line="276"/>
              <w:ind w:hanging="0"/>
              <w:rPr/>
            </w:pPr>
            <w:r>
              <w:rPr>
                <w:lang w:val="ru-RU"/>
              </w:rPr>
              <w:t xml:space="preserve">Знает </w:t>
            </w:r>
            <w:r>
              <w:rPr/>
              <w:t>основные методы приближенных вычислений, понятия аппроксимации, устойчивости и сходимости, порядка численного метода, методы априорной и апостериорной оценки погрешности численного метода, понятия расчетной сетки и виды сеток, шаблона схемы расчета, методы решения линейных систем и нелинейных задач с помощью многомерного метода Ньютона.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численных методов (понятия и взаимосвязи между ними, свойства объектов, простых алгоритмов) с использованием ее языка знаков (в пределах содержания, определенного рабочей программой (РП))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trike/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2539" w:hRule="atLeast"/>
          <w:cantSplit w:val="true"/>
        </w:trPr>
        <w:tc>
          <w:tcPr>
            <w:tcW w:w="254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Совершает простейшие действия с понятиями и объектами теории численных методов: относит конкретные объекты к понятию, </w:t>
            </w:r>
            <w:r>
              <w:rPr>
                <w:sz w:val="24"/>
                <w:szCs w:val="24"/>
              </w:rPr>
              <w:t>иллюстрирует понятия и свойства объектов на примерах (переходит от знаковой формы, задающей понятие или свойство, к знаковой форме частного объекта) и т.п.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3491" w:hRule="atLeast"/>
          <w:cantSplit w:val="true"/>
        </w:trPr>
        <w:tc>
          <w:tcPr>
            <w:tcW w:w="254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spacing w:lineRule="auto" w:line="276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Анализирует объекты теории численных методов </w:t>
            </w:r>
            <w:r>
              <w:rPr>
                <w:rFonts w:eastAsia="Calibri"/>
                <w:bCs/>
                <w:sz w:val="24"/>
                <w:szCs w:val="24"/>
              </w:rPr>
              <w:t>в пределах содержания, определенного РП</w:t>
            </w:r>
            <w:r>
              <w:rPr>
                <w:sz w:val="24"/>
                <w:szCs w:val="24"/>
              </w:rPr>
              <w:t xml:space="preserve"> (выводит следствия из факта принадлежности объекта данному классу; выбирает системы необходимых и достаточных признаков для распознавания объекта; выявляет взаимосвязи между системами понятий и утверждений, в том числе неочевидные; сравнивает, классифицирует, выявляет иерархические отношения внутри системы понятий и утверждений).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5989" w:hRule="atLeast"/>
          <w:cantSplit w:val="true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писать простые программы на языке программирования высокого уровня с использованием его основных средств (циклов, ветвлений, стандартных и пользовательских функций, текстового ввода-вывода и т.п.), умеет грамотно использовать  стандартные библиотеки, умеет визуализировать результаты расчетов в виде одномерных и двумерных графиков.</w:t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(эталонному), студент может объяснить, как она работает и ответить на вопросы по тексту программы.</w:t>
            </w:r>
          </w:p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Задачи экзаменационного билета</w:t>
            </w:r>
          </w:p>
        </w:tc>
      </w:tr>
      <w:tr>
        <w:trPr>
          <w:trHeight w:val="2535" w:hRule="atLeast"/>
          <w:cantSplit w:val="true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eastAsia="ru-RU"/>
              </w:rPr>
              <w:t>Имеет опыт моделирования физических процессов.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ind w:left="0" w:hanging="0"/>
              <w:rPr>
                <w:color w:val="00000A"/>
              </w:rPr>
            </w:pPr>
            <w:r>
              <w:rPr>
                <w:rFonts w:eastAsia="Calibri"/>
                <w:bCs/>
                <w:color w:val="00000A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tyle21"/>
              <w:tabs>
                <w:tab w:val="left" w:pos="258" w:leader="none"/>
              </w:tabs>
              <w:ind w:left="33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Практико-ориентированное задание экзаменационного билета</w:t>
            </w:r>
          </w:p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b/>
          <w:b/>
          <w:bCs/>
          <w:iCs/>
          <w:sz w:val="24"/>
          <w:szCs w:val="26"/>
          <w:u w:val="single"/>
        </w:rPr>
      </w:pPr>
      <w:r>
        <w:rPr>
          <w:b/>
          <w:bCs/>
          <w:iCs/>
          <w:sz w:val="24"/>
          <w:szCs w:val="26"/>
          <w:u w:val="single"/>
        </w:rPr>
        <w:t>3.1. Название оценочного средства</w:t>
      </w:r>
    </w:p>
    <w:p>
      <w:pPr>
        <w:pStyle w:val="Style21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iCs/>
          <w:sz w:val="24"/>
          <w:szCs w:val="26"/>
        </w:rPr>
        <w:t>Список теоретических вопросов к экзамену.</w:t>
      </w:r>
    </w:p>
    <w:p>
      <w:pPr>
        <w:pStyle w:val="Style21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b/>
          <w:sz w:val="24"/>
          <w:szCs w:val="26"/>
          <w:u w:val="single"/>
        </w:rPr>
        <w:t>3.1.1.Описание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Сформулировать основные теоретические положения (утверждения, определения), относящиеся к содержанию экзаменационного вопроса</w:t>
      </w:r>
      <w:r>
        <w:rPr>
          <w:i/>
          <w:sz w:val="24"/>
          <w:szCs w:val="26"/>
        </w:rPr>
        <w:t>.</w:t>
      </w:r>
      <w:r>
        <w:rPr>
          <w:sz w:val="24"/>
          <w:szCs w:val="26"/>
        </w:rPr>
        <w:t xml:space="preserve"> Привести требуемые обоснования (доказательства) утверждений и необходимые примеры. Экзаменуемому задаются два вопроса из списка.</w:t>
      </w:r>
    </w:p>
    <w:p>
      <w:pPr>
        <w:pStyle w:val="Style21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40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 </w:t>
      </w:r>
      <w:r>
        <w:rPr>
          <w:b w:val="false"/>
          <w:bCs w:val="false"/>
          <w:sz w:val="24"/>
          <w:szCs w:val="26"/>
        </w:rPr>
        <w:t>(</w:t>
      </w:r>
      <w:r>
        <w:rPr>
          <w:b w:val="false"/>
          <w:bCs w:val="false"/>
          <w:i/>
          <w:sz w:val="24"/>
          <w:szCs w:val="26"/>
        </w:rPr>
        <w:t>список теоретических вопросов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6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Уточнение по Эйткену.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 Четырехстадийная схема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 w:cs="Symbol"/>
          <w:sz w:val="24"/>
          <w:szCs w:val="24"/>
          <w:lang w:val="en-US"/>
        </w:rPr>
        <w:t>t</w:t>
      </w:r>
      <w:r>
        <w:rPr>
          <w:rFonts w:eastAsia="Symbol" w:cs="Symbol"/>
          <w:sz w:val="24"/>
          <w:szCs w:val="24"/>
        </w:rPr>
        <w:t>-монотонность. Трудности явных схем.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 w:cs="Symbol"/>
          <w:sz w:val="24"/>
          <w:szCs w:val="24"/>
          <w:lang w:val="en-US"/>
        </w:rPr>
        <w:t>CROS</w:t>
      </w:r>
      <w:r>
        <w:rPr>
          <w:rFonts w:eastAsia="Symbol" w:cs="Symbol"/>
          <w:sz w:val="24"/>
          <w:szCs w:val="24"/>
        </w:rPr>
        <w:t>); точность, устойчивость, монотонность.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Дифференциально-алгебраические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Бикомпактные схемы для слоистой среды.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Задачи на собственные значения ОДУ: постановки и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Линейное уравнение переноса; схемы бегущего счета для уравнения переноса: устойчивость, монотонность, диссипативность.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Многомерный перенос: постановка задачи,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rFonts w:eastAsia="Symbol" w:cs="Symbol"/>
          <w:sz w:val="24"/>
          <w:szCs w:val="24"/>
        </w:rPr>
        <w:t>Эволюционно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факторизованная схема для многомерного уравнения теплопроводности. Разностные краевые условия.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Эллиптические уравнения: постановки задач, итерационные методы.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Многомерная акустика: явная схема "крест", факторизованная схема.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Задачи со многими процессами: метод расщепления, жесткий метод прямых.</w:t>
      </w:r>
    </w:p>
    <w:p>
      <w:pPr>
        <w:pStyle w:val="Normal"/>
        <w:spacing w:lineRule="auto" w:line="240" w:before="120" w:after="120"/>
        <w:ind w:right="141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>
      <w:pPr>
        <w:pStyle w:val="Normal"/>
        <w:spacing w:lineRule="auto" w:line="276"/>
        <w:ind w:firstLine="851"/>
        <w:jc w:val="both"/>
        <w:rPr>
          <w:b/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>
          <w:b/>
          <w:b/>
          <w:i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>
      <w:pPr>
        <w:pStyle w:val="Normal"/>
        <w:spacing w:lineRule="auto" w:line="276"/>
        <w:ind w:firstLine="851"/>
        <w:jc w:val="both"/>
        <w:rPr>
          <w:i/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 w:val="false"/>
          <w:bCs w:val="false"/>
          <w:i w:val="false"/>
          <w:iCs w:val="false"/>
        </w:rPr>
        <w:t>личный конспект сдающего экзамен.</w:t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2"/>
        <w:gridCol w:w="2551"/>
        <w:gridCol w:w="3264"/>
        <w:gridCol w:w="1555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1548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544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28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 по двум теоретическим вопросам: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/>
          <w:sz w:val="24"/>
          <w:szCs w:val="24"/>
          <w:u w:val="single"/>
        </w:rPr>
        <w:t xml:space="preserve">3.2. </w:t>
      </w:r>
      <w:r>
        <w:rPr>
          <w:b/>
          <w:bCs/>
          <w:iCs/>
          <w:sz w:val="24"/>
          <w:szCs w:val="26"/>
          <w:u w:val="single"/>
        </w:rPr>
        <w:t>Название оценочного средства</w:t>
      </w:r>
    </w:p>
    <w:p>
      <w:pPr>
        <w:pStyle w:val="Normal"/>
        <w:rPr/>
      </w:pPr>
      <w:r>
        <w:rPr>
          <w:sz w:val="24"/>
          <w:szCs w:val="24"/>
        </w:rPr>
        <w:t>Набор экзаменационных задач</w:t>
      </w:r>
    </w:p>
    <w:p>
      <w:pPr>
        <w:pStyle w:val="Normal"/>
        <w:spacing w:lineRule="auto" w:line="276" w:before="120" w:after="0"/>
        <w:ind w:firstLine="851"/>
        <w:jc w:val="both"/>
        <w:rPr/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Привести решение задачи из типового набора к экзамену.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>Пример типового задания.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 xml:space="preserve">. </w:t>
      </w:r>
      <w:r>
        <w:rPr>
          <w:sz w:val="24"/>
          <w:szCs w:val="24"/>
        </w:rPr>
        <w:t>Вывести квадратурную формулу Симпсона на основе формулы трапеций с помощью сгущения сетки и формулы уточнения по Ричардсону.</w:t>
      </w:r>
    </w:p>
    <w:p>
      <w:pPr>
        <w:pStyle w:val="Normal"/>
        <w:spacing w:lineRule="auto" w:line="276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1</w:t>
      </w:r>
      <w:r>
        <w:rPr>
          <w:sz w:val="24"/>
          <w:szCs w:val="26"/>
        </w:rPr>
        <w:t>5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ручка.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2"/>
        <w:gridCol w:w="2551"/>
        <w:gridCol w:w="3264"/>
        <w:gridCol w:w="1555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Решает типовые задачи.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Правильность решения задачи.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Приведено верное решение, получен правильный ответ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Присутствуют незначительные ошибки (описки), вследствие чего полученный ответ верен частично.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Для решения был применен верный подход, однако из-за технических ошибок итоговый ответ оказался неверным.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и ответ отсутствуют.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Итоговый балл: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 Название оценочного средства</w:t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outlineLvl w:val="1"/>
        <w:rPr/>
      </w:pPr>
      <w:r>
        <w:rPr>
          <w:sz w:val="24"/>
          <w:szCs w:val="24"/>
        </w:rPr>
        <w:t>Практико-ориентированное задание экзаменационного билета</w:t>
      </w:r>
    </w:p>
    <w:p>
      <w:pPr>
        <w:pStyle w:val="Normal"/>
        <w:spacing w:lineRule="auto" w:line="276" w:before="120" w:after="0"/>
        <w:ind w:firstLine="709"/>
        <w:jc w:val="both"/>
        <w:rPr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Решение кейса предполагает рассмотрение различных вариантов решения с выбором оптимального для заданных условий.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задания: </w:t>
      </w:r>
    </w:p>
    <w:p>
      <w:pPr>
        <w:pStyle w:val="Normal"/>
        <w:spacing w:lineRule="auto" w:line="276"/>
        <w:ind w:firstLine="851"/>
        <w:jc w:val="both"/>
        <w:rPr>
          <w:b w:val="false"/>
          <w:b w:val="false"/>
          <w:bCs w:val="false"/>
          <w:sz w:val="24"/>
          <w:szCs w:val="26"/>
        </w:rPr>
      </w:pPr>
      <w:r>
        <w:rPr>
          <w:b w:val="false"/>
          <w:bCs w:val="false"/>
          <w:sz w:val="24"/>
          <w:szCs w:val="26"/>
        </w:rPr>
        <w:t xml:space="preserve">Решить задачу встречи пули крупнокалиберного пулемета Никитина-Соколова-Волкова калибром 12.7мм и вертолета условного противника, </w:t>
      </w:r>
      <w:r>
        <w:rPr>
          <w:b w:val="false"/>
          <w:bCs w:val="false"/>
          <w:sz w:val="24"/>
          <w:szCs w:val="26"/>
        </w:rPr>
        <w:t>летящего в направлении стреляющего со скоростью 50 м/c с курсовым параметром 200м.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76" w:before="120" w:after="0"/>
        <w:ind w:firstLine="851"/>
        <w:rPr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40</w:t>
      </w:r>
      <w:r>
        <w:rPr>
          <w:sz w:val="24"/>
          <w:szCs w:val="26"/>
        </w:rPr>
        <w:t xml:space="preserve">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 w:val="false"/>
          <w:bCs w:val="false"/>
          <w:sz w:val="24"/>
          <w:szCs w:val="26"/>
        </w:rPr>
        <w:t xml:space="preserve">персональный компьютер </w:t>
      </w:r>
      <w:r>
        <w:rPr>
          <w:b w:val="false"/>
          <w:bCs w:val="false"/>
          <w:sz w:val="24"/>
          <w:szCs w:val="26"/>
        </w:rPr>
        <w:t>с уст</w:t>
      </w:r>
      <w:r>
        <w:rPr>
          <w:b w:val="false"/>
          <w:bCs w:val="false"/>
          <w:sz w:val="24"/>
          <w:szCs w:val="26"/>
        </w:rPr>
        <w:t>а</w:t>
      </w:r>
      <w:r>
        <w:rPr>
          <w:b w:val="false"/>
          <w:bCs w:val="false"/>
          <w:sz w:val="24"/>
          <w:szCs w:val="26"/>
        </w:rPr>
        <w:t>новленным пакетом MATLAB</w:t>
      </w:r>
      <w:r>
        <w:rPr>
          <w:bCs/>
          <w:sz w:val="24"/>
          <w:szCs w:val="26"/>
        </w:rPr>
        <w:t>.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</w:t>
      </w:r>
      <w:r>
        <w:rPr>
          <w:bCs/>
        </w:rPr>
        <w:t>, методический материал к лабораторной работе №13.</w:t>
      </w:r>
    </w:p>
    <w:p>
      <w:pPr>
        <w:pStyle w:val="Normal"/>
        <w:rPr/>
      </w:pPr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p>
      <w:pPr>
        <w:pStyle w:val="Normal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</w:r>
    </w:p>
    <w:tbl>
      <w:tblPr>
        <w:tblW w:w="9923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410"/>
        <w:gridCol w:w="1701"/>
        <w:gridCol w:w="4255"/>
        <w:gridCol w:w="1556"/>
      </w:tblGrid>
      <w:tr>
        <w:trPr>
          <w:tblHeader w:val="true"/>
          <w:trHeight w:val="1244" w:hRule="atLeast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641" w:hRule="atLeast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Демонстрирует опыт применения полученных знаний и умений на практике.</w:t>
            </w: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rPr/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остальных случаях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74" w:hRule="atLeast"/>
        </w:trPr>
        <w:tc>
          <w:tcPr>
            <w:tcW w:w="8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 xml:space="preserve">0 - 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</w:r>
    </w:p>
    <w:p>
      <w:pPr>
        <w:pStyle w:val="Normal"/>
        <w:spacing w:lineRule="auto" w:line="276" w:before="120" w:after="120"/>
        <w:jc w:val="center"/>
        <w:rPr>
          <w:b/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>
      <w:pPr>
        <w:pStyle w:val="Normal"/>
        <w:spacing w:lineRule="auto" w:line="276" w:before="240" w:after="120"/>
        <w:jc w:val="center"/>
        <w:rPr>
          <w:i/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>
      <w:pPr>
        <w:pStyle w:val="Normal"/>
        <w:spacing w:lineRule="auto" w:line="276" w:before="120" w:after="120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/>
      </w:pPr>
      <w:r>
        <w:rPr>
          <w:sz w:val="24"/>
          <w:szCs w:val="24"/>
        </w:rPr>
        <w:t>Доцент кафедры ВМ-1                __________________  /Козлитин И.А./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09" w:bottom="851" w:gutter="0"/>
      <w:pgNumType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sz w:val="24"/>
        <w:i w:val="false"/>
        <w:b w:val="false"/>
        <w:szCs w:val="24"/>
        <w:rFonts w:eastAsia="Symbo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web"/>
  <w:zoom w:percent="107"/>
  <w:defaultTabStop w:val="708"/>
  <w:compat>
    <w:compatSetting w:name="compatibilityMode" w:uri="http://schemas.microsoft.com/office/word" w:val="12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0" w:unhideWhenUsed="0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en-US" w:bidi="ar-SA"/>
    </w:rPr>
  </w:style>
  <w:style w:type="paragraph" w:styleId="3">
    <w:name w:val="Heading 3"/>
    <w:basedOn w:val="Normal"/>
    <w:link w:val="35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paragraph" w:styleId="4">
    <w:name w:val="Heading 4"/>
    <w:basedOn w:val="Normal"/>
    <w:link w:val="18"/>
    <w:uiPriority w:val="0"/>
    <w:qFormat/>
    <w:pPr>
      <w:keepNext w:val="true"/>
      <w:outlineLvl w:val="3"/>
    </w:pPr>
    <w:rPr>
      <w:b/>
      <w:bCs/>
      <w:sz w:val="24"/>
      <w:szCs w:val="28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uiPriority w:val="0"/>
    <w:semiHidden/>
    <w:qFormat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41" w:customStyle="1">
    <w:name w:val="Заголовок 4 Знак"/>
    <w:basedOn w:val="DefaultParagraphFont"/>
    <w:link w:val="3"/>
    <w:uiPriority w:val="0"/>
    <w:qFormat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4" w:customStyle="1">
    <w:name w:val="Схема документа Знак"/>
    <w:basedOn w:val="DefaultParagraphFont"/>
    <w:link w:val="9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5" w:customStyle="1">
    <w:name w:val="Текст примечания Знак"/>
    <w:basedOn w:val="DefaultParagraphFont"/>
    <w:link w:val="7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8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yle17" w:customStyle="1">
    <w:name w:val="Основной текст Знак"/>
    <w:basedOn w:val="DefaultParagraphFont"/>
    <w:link w:val="5"/>
    <w:uiPriority w:val="0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8" w:customStyle="1">
    <w:name w:val="Верхний колонтитул Знак"/>
    <w:basedOn w:val="DefaultParagraphFont"/>
    <w:link w:val="11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9" w:customStyle="1">
    <w:name w:val="Нижний колонтитул Знак"/>
    <w:basedOn w:val="DefaultParagraphFont"/>
    <w:link w:val="10"/>
    <w:uiPriority w:val="99"/>
    <w:qFormat/>
    <w:rPr>
      <w:rFonts w:ascii="Times New Roman" w:hAnsi="Times New Roman" w:eastAsia="Times New Roman" w:cs="Times New Roman"/>
      <w:sz w:val="20"/>
      <w:szCs w:val="20"/>
    </w:rPr>
  </w:style>
  <w:style w:type="character" w:styleId="1" w:customStyle="1">
    <w:name w:val="Заголовок №1_"/>
    <w:link w:val="31"/>
    <w:uiPriority w:val="0"/>
    <w:qFormat/>
    <w:locked/>
    <w:rPr>
      <w:sz w:val="23"/>
      <w:szCs w:val="23"/>
      <w:shd w:fill="FFFFFF" w:val="clear"/>
    </w:rPr>
  </w:style>
  <w:style w:type="character" w:styleId="2" w:customStyle="1">
    <w:name w:val="Основной текст 2 Знак"/>
    <w:basedOn w:val="DefaultParagraphFont"/>
    <w:link w:val="6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31" w:customStyle="1">
    <w:name w:val="Заголовок 3 Знак"/>
    <w:basedOn w:val="DefaultParagraphFont"/>
    <w:link w:val="2"/>
    <w:uiPriority w:val="9"/>
    <w:semiHidden/>
    <w:qFormat/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WW8Num2z0">
    <w:name w:val="WW8Num2z0"/>
    <w:qFormat/>
    <w:rPr>
      <w:rFonts w:ascii="Times New Roman" w:hAnsi="Times New Roman" w:eastAsia="Symbol" w:cs="Times New Roman"/>
      <w:b w:val="false"/>
      <w:i w:val="false"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ListLabel4">
    <w:name w:val="ListLabel 4"/>
    <w:qFormat/>
    <w:rPr>
      <w:rFonts w:eastAsia="Symbol" w:cs="Times New Roman"/>
      <w:b w:val="false"/>
      <w:i w:val="false"/>
      <w:sz w:val="24"/>
      <w:szCs w:val="24"/>
    </w:rPr>
  </w:style>
  <w:style w:type="character" w:styleId="ListLabel5">
    <w:name w:val="ListLabel 5"/>
    <w:qFormat/>
    <w:rPr>
      <w:rFonts w:eastAsia="Symbol" w:cs="Times New Roman"/>
      <w:b w:val="false"/>
      <w:i w:val="false"/>
      <w:sz w:val="24"/>
      <w:szCs w:val="24"/>
    </w:rPr>
  </w:style>
  <w:style w:type="character" w:styleId="ListLabel6">
    <w:name w:val="ListLabel 6"/>
    <w:qFormat/>
    <w:rPr>
      <w:rFonts w:eastAsia="Symbol" w:cs="Times New Roman"/>
      <w:b w:val="false"/>
      <w:i w:val="false"/>
      <w:sz w:val="24"/>
      <w:szCs w:val="24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link w:val="26"/>
    <w:uiPriority w:val="0"/>
    <w:pPr>
      <w:jc w:val="center"/>
    </w:pPr>
    <w:rPr>
      <w:sz w:val="24"/>
    </w:rPr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21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34"/>
    <w:uiPriority w:val="99"/>
    <w:unhideWhenUsed/>
    <w:qFormat/>
    <w:pPr>
      <w:spacing w:lineRule="auto" w:line="480" w:before="0" w:after="120"/>
    </w:pPr>
    <w:rPr/>
  </w:style>
  <w:style w:type="paragraph" w:styleId="Annotationtext">
    <w:name w:val="annotation text"/>
    <w:basedOn w:val="Normal"/>
    <w:link w:val="24"/>
    <w:uiPriority w:val="99"/>
    <w:unhideWhenUsed/>
    <w:qFormat/>
    <w:pPr/>
    <w:rPr/>
  </w:style>
  <w:style w:type="paragraph" w:styleId="Annotationsubject">
    <w:name w:val="annotation subject"/>
    <w:basedOn w:val="Annotationtext"/>
    <w:link w:val="25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23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tyle25">
    <w:name w:val="Footer"/>
    <w:basedOn w:val="Normal"/>
    <w:link w:val="29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link w:val="28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ListParagraph" w:customStyle="1">
    <w:name w:val="List Paragraph"/>
    <w:basedOn w:val="Normal"/>
    <w:uiPriority w:val="34"/>
    <w:qFormat/>
    <w:pPr>
      <w:ind w:left="708" w:hanging="0"/>
    </w:pPr>
    <w:rPr/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firstLine="709"/>
      <w:contextualSpacing/>
    </w:pPr>
    <w:rPr>
      <w:b/>
      <w:sz w:val="24"/>
      <w:szCs w:val="24"/>
      <w:lang w:eastAsia="ru-RU"/>
    </w:rPr>
  </w:style>
  <w:style w:type="paragraph" w:styleId="Style27" w:customStyle="1">
    <w:name w:val="По центру"/>
    <w:basedOn w:val="Normal"/>
    <w:uiPriority w:val="0"/>
    <w:qFormat/>
    <w:pPr>
      <w:spacing w:lineRule="auto" w:line="360"/>
      <w:jc w:val="center"/>
    </w:pPr>
    <w:rPr>
      <w:sz w:val="26"/>
      <w:lang w:eastAsia="ru-RU"/>
    </w:rPr>
  </w:style>
  <w:style w:type="paragraph" w:styleId="Style28" w:customStyle="1">
    <w:name w:val="Форма для подписи"/>
    <w:basedOn w:val="Normal"/>
    <w:uiPriority w:val="0"/>
    <w:qFormat/>
    <w:pPr>
      <w:ind w:left="567" w:hanging="0"/>
    </w:pPr>
    <w:rPr>
      <w:sz w:val="26"/>
      <w:szCs w:val="24"/>
      <w:lang w:eastAsia="ru-RU"/>
    </w:rPr>
  </w:style>
  <w:style w:type="paragraph" w:styleId="12" w:customStyle="1">
    <w:name w:val="Заголовок №1"/>
    <w:basedOn w:val="Normal"/>
    <w:link w:val="30"/>
    <w:uiPriority w:val="0"/>
    <w:qFormat/>
    <w:pPr>
      <w:shd w:val="clear" w:color="auto" w:fill="FFFFFF"/>
      <w:spacing w:lineRule="exact" w:line="277" w:before="0" w:after="180"/>
      <w:outlineLvl w:val="0"/>
    </w:pPr>
    <w:rPr>
      <w:rFonts w:ascii="Calibri" w:hAnsi="Calibri" w:eastAsia="Calibri" w:cs="" w:asciiTheme="minorHAnsi" w:cstheme="minorBidi" w:eastAsiaTheme="minorHAnsi" w:hAnsiTheme="minorHAnsi"/>
      <w:sz w:val="23"/>
      <w:szCs w:val="23"/>
    </w:rPr>
  </w:style>
  <w:style w:type="paragraph" w:styleId="Style29" w:customStyle="1">
    <w:name w:val="Марк_СМ"/>
    <w:basedOn w:val="Normal"/>
    <w:uiPriority w:val="0"/>
    <w:qFormat/>
    <w:pPr>
      <w:spacing w:lineRule="auto" w:line="276" w:before="0" w:after="120"/>
      <w:contextualSpacing/>
      <w:jc w:val="both"/>
    </w:pPr>
    <w:rPr>
      <w:sz w:val="24"/>
      <w:szCs w:val="28"/>
      <w:lang w:eastAsia="ru-RU"/>
    </w:rPr>
  </w:style>
  <w:style w:type="paragraph" w:styleId="13" w:customStyle="1">
    <w:name w:val="Обычный1"/>
    <w:uiPriority w:val="0"/>
    <w:qFormat/>
    <w:pPr>
      <w:widowControl w:val="fals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Style30">
    <w:name w:val="Содержимое таблицы"/>
    <w:basedOn w:val="Normal"/>
    <w:qFormat/>
    <w:pPr/>
    <w:rPr/>
  </w:style>
  <w:style w:type="paragraph" w:styleId="Style31">
    <w:name w:val="Заголовок таблицы"/>
    <w:basedOn w:val="Style30"/>
    <w:qFormat/>
    <w:pPr/>
    <w:rPr/>
  </w:style>
  <w:style w:type="numbering" w:styleId="WW8Num2">
    <w:name w:val="WW8Num2"/>
    <w:qFormat/>
  </w:style>
  <w:style w:type="table" w:default="1" w:styleId="1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LibreOffice/6.0.7.3$Linux_X86_64 LibreOffice_project/00m0$Build-3</Application>
  <Pages>1</Pages>
  <Words>1463</Words>
  <Characters>11142</Characters>
  <CharactersWithSpaces>12438</CharactersWithSpaces>
  <Paragraphs>186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2019-11-08T15:25:00Z</dcterms:created>
  <dc:creator>oper_ira</dc:creator>
  <dc:description/>
  <dc:language>ru-RU</dc:language>
  <cp:lastModifiedBy/>
  <cp:lastPrinted>2019-07-04T20:05:00Z</cp:lastPrinted>
  <dcterms:modified xsi:type="dcterms:W3CDTF">2021-04-23T15:02:09Z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MIET</vt:lpwstr>
  </property>
  <property fmtid="{D5CDD505-2E9C-101B-9397-08002B2CF9AE}" pid="3" name="DocSecurity">
    <vt:i4>0</vt:i4>
  </property>
  <property fmtid="{D5CDD505-2E9C-101B-9397-08002B2CF9AE}" pid="4" name="KSOProductBuildVer">
    <vt:lpwstr>1049-10.1.0.5707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