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36" w:rsidRPr="00700E2B" w:rsidRDefault="004F7F36" w:rsidP="004F7F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91635611"/>
      <w:r w:rsidRPr="00700E2B">
        <w:rPr>
          <w:rFonts w:ascii="Times New Roman" w:hAnsi="Times New Roman" w:cs="Times New Roman"/>
          <w:b/>
          <w:szCs w:val="26"/>
        </w:rPr>
        <w:t>Введение</w:t>
      </w:r>
      <w:bookmarkEnd w:id="0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двух направлениях: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данными при хранении информации,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и для уменьшения времени передачи информации.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Целью работы является исследование и анализ методов сжатий изображений с использованием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-преобразований. В рамках индивидуального задания по практике были решены следующие задачи: анализ существующего алгоритма сжатия изображения, исследование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-компрессии, сравнение </w:t>
      </w:r>
      <w:r>
        <w:rPr>
          <w:rFonts w:ascii="Times New Roman" w:hAnsi="Times New Roman" w:cs="Times New Roman"/>
          <w:sz w:val="26"/>
          <w:szCs w:val="26"/>
        </w:rPr>
        <w:t>данных методов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r w:rsidRPr="00700E2B">
        <w:rPr>
          <w:rFonts w:ascii="Times New Roman" w:hAnsi="Times New Roman" w:cs="Times New Roman"/>
          <w:b/>
          <w:szCs w:val="26"/>
        </w:rPr>
        <w:t>Основные понятия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" w:name="_Toc91635613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1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Статические растровые изображения представляют собой двумерный массив чисел. Элементы этого массива называют пикселами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). 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2" w:name="_Toc91635614"/>
      <w:r w:rsidRPr="00700E2B">
        <w:rPr>
          <w:rFonts w:ascii="Times New Roman" w:hAnsi="Times New Roman" w:cs="Times New Roman"/>
          <w:b/>
          <w:sz w:val="28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2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сигнал понимается физический процесс (например, изменяющееся во времени напряжение), отображающий некоторую информацию (сообщение). Математически сигнал описывается некоторой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определенного вида. Сигналы бывают аналоговыми, дискретными и цифровыми. Аналоговый сигнал – описывается непрерывной (или кусочно-непрерывной)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>).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Дискретный сигнал – это функция дискретного аргумента y = y(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 с областью определения D = </w:t>
      </w:r>
      <w:proofErr w:type="gramStart"/>
      <w:r w:rsidRPr="00700E2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>|n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ϵ Z } [2].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3" w:name="_Toc91635615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3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4" w:name="_Toc91635616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4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5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5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</w:t>
      </w:r>
      <w:proofErr w:type="spellStart"/>
      <w:r w:rsidRPr="00700E2B">
        <w:rPr>
          <w:rFonts w:ascii="Times New Roman" w:eastAsiaTheme="minorEastAsia" w:hAnsi="Times New Roman" w:cs="Times New Roman"/>
          <w:sz w:val="26"/>
          <w:szCs w:val="26"/>
        </w:rPr>
        <w:t>иенты</w:t>
      </w:r>
      <w:proofErr w:type="spellEnd"/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вейвлет-преобразования.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8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6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Арифметическое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>алфавита. Таким образом, для наиболее часто встречающихся слов будут использоваться наиболее компактные представления.</w:t>
      </w:r>
    </w:p>
    <w:p w:rsidR="00374936" w:rsidRPr="00700E2B" w:rsidRDefault="00374936" w:rsidP="00374936">
      <w:pPr>
        <w:pStyle w:val="2"/>
        <w:jc w:val="center"/>
      </w:pPr>
      <w:r>
        <w:t>1.7 Машинное обучение</w:t>
      </w:r>
    </w:p>
    <w:p w:rsidR="008E58D6" w:rsidRDefault="00374936" w:rsidP="00374936">
      <w:pPr>
        <w:pStyle w:val="2"/>
        <w:jc w:val="center"/>
      </w:pPr>
      <w:r w:rsidRPr="00374936">
        <w:t>1.</w:t>
      </w:r>
      <w:r>
        <w:t>8</w:t>
      </w:r>
      <w:r w:rsidRPr="00374936">
        <w:t xml:space="preserve"> </w:t>
      </w:r>
      <w:r>
        <w:t>Линейная регрессия</w:t>
      </w:r>
    </w:p>
    <w:p w:rsidR="00374936" w:rsidRPr="00374936" w:rsidRDefault="00374936" w:rsidP="00374936">
      <w:pPr>
        <w:pStyle w:val="2"/>
        <w:jc w:val="center"/>
      </w:pPr>
      <w:r>
        <w:t>1.9 Случайный лес</w:t>
      </w:r>
      <w:bookmarkStart w:id="7" w:name="_GoBack"/>
      <w:bookmarkEnd w:id="7"/>
    </w:p>
    <w:sectPr w:rsidR="00374936" w:rsidRPr="00374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374936"/>
    <w:rsid w:val="004F7F36"/>
    <w:rsid w:val="008E58D6"/>
    <w:rsid w:val="00D6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54B5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Reshetnikov Egor</cp:lastModifiedBy>
  <cp:revision>3</cp:revision>
  <dcterms:created xsi:type="dcterms:W3CDTF">2022-05-14T14:43:00Z</dcterms:created>
  <dcterms:modified xsi:type="dcterms:W3CDTF">2022-05-14T15:19:00Z</dcterms:modified>
</cp:coreProperties>
</file>