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331" w:rsidRDefault="00AA7331">
          <w:pPr>
            <w:pStyle w:val="a9"/>
          </w:pPr>
          <w:r>
            <w:t>Оглавление</w:t>
          </w:r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954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r>
            <w:rPr>
              <w:b/>
              <w:bCs/>
            </w:rPr>
            <w:fldChar w:fldCharType="end"/>
          </w:r>
        </w:p>
      </w:sdtContent>
    </w:sdt>
    <w:p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:rsidR="004F7F36" w:rsidRDefault="0032609B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2609B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</w:t>
      </w:r>
      <w:r>
        <w:rPr>
          <w:rFonts w:ascii="Times New Roman" w:hAnsi="Times New Roman" w:cs="Times New Roman"/>
          <w:sz w:val="26"/>
          <w:szCs w:val="26"/>
        </w:rPr>
        <w:t xml:space="preserve">ых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 w:cs="Times New Roman"/>
          <w:sz w:val="26"/>
          <w:szCs w:val="26"/>
        </w:rPr>
        <w:t>-преобразований (ДВП)</w:t>
      </w:r>
      <w:r w:rsidR="004F7F36" w:rsidRPr="00700E2B">
        <w:rPr>
          <w:rFonts w:ascii="Times New Roman" w:hAnsi="Times New Roman" w:cs="Times New Roman"/>
          <w:sz w:val="26"/>
          <w:szCs w:val="26"/>
        </w:rPr>
        <w:t xml:space="preserve">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проанализировать уже существующие методы компрессии изображений, использующих </w:t>
      </w:r>
      <w:proofErr w:type="spellStart"/>
      <w:r>
        <w:rPr>
          <w:rFonts w:ascii="Times New Roman" w:hAnsi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/>
          <w:sz w:val="26"/>
          <w:szCs w:val="26"/>
        </w:rPr>
        <w:t>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0D64D1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0D64D1">
        <w:rPr>
          <w:rFonts w:ascii="Times New Roman" w:hAnsi="Times New Roman"/>
          <w:sz w:val="26"/>
          <w:szCs w:val="26"/>
        </w:rPr>
        <w:t>овысить эффективность контекстного кодирования коэффициентов ДВП за счет использования технологий машинного обучения;</w:t>
      </w:r>
    </w:p>
    <w:p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:rsidR="00BF6D6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:rsidR="00E740D5" w:rsidRPr="00BF6D65" w:rsidRDefault="00BF6D65" w:rsidP="00BF6D65">
      <w:r>
        <w:br w:type="page"/>
      </w:r>
    </w:p>
    <w:p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lastRenderedPageBreak/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:rsidR="00B01B95" w:rsidRPr="00283973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00E2B">
        <w:rPr>
          <w:rFonts w:ascii="Times New Roman" w:hAnsi="Times New Roman" w:cs="Times New Roman"/>
          <w:sz w:val="26"/>
          <w:szCs w:val="26"/>
        </w:rPr>
        <w:t>Статические растровые изображения представляют собой двумерный массив чисел</w:t>
      </w:r>
      <w:r w:rsidR="007073B5" w:rsidRPr="007073B5">
        <w:rPr>
          <w:rFonts w:ascii="Times New Roman" w:hAnsi="Times New Roman" w:cs="Times New Roman"/>
          <w:sz w:val="26"/>
          <w:szCs w:val="26"/>
        </w:rPr>
        <w:t xml:space="preserve"> </w:t>
      </w:r>
      <w:r w:rsidR="007073B5">
        <w:rPr>
          <w:rFonts w:ascii="Times New Roman" w:hAnsi="Times New Roman" w:cs="Times New Roman"/>
          <w:sz w:val="26"/>
          <w:szCs w:val="26"/>
        </w:rPr>
        <w:t>(матрицу)</w:t>
      </w:r>
      <w:r w:rsidR="00E87B13">
        <w:rPr>
          <w:rFonts w:ascii="Times New Roman" w:hAnsi="Times New Roman" w:cs="Times New Roman"/>
          <w:sz w:val="26"/>
          <w:szCs w:val="26"/>
        </w:rPr>
        <w:t>, описывающую визуальное представление предметов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Элементы этого массива </w:t>
      </w:r>
      <w:r w:rsidR="007073B5">
        <w:rPr>
          <w:rFonts w:ascii="Times New Roman" w:hAnsi="Times New Roman" w:cs="Times New Roman"/>
          <w:sz w:val="26"/>
          <w:szCs w:val="26"/>
        </w:rPr>
        <w:t>задают цвет точки на изображении и носят название пиксели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). </w:t>
      </w:r>
      <w:r w:rsidR="00A7425F">
        <w:rPr>
          <w:rFonts w:ascii="Times New Roman" w:hAnsi="Times New Roman" w:cs="Times New Roman"/>
          <w:sz w:val="26"/>
          <w:szCs w:val="26"/>
        </w:rPr>
        <w:t>Пиксель – это наименьшая составляющая изображения.</w:t>
      </w:r>
      <w:r w:rsidR="00B01B95">
        <w:rPr>
          <w:rFonts w:ascii="Times New Roman" w:hAnsi="Times New Roman" w:cs="Times New Roman"/>
          <w:sz w:val="26"/>
          <w:szCs w:val="26"/>
        </w:rPr>
        <w:t xml:space="preserve"> Размеры матрицы пикселей задают разрешение изображения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lastRenderedPageBreak/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12"/>
      <w:bookmarkEnd w:id="13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F81F9F" w:rsidRDefault="007328C0" w:rsidP="00F81F9F">
      <w:pPr>
        <w:keepNext/>
        <w:spacing w:line="360" w:lineRule="auto"/>
        <w:ind w:firstLine="709"/>
        <w:jc w:val="both"/>
      </w:pPr>
      <w:r w:rsidRPr="007328C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2D0B2B" wp14:editId="55125819">
            <wp:extent cx="5756365" cy="5492868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1" b="5397"/>
                    <a:stretch/>
                  </pic:blipFill>
                  <pic:spPr>
                    <a:xfrm>
                      <a:off x="0" y="0"/>
                      <a:ext cx="5756365" cy="54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96" w:rsidRDefault="00F81F9F" w:rsidP="00F81F9F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r w:rsidR="00F9545E">
        <w:fldChar w:fldCharType="begin"/>
      </w:r>
      <w:r w:rsidR="00F9545E">
        <w:instrText xml:space="preserve"> SEQ Рисунок \* ARABIC </w:instrText>
      </w:r>
      <w:r w:rsidR="00F9545E">
        <w:fldChar w:fldCharType="separate"/>
      </w:r>
      <w:r>
        <w:rPr>
          <w:noProof/>
        </w:rPr>
        <w:t>1</w:t>
      </w:r>
      <w:r w:rsidR="00F9545E">
        <w:rPr>
          <w:noProof/>
        </w:rPr>
        <w:fldChar w:fldCharType="end"/>
      </w:r>
      <w:r w:rsidRPr="00F81F9F">
        <w:t xml:space="preserve">. </w:t>
      </w:r>
      <w:r>
        <w:t xml:space="preserve">Пример </w:t>
      </w:r>
      <w:proofErr w:type="spellStart"/>
      <w:r>
        <w:t>вейвлет</w:t>
      </w:r>
      <w:proofErr w:type="spellEnd"/>
      <w:r>
        <w:t>-преобразования</w:t>
      </w:r>
    </w:p>
    <w:p w:rsidR="00884DA3" w:rsidRPr="00F81F9F" w:rsidRDefault="00BB2627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</w:t>
      </w:r>
      <w:r w:rsidR="007328C0">
        <w:rPr>
          <w:rFonts w:ascii="Times New Roman" w:hAnsi="Times New Roman" w:cs="Times New Roman"/>
          <w:sz w:val="26"/>
          <w:szCs w:val="26"/>
          <w:lang w:val="en-US"/>
        </w:rPr>
        <w:t>HL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328C0">
        <w:rPr>
          <w:rFonts w:ascii="Times New Roman" w:hAnsi="Times New Roman" w:cs="Times New Roman"/>
          <w:sz w:val="26"/>
          <w:szCs w:val="26"/>
        </w:rPr>
        <w:t>последовательное применение высокочастотной, после чего низкочастотной фильтрации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328C0">
        <w:rPr>
          <w:rFonts w:ascii="Times New Roman" w:hAnsi="Times New Roman" w:cs="Times New Roman"/>
          <w:sz w:val="26"/>
          <w:szCs w:val="26"/>
          <w:lang w:val="en-US"/>
        </w:rPr>
        <w:t>LH</w:t>
      </w:r>
      <w:r w:rsidR="007328C0" w:rsidRPr="007328C0">
        <w:rPr>
          <w:rFonts w:ascii="Times New Roman" w:hAnsi="Times New Roman" w:cs="Times New Roman"/>
          <w:sz w:val="26"/>
          <w:szCs w:val="26"/>
        </w:rPr>
        <w:t xml:space="preserve"> - </w:t>
      </w:r>
      <w:r w:rsidR="007328C0">
        <w:rPr>
          <w:rFonts w:ascii="Times New Roman" w:hAnsi="Times New Roman" w:cs="Times New Roman"/>
          <w:sz w:val="26"/>
          <w:szCs w:val="26"/>
        </w:rPr>
        <w:t>последовательное применение низкочастотной фильтрации, после чего высокочастотной фильтрации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8E5C6F">
        <w:rPr>
          <w:rFonts w:ascii="Times New Roman" w:hAnsi="Times New Roman" w:cs="Times New Roman"/>
          <w:sz w:val="26"/>
          <w:szCs w:val="26"/>
        </w:rPr>
        <w:t xml:space="preserve"> </w:t>
      </w:r>
      <w:r w:rsidR="008E5C6F">
        <w:rPr>
          <w:rFonts w:ascii="Times New Roman" w:hAnsi="Times New Roman" w:cs="Times New Roman"/>
          <w:sz w:val="26"/>
          <w:szCs w:val="26"/>
          <w:lang w:val="en-US"/>
        </w:rPr>
        <w:t>HH</w:t>
      </w:r>
      <w:r w:rsidR="008E5C6F" w:rsidRPr="00F81F9F">
        <w:rPr>
          <w:rFonts w:ascii="Times New Roman" w:hAnsi="Times New Roman" w:cs="Times New Roman"/>
          <w:sz w:val="26"/>
          <w:szCs w:val="26"/>
        </w:rPr>
        <w:t xml:space="preserve"> – </w:t>
      </w:r>
      <w:r w:rsidR="008E5C6F">
        <w:rPr>
          <w:rFonts w:ascii="Times New Roman" w:hAnsi="Times New Roman" w:cs="Times New Roman"/>
          <w:sz w:val="26"/>
          <w:szCs w:val="26"/>
        </w:rPr>
        <w:t xml:space="preserve">дважды примененная </w:t>
      </w:r>
      <w:proofErr w:type="spellStart"/>
      <w:r w:rsidR="008E5C6F">
        <w:rPr>
          <w:rFonts w:ascii="Times New Roman" w:hAnsi="Times New Roman" w:cs="Times New Roman"/>
          <w:sz w:val="26"/>
          <w:szCs w:val="26"/>
        </w:rPr>
        <w:t>высокочатстоная</w:t>
      </w:r>
      <w:proofErr w:type="spellEnd"/>
      <w:r w:rsidR="008E5C6F">
        <w:rPr>
          <w:rFonts w:ascii="Times New Roman" w:hAnsi="Times New Roman" w:cs="Times New Roman"/>
          <w:sz w:val="26"/>
          <w:szCs w:val="26"/>
        </w:rPr>
        <w:t xml:space="preserve"> фильтрация.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bookmarkStart w:id="14" w:name="_Toc103636836"/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1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14"/>
      <w:bookmarkEnd w:id="1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</w:t>
      </w:r>
      <w:proofErr w:type="spellStart"/>
      <w:r w:rsidRPr="00700E2B">
        <w:rPr>
          <w:rFonts w:ascii="Times New Roman" w:eastAsiaTheme="minorEastAsia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eastAsiaTheme="minorEastAsia" w:hAnsi="Times New Roman" w:cs="Times New Roman"/>
          <w:sz w:val="26"/>
          <w:szCs w:val="26"/>
        </w:rPr>
        <w:t>-преобразования.</w:t>
      </w:r>
    </w:p>
    <w:p w:rsidR="00920B34" w:rsidRPr="00803E7F" w:rsidRDefault="00920B34" w:rsidP="00803E7F">
      <w:pPr>
        <w:pStyle w:val="2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3E7F">
        <w:rPr>
          <w:rFonts w:ascii="Times New Roman" w:eastAsiaTheme="minorEastAsia" w:hAnsi="Times New Roman" w:cs="Times New Roman"/>
          <w:b/>
          <w:sz w:val="28"/>
          <w:szCs w:val="28"/>
        </w:rPr>
        <w:t>1.5 Квантование</w:t>
      </w:r>
    </w:p>
    <w:p w:rsidR="00F87869" w:rsidRPr="00F87869" w:rsidRDefault="00F87869" w:rsidP="00F87869">
      <w:r w:rsidRPr="00F87869">
        <w:t xml:space="preserve">Проквантованный  сигнал получается из исходного сигнала </w:t>
      </w:r>
      <m:oMath>
        <m:r>
          <w:rPr>
            <w:rFonts w:ascii="Cambria Math" w:hAnsi="Cambria Math"/>
          </w:rPr>
          <m:t>Y </m:t>
        </m:r>
      </m:oMath>
      <w:r w:rsidRPr="00F87869">
        <w:t>по формуле:</w:t>
      </w:r>
    </w:p>
    <w:p w:rsidR="00F87869" w:rsidRPr="00F87869" w:rsidRDefault="00F9545E" w:rsidP="00F87869"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</m:oMath>
      </m:oMathPara>
    </w:p>
    <w:p w:rsidR="00F87869" w:rsidRPr="00F87869" w:rsidRDefault="00F87869" w:rsidP="00F87869">
      <w:r w:rsidRPr="00F8786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F87869">
        <w:t xml:space="preserve"> –шаг квантования, а оператор </w:t>
      </w:r>
      <m:oMath>
        <m:r>
          <w:rPr>
            <w:rFonts w:ascii="Cambria Math" w:hAnsi="Cambria Math"/>
          </w:rPr>
          <m:t>[]</m:t>
        </m:r>
      </m:oMath>
      <w:r w:rsidRPr="00F87869">
        <w:t xml:space="preserve"> означает взятие целой части числа.</w:t>
      </w:r>
    </w:p>
    <w:p w:rsidR="00F87869" w:rsidRPr="00F87869" w:rsidRDefault="00F87869" w:rsidP="00F87869"/>
    <w:p w:rsidR="00F87869" w:rsidRDefault="00F87869" w:rsidP="00F87869">
      <w:r w:rsidRPr="00F87869">
        <w:rPr>
          <w:noProof/>
        </w:rPr>
        <w:lastRenderedPageBreak/>
        <w:drawing>
          <wp:inline distT="0" distB="0" distL="0" distR="0" wp14:anchorId="0FA42552" wp14:editId="25A535EF">
            <wp:extent cx="5940425" cy="376047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26"/>
                    <a:stretch/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A4" w:rsidRDefault="006862A4" w:rsidP="00F87869"/>
    <w:p w:rsidR="00F87869" w:rsidRDefault="00F87869" w:rsidP="00F87869">
      <w:proofErr w:type="spellStart"/>
      <w:r w:rsidRPr="00F87869">
        <w:t>Деквантование</w:t>
      </w:r>
      <w:proofErr w:type="spellEnd"/>
      <w:r w:rsidRPr="00F87869">
        <w:t xml:space="preserve"> происходит по формуле:</w:t>
      </w:r>
    </w:p>
    <w:p w:rsidR="00F87869" w:rsidRPr="00F87869" w:rsidRDefault="00F87869" w:rsidP="00F87869"/>
    <w:p w:rsidR="00DF54D3" w:rsidRPr="00D876AB" w:rsidRDefault="00F9545E" w:rsidP="00D876A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920B34" w:rsidRPr="00920B34" w:rsidRDefault="00920B34" w:rsidP="00920B34"/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6" w:name="_Toc91635618"/>
      <w:bookmarkStart w:id="17" w:name="_Toc103636837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16"/>
      <w:bookmarkEnd w:id="17"/>
    </w:p>
    <w:p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:rsidR="00093C81" w:rsidRDefault="00093C81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8" w:name="_GoBack"/>
      <w:bookmarkEnd w:id="18"/>
    </w:p>
    <w:p w:rsidR="00093C81" w:rsidRPr="00F9545E" w:rsidRDefault="00093C81" w:rsidP="00374936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9545E">
        <w:rPr>
          <w:rFonts w:ascii="Times New Roman" w:hAnsi="Times New Roman" w:cs="Times New Roman"/>
          <w:b/>
          <w:color w:val="FF0000"/>
          <w:sz w:val="26"/>
          <w:szCs w:val="26"/>
        </w:rPr>
        <w:t>ЗДЕСЬ ДОЛЖЕН БЫТЬ ПРИМЕР КОДИРОВАНИЯ</w:t>
      </w:r>
    </w:p>
    <w:p w:rsidR="00E46468" w:rsidRDefault="00E46468" w:rsidP="002928EB">
      <w:pPr>
        <w:pStyle w:val="2"/>
        <w:jc w:val="center"/>
        <w:rPr>
          <w:b/>
          <w:sz w:val="28"/>
          <w:szCs w:val="28"/>
        </w:rPr>
      </w:pPr>
      <w:r w:rsidRPr="002928EB">
        <w:rPr>
          <w:b/>
          <w:sz w:val="28"/>
          <w:szCs w:val="28"/>
        </w:rPr>
        <w:lastRenderedPageBreak/>
        <w:t>1.8 Контекстное кодирование</w:t>
      </w:r>
    </w:p>
    <w:p w:rsidR="002928EB" w:rsidRPr="002928EB" w:rsidRDefault="002928EB" w:rsidP="002928EB">
      <w:r w:rsidRPr="002928EB">
        <w:rPr>
          <w:noProof/>
        </w:rPr>
        <w:drawing>
          <wp:inline distT="0" distB="0" distL="0" distR="0" wp14:anchorId="210D624D" wp14:editId="002C3910">
            <wp:extent cx="5938192" cy="5799908"/>
            <wp:effectExtent l="0" t="0" r="571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2" b="3112"/>
                    <a:stretch/>
                  </pic:blipFill>
                  <pic:spPr>
                    <a:xfrm>
                      <a:off x="0" y="0"/>
                      <a:ext cx="5938192" cy="5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68" w:rsidRPr="00E46468" w:rsidRDefault="00E46468" w:rsidP="00E46468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9"/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</w:t>
      </w:r>
      <w:r w:rsidR="00E03895" w:rsidRPr="005162A8">
        <w:rPr>
          <w:rFonts w:ascii="Times New Roman" w:hAnsi="Times New Roman" w:cs="Times New Roman"/>
          <w:sz w:val="26"/>
          <w:szCs w:val="26"/>
        </w:rPr>
        <w:lastRenderedPageBreak/>
        <w:t>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0" w:name="_Toc103636839"/>
      <w:r w:rsidRPr="00BA47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787F3E">
        <w:rPr>
          <w:rFonts w:ascii="Times New Roman" w:hAnsi="Times New Roman" w:cs="Times New Roman"/>
          <w:b/>
          <w:sz w:val="28"/>
          <w:szCs w:val="28"/>
        </w:rPr>
        <w:t>Квадратичная</w:t>
      </w:r>
      <w:r w:rsidRPr="00BA47BF">
        <w:rPr>
          <w:rFonts w:ascii="Times New Roman" w:hAnsi="Times New Roman" w:cs="Times New Roman"/>
          <w:b/>
          <w:sz w:val="28"/>
          <w:szCs w:val="28"/>
        </w:rPr>
        <w:t xml:space="preserve"> регрессия</w:t>
      </w:r>
      <w:bookmarkEnd w:id="20"/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Рассмотри более подробно алгоритм </w:t>
      </w:r>
      <w:r w:rsidR="008500EC">
        <w:rPr>
          <w:rFonts w:ascii="Times New Roman" w:hAnsi="Times New Roman" w:cs="Times New Roman"/>
          <w:sz w:val="26"/>
          <w:szCs w:val="26"/>
        </w:rPr>
        <w:t>квадратичной</w:t>
      </w:r>
      <w:r w:rsidR="00C51590" w:rsidRPr="00836DC7">
        <w:rPr>
          <w:rFonts w:ascii="Times New Roman" w:hAnsi="Times New Roman" w:cs="Times New Roman"/>
          <w:sz w:val="26"/>
          <w:szCs w:val="26"/>
        </w:rPr>
        <w:t xml:space="preserve">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</w:t>
      </w:r>
      <w:r w:rsidR="00CE6B87">
        <w:rPr>
          <w:rFonts w:ascii="Times New Roman" w:hAnsi="Times New Roman" w:cs="Times New Roman"/>
          <w:sz w:val="26"/>
          <w:szCs w:val="26"/>
        </w:rPr>
        <w:t>квадратичной</w:t>
      </w:r>
      <w:r w:rsidRPr="00836DC7">
        <w:rPr>
          <w:rFonts w:ascii="Times New Roman" w:hAnsi="Times New Roman" w:cs="Times New Roman"/>
          <w:sz w:val="26"/>
          <w:szCs w:val="26"/>
        </w:rPr>
        <w:t xml:space="preserve"> регрессии состоит в нахождении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2F2B80">
        <w:rPr>
          <w:rFonts w:ascii="Times New Roman" w:hAnsi="Times New Roman" w:cs="Times New Roman"/>
          <w:sz w:val="26"/>
          <w:szCs w:val="26"/>
        </w:rPr>
        <w:t xml:space="preserve"> – матрицы</w:t>
      </w:r>
      <w:r w:rsidRPr="00836DC7">
        <w:rPr>
          <w:rFonts w:ascii="Times New Roman" w:hAnsi="Times New Roman" w:cs="Times New Roman"/>
          <w:sz w:val="26"/>
          <w:szCs w:val="26"/>
        </w:rPr>
        <w:t xml:space="preserve"> весовых коэффициентов,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A, B, 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3636840"/>
      <w:r w:rsidRPr="00BA47BF">
        <w:rPr>
          <w:rFonts w:ascii="Times New Roman" w:hAnsi="Times New Roman" w:cs="Times New Roman"/>
          <w:b/>
          <w:sz w:val="28"/>
          <w:szCs w:val="28"/>
        </w:rPr>
        <w:lastRenderedPageBreak/>
        <w:t>1.9 Случайный лес</w:t>
      </w:r>
      <w:bookmarkEnd w:id="21"/>
    </w:p>
    <w:p w:rsidR="00210E4C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C30BE6" w:rsidRPr="00836DC7" w:rsidRDefault="00C30BE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30B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C93055" wp14:editId="614FFCC0">
            <wp:extent cx="4232500" cy="3723590"/>
            <wp:effectExtent l="0" t="0" r="0" b="0"/>
            <wp:docPr id="4098" name="Picture 2" descr="алгоритм / Решающее дерево /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алгоритм / Решающее дерево /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7"/>
                    <a:stretch/>
                  </pic:blipFill>
                  <pic:spPr bwMode="auto">
                    <a:xfrm>
                      <a:off x="0" y="0"/>
                      <a:ext cx="4232500" cy="3723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2" w:name="_Toc91635624"/>
      <w:bookmarkStart w:id="23" w:name="_Toc103636841"/>
      <w:r w:rsidRPr="00700E2B">
        <w:rPr>
          <w:rFonts w:ascii="Times New Roman" w:hAnsi="Times New Roman" w:cs="Times New Roman"/>
          <w:b/>
          <w:szCs w:val="26"/>
        </w:rPr>
        <w:lastRenderedPageBreak/>
        <w:t xml:space="preserve">Список </w:t>
      </w:r>
      <w:bookmarkEnd w:id="22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3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BF6D65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[6]</w:t>
      </w:r>
      <w:r w:rsidR="00C62A07">
        <w:rPr>
          <w:rFonts w:ascii="Times New Roman" w:hAnsi="Times New Roman" w:cs="Times New Roman"/>
          <w:sz w:val="26"/>
          <w:szCs w:val="26"/>
        </w:rPr>
        <w:t xml:space="preserve"> Научная библиотека </w:t>
      </w:r>
      <w:r w:rsidR="00C62A07" w:rsidRPr="00C62A07">
        <w:rPr>
          <w:rFonts w:ascii="Times New Roman" w:hAnsi="Times New Roman" w:cs="Times New Roman"/>
          <w:sz w:val="26"/>
          <w:szCs w:val="26"/>
        </w:rPr>
        <w:t>[</w:t>
      </w:r>
      <w:r w:rsidR="00C62A07">
        <w:rPr>
          <w:rFonts w:ascii="Times New Roman" w:hAnsi="Times New Roman" w:cs="Times New Roman"/>
          <w:sz w:val="26"/>
          <w:szCs w:val="26"/>
        </w:rPr>
        <w:t>Электронный ресурс</w:t>
      </w:r>
      <w:r w:rsidR="00C62A07" w:rsidRPr="00C62A07">
        <w:rPr>
          <w:rFonts w:ascii="Times New Roman" w:hAnsi="Times New Roman" w:cs="Times New Roman"/>
          <w:sz w:val="26"/>
          <w:szCs w:val="26"/>
        </w:rPr>
        <w:t>]</w:t>
      </w:r>
      <w:r w:rsidR="008534AA">
        <w:rPr>
          <w:rFonts w:ascii="Times New Roman" w:hAnsi="Times New Roman" w:cs="Times New Roman"/>
          <w:sz w:val="26"/>
          <w:szCs w:val="26"/>
        </w:rPr>
        <w:t xml:space="preserve">. </w:t>
      </w:r>
      <w:r w:rsidR="008534AA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8534AA" w:rsidRPr="00BF6D65">
        <w:rPr>
          <w:rFonts w:ascii="Times New Roman" w:hAnsi="Times New Roman" w:cs="Times New Roman"/>
          <w:sz w:val="26"/>
          <w:szCs w:val="26"/>
        </w:rPr>
        <w:t xml:space="preserve">: </w:t>
      </w:r>
      <w:r w:rsidRPr="00BF6D65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093C81"/>
    <w:rsid w:val="000D64D1"/>
    <w:rsid w:val="000F6F2A"/>
    <w:rsid w:val="001210F5"/>
    <w:rsid w:val="00151796"/>
    <w:rsid w:val="001611EC"/>
    <w:rsid w:val="00161411"/>
    <w:rsid w:val="001873B9"/>
    <w:rsid w:val="00190192"/>
    <w:rsid w:val="001953A7"/>
    <w:rsid w:val="001B5C99"/>
    <w:rsid w:val="001C6CBF"/>
    <w:rsid w:val="00205D3D"/>
    <w:rsid w:val="00210E4C"/>
    <w:rsid w:val="00222E5E"/>
    <w:rsid w:val="00226ACC"/>
    <w:rsid w:val="002669BC"/>
    <w:rsid w:val="00283973"/>
    <w:rsid w:val="002928EB"/>
    <w:rsid w:val="002C7433"/>
    <w:rsid w:val="002E500E"/>
    <w:rsid w:val="002F2B80"/>
    <w:rsid w:val="00306A24"/>
    <w:rsid w:val="0032609B"/>
    <w:rsid w:val="00374936"/>
    <w:rsid w:val="00386C39"/>
    <w:rsid w:val="003A73E0"/>
    <w:rsid w:val="003D33D2"/>
    <w:rsid w:val="003E1A44"/>
    <w:rsid w:val="003F7823"/>
    <w:rsid w:val="00474F61"/>
    <w:rsid w:val="004B2CE6"/>
    <w:rsid w:val="004E1315"/>
    <w:rsid w:val="004F7F36"/>
    <w:rsid w:val="00506453"/>
    <w:rsid w:val="00515374"/>
    <w:rsid w:val="005162A8"/>
    <w:rsid w:val="00527509"/>
    <w:rsid w:val="0054080C"/>
    <w:rsid w:val="00616EA0"/>
    <w:rsid w:val="00653FD6"/>
    <w:rsid w:val="006737D9"/>
    <w:rsid w:val="00675FCF"/>
    <w:rsid w:val="006862A4"/>
    <w:rsid w:val="006B2063"/>
    <w:rsid w:val="006D1CBE"/>
    <w:rsid w:val="006D661F"/>
    <w:rsid w:val="006F5603"/>
    <w:rsid w:val="00701132"/>
    <w:rsid w:val="007073B5"/>
    <w:rsid w:val="00715A11"/>
    <w:rsid w:val="00731D96"/>
    <w:rsid w:val="007328C0"/>
    <w:rsid w:val="007826D8"/>
    <w:rsid w:val="00787F3E"/>
    <w:rsid w:val="00791DE5"/>
    <w:rsid w:val="007B0A5F"/>
    <w:rsid w:val="00803E7F"/>
    <w:rsid w:val="00814C15"/>
    <w:rsid w:val="00821637"/>
    <w:rsid w:val="00836DC7"/>
    <w:rsid w:val="008500EC"/>
    <w:rsid w:val="00851D2F"/>
    <w:rsid w:val="008534AA"/>
    <w:rsid w:val="00855363"/>
    <w:rsid w:val="0087076C"/>
    <w:rsid w:val="00884DA3"/>
    <w:rsid w:val="008E58D6"/>
    <w:rsid w:val="008E5C6F"/>
    <w:rsid w:val="008F26D7"/>
    <w:rsid w:val="00900C25"/>
    <w:rsid w:val="00907960"/>
    <w:rsid w:val="00920B34"/>
    <w:rsid w:val="009417DD"/>
    <w:rsid w:val="00941A2A"/>
    <w:rsid w:val="00970F8E"/>
    <w:rsid w:val="00976DB8"/>
    <w:rsid w:val="00982C85"/>
    <w:rsid w:val="009A4E09"/>
    <w:rsid w:val="00A22D93"/>
    <w:rsid w:val="00A23479"/>
    <w:rsid w:val="00A309E7"/>
    <w:rsid w:val="00A7425F"/>
    <w:rsid w:val="00A977EC"/>
    <w:rsid w:val="00AA7331"/>
    <w:rsid w:val="00AF05CD"/>
    <w:rsid w:val="00B01B95"/>
    <w:rsid w:val="00B17307"/>
    <w:rsid w:val="00B2001B"/>
    <w:rsid w:val="00B63232"/>
    <w:rsid w:val="00B708A0"/>
    <w:rsid w:val="00B85518"/>
    <w:rsid w:val="00BA47BF"/>
    <w:rsid w:val="00BB2627"/>
    <w:rsid w:val="00BF6D65"/>
    <w:rsid w:val="00C30BE6"/>
    <w:rsid w:val="00C51590"/>
    <w:rsid w:val="00C62A07"/>
    <w:rsid w:val="00CA5E28"/>
    <w:rsid w:val="00CA6B02"/>
    <w:rsid w:val="00CD7E2D"/>
    <w:rsid w:val="00CE6B87"/>
    <w:rsid w:val="00D239F1"/>
    <w:rsid w:val="00D43A76"/>
    <w:rsid w:val="00D60F09"/>
    <w:rsid w:val="00D86E77"/>
    <w:rsid w:val="00D876AB"/>
    <w:rsid w:val="00DC0C8A"/>
    <w:rsid w:val="00DF54D3"/>
    <w:rsid w:val="00E03863"/>
    <w:rsid w:val="00E03895"/>
    <w:rsid w:val="00E05300"/>
    <w:rsid w:val="00E21802"/>
    <w:rsid w:val="00E46468"/>
    <w:rsid w:val="00E740D5"/>
    <w:rsid w:val="00E76D32"/>
    <w:rsid w:val="00E87B13"/>
    <w:rsid w:val="00E97954"/>
    <w:rsid w:val="00EE1D46"/>
    <w:rsid w:val="00EE4F0E"/>
    <w:rsid w:val="00EF4B9A"/>
    <w:rsid w:val="00F20212"/>
    <w:rsid w:val="00F81F9F"/>
    <w:rsid w:val="00F853E2"/>
    <w:rsid w:val="00F87869"/>
    <w:rsid w:val="00F9545E"/>
    <w:rsid w:val="00FB120C"/>
    <w:rsid w:val="00FD1240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C53A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81F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ask.ru/a_lect_cod.php?id=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7DBB-46E5-4721-8537-118AAB7E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12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с</cp:lastModifiedBy>
  <cp:revision>192</cp:revision>
  <dcterms:created xsi:type="dcterms:W3CDTF">2022-05-14T14:43:00Z</dcterms:created>
  <dcterms:modified xsi:type="dcterms:W3CDTF">2022-05-29T19:33:00Z</dcterms:modified>
</cp:coreProperties>
</file>