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47270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E371E36">
      <w:pPr>
        <w:jc w:val="center"/>
        <w:rPr>
          <w:b/>
          <w:sz w:val="28"/>
          <w:u w:val="single"/>
        </w:rPr>
      </w:pPr>
    </w:p>
    <w:p w14:paraId="138ECA32">
      <w:pPr>
        <w:jc w:val="center"/>
        <w:rPr>
          <w:b/>
          <w:sz w:val="28"/>
          <w:u w:val="single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8"/>
      </w:tblGrid>
      <w:tr w14:paraId="5D464D74">
        <w:trPr>
          <w:jc w:val="center"/>
        </w:trPr>
        <w:tc>
          <w:tcPr>
            <w:tcW w:w="6698" w:type="dxa"/>
          </w:tcPr>
          <w:p w14:paraId="67EFAC1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机器学习                 </w:t>
            </w:r>
          </w:p>
          <w:p w14:paraId="70A8E216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线性回归算法                </w:t>
            </w:r>
          </w:p>
          <w:p w14:paraId="19F6650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计算机与软件学院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1C8D5FFC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人工智能卓越班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76A7F5C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魏军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248BB13A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邓瑞霖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学号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2024150040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1E1AB5E5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2026年4月21日-2026年5月8日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      </w:t>
            </w:r>
          </w:p>
          <w:p w14:paraId="01C0D209">
            <w:pPr>
              <w:spacing w:before="312" w:beforeLines="100" w:after="312" w:afterLines="100"/>
              <w:rPr>
                <w:b/>
                <w:sz w:val="44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2026年4月25日星期六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</w:tbl>
    <w:p w14:paraId="6D163F18">
      <w:pPr>
        <w:jc w:val="center"/>
        <w:rPr>
          <w:b/>
          <w:sz w:val="28"/>
          <w:u w:val="single"/>
        </w:rPr>
      </w:pPr>
    </w:p>
    <w:p w14:paraId="097F7867">
      <w:pPr>
        <w:jc w:val="center"/>
        <w:rPr>
          <w:b/>
          <w:sz w:val="28"/>
          <w:u w:val="single"/>
        </w:rPr>
      </w:pPr>
    </w:p>
    <w:p w14:paraId="7A3AC47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3B90A44F">
      <w:pPr>
        <w:jc w:val="center"/>
        <w:rPr>
          <w:b/>
          <w:sz w:val="28"/>
          <w:u w:val="single"/>
        </w:rPr>
      </w:pPr>
    </w:p>
    <w:p w14:paraId="36FC4DD5">
      <w:pPr>
        <w:jc w:val="center"/>
        <w:rPr>
          <w:b/>
          <w:sz w:val="28"/>
          <w:u w:val="single"/>
        </w:rPr>
      </w:pPr>
    </w:p>
    <w:p w14:paraId="0842A3C6">
      <w:pPr>
        <w:pStyle w:val="2"/>
      </w:pPr>
      <w:r>
        <w:rPr>
          <w:rFonts w:hint="eastAsia"/>
        </w:rPr>
        <w:t>一、实验目的</w:t>
      </w:r>
    </w:p>
    <w:p w14:paraId="2C0A7DFC">
      <w:pPr>
        <w:pStyle w:val="12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18"/>
          <w:szCs w:val="18"/>
        </w:rPr>
        <w:t xml:space="preserve">理解线性回归模型的基本原理及其数学基础，掌握连续值预测问题的建模思想。 </w:t>
      </w:r>
    </w:p>
    <w:p w14:paraId="10F9EFBA">
      <w:pPr>
        <w:pStyle w:val="12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18"/>
          <w:szCs w:val="18"/>
        </w:rPr>
        <w:t xml:space="preserve">掌握最小二乘法求解线性回归参数的方法，理解损失函数与参数估计之间的关系。 </w:t>
      </w:r>
    </w:p>
    <w:p w14:paraId="09856446">
      <w:pPr>
        <w:pStyle w:val="12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18"/>
          <w:szCs w:val="18"/>
        </w:rPr>
        <w:t xml:space="preserve">学会利用梯度下降法（BGD与SGD）训练线性回归模型，并观察模型损失随迭代过程的变化。 </w:t>
      </w:r>
    </w:p>
    <w:p w14:paraId="581950E5">
      <w:pPr>
        <w:pStyle w:val="12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18"/>
          <w:szCs w:val="18"/>
        </w:rPr>
        <w:t xml:space="preserve">理解正则化思想在线性回归中的作用，掌握岭回归（Ridge/L2正则化）的基本原理与实现方法。 </w:t>
      </w:r>
    </w:p>
    <w:p w14:paraId="36218168">
      <w:pPr>
        <w:pStyle w:val="12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18"/>
          <w:szCs w:val="18"/>
        </w:rPr>
        <w:t xml:space="preserve">理解 Lasso回归（L1正则化）的稀疏化特性，掌握其进行特征选择的基本作用。 </w:t>
      </w:r>
    </w:p>
    <w:p w14:paraId="678406E5">
      <w:pPr>
        <w:pStyle w:val="12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18"/>
          <w:szCs w:val="18"/>
        </w:rPr>
        <w:t>熟悉 Python 中 numpy、pandas、matplotlib、scikit-learn 等库在机器学习回归任务中的基本用法。</w:t>
      </w:r>
    </w:p>
    <w:p w14:paraId="758DBD77">
      <w:pPr>
        <w:pStyle w:val="2"/>
      </w:pPr>
      <w:r>
        <w:rPr>
          <w:rFonts w:hint="eastAsia"/>
        </w:rPr>
        <w:t>二、实验内容</w:t>
      </w:r>
    </w:p>
    <w:p w14:paraId="7C80EB45">
      <w:pPr>
        <w:pStyle w:val="13"/>
        <w:numPr>
          <w:ilvl w:val="0"/>
          <w:numId w:val="2"/>
        </w:numPr>
        <w:snapToGrid w:val="0"/>
        <w:spacing w:line="360" w:lineRule="auto"/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参考“实验教程.docx”，自己练习并熟悉线性回归的使用</w:t>
      </w:r>
    </w:p>
    <w:p w14:paraId="7852AB47">
      <w:pPr>
        <w:pStyle w:val="13"/>
        <w:numPr>
          <w:ilvl w:val="0"/>
          <w:numId w:val="2"/>
        </w:numPr>
        <w:snapToGrid w:val="0"/>
        <w:spacing w:line="360" w:lineRule="auto"/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完成“实验教程.docx”给出的练习题与思考题，将操作过程和操作结果截图记录下来，写在下面的实验记录中。</w:t>
      </w:r>
    </w:p>
    <w:p w14:paraId="0D657C63">
      <w:pPr>
        <w:rPr>
          <w:b/>
          <w:szCs w:val="21"/>
        </w:rPr>
      </w:pPr>
    </w:p>
    <w:p w14:paraId="76D19C33">
      <w:pPr>
        <w:pStyle w:val="2"/>
      </w:pPr>
      <w:r>
        <w:rPr>
          <w:rFonts w:hint="eastAsia"/>
        </w:rPr>
        <w:t>三、注意事项</w:t>
      </w:r>
    </w:p>
    <w:p w14:paraId="4EA1E816">
      <w:pPr>
        <w:pStyle w:val="12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bookmarkStart w:id="0" w:name="OLE_LINK1"/>
      <w:r>
        <w:rPr>
          <w:rFonts w:hint="eastAsia" w:ascii="宋体" w:hAnsi="宋体"/>
          <w:bCs/>
          <w:sz w:val="20"/>
          <w:szCs w:val="20"/>
        </w:rPr>
        <w:t>独立完成实验内容和报告，禁止抄袭，若发现抄袭，</w:t>
      </w:r>
      <w:r>
        <w:rPr>
          <w:rFonts w:ascii="宋体" w:hAnsi="宋体"/>
          <w:bCs/>
          <w:color w:val="EE0000"/>
          <w:sz w:val="20"/>
          <w:szCs w:val="20"/>
        </w:rPr>
        <w:t>抄袭</w:t>
      </w:r>
      <w:r>
        <w:rPr>
          <w:rFonts w:hint="eastAsia" w:ascii="宋体" w:hAnsi="宋体"/>
          <w:bCs/>
          <w:color w:val="EE0000"/>
          <w:sz w:val="20"/>
          <w:szCs w:val="20"/>
        </w:rPr>
        <w:t>以及被抄袭</w:t>
      </w:r>
      <w:r>
        <w:rPr>
          <w:rFonts w:ascii="宋体" w:hAnsi="宋体"/>
          <w:bCs/>
          <w:color w:val="EE0000"/>
          <w:sz w:val="20"/>
          <w:szCs w:val="20"/>
        </w:rPr>
        <w:t>的</w:t>
      </w:r>
      <w:r>
        <w:rPr>
          <w:rFonts w:hint="eastAsia" w:ascii="宋体" w:hAnsi="宋体"/>
          <w:bCs/>
          <w:color w:val="EE0000"/>
          <w:sz w:val="20"/>
          <w:szCs w:val="20"/>
        </w:rPr>
        <w:t>报告均</w:t>
      </w:r>
      <w:r>
        <w:rPr>
          <w:rFonts w:ascii="宋体" w:hAnsi="宋体"/>
          <w:bCs/>
          <w:color w:val="EE0000"/>
          <w:sz w:val="20"/>
          <w:szCs w:val="20"/>
        </w:rPr>
        <w:t>会被判为零分</w:t>
      </w:r>
    </w:p>
    <w:p w14:paraId="34518356">
      <w:pPr>
        <w:pStyle w:val="12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实验报告的总篇幅不少于7页</w:t>
      </w:r>
    </w:p>
    <w:p w14:paraId="362850EF">
      <w:pPr>
        <w:pStyle w:val="12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将</w:t>
      </w:r>
      <w:r>
        <w:rPr>
          <w:rFonts w:ascii="宋体" w:hAnsi="宋体"/>
          <w:bCs/>
          <w:sz w:val="20"/>
          <w:szCs w:val="20"/>
        </w:rPr>
        <w:t>实验报告</w:t>
      </w:r>
      <w:r>
        <w:rPr>
          <w:rFonts w:hint="eastAsia" w:ascii="宋体" w:hAnsi="宋体"/>
          <w:bCs/>
          <w:sz w:val="20"/>
          <w:szCs w:val="20"/>
        </w:rPr>
        <w:t>和可视化的结果图压缩到一个zip文件中</w:t>
      </w:r>
    </w:p>
    <w:p w14:paraId="43B5C0BC">
      <w:pPr>
        <w:pStyle w:val="12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命名规则，压缩包命名“</w:t>
      </w:r>
      <w:r>
        <w:rPr>
          <w:rFonts w:hint="eastAsia" w:ascii="宋体" w:hAnsi="宋体"/>
          <w:bCs/>
          <w:color w:val="EE0000"/>
          <w:sz w:val="20"/>
          <w:szCs w:val="20"/>
        </w:rPr>
        <w:t>学号+姓名+线性回归算法.zip</w:t>
      </w:r>
      <w:r>
        <w:rPr>
          <w:rFonts w:ascii="宋体" w:hAnsi="宋体"/>
          <w:bCs/>
          <w:sz w:val="20"/>
          <w:szCs w:val="20"/>
        </w:rPr>
        <w:t>”</w:t>
      </w:r>
      <w:r>
        <w:rPr>
          <w:rFonts w:hint="eastAsia" w:ascii="宋体" w:hAnsi="宋体"/>
          <w:bCs/>
          <w:sz w:val="20"/>
          <w:szCs w:val="20"/>
        </w:rPr>
        <w:t>，压缩包内每个文档命名如下，方便老师知道每个结果图分别对应哪一部分：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 xml:space="preserve">“学号+姓名+实验报告.docx”, 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>“学号+姓名+【题目简写】.png”，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 xml:space="preserve">          </w:t>
      </w:r>
      <w:r>
        <w:rPr>
          <w:rFonts w:ascii="宋体" w:hAnsi="宋体"/>
          <w:bCs/>
          <w:sz w:val="20"/>
          <w:szCs w:val="20"/>
        </w:rPr>
        <w:t>…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>“学号+姓名+【题目简写】.png”</w:t>
      </w:r>
    </w:p>
    <w:p w14:paraId="7C838E8B">
      <w:pPr>
        <w:pStyle w:val="12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本次实验共</w:t>
      </w:r>
      <w:r>
        <w:rPr>
          <w:rFonts w:hint="eastAsia" w:ascii="宋体" w:hAnsi="宋体"/>
          <w:bCs/>
          <w:color w:val="EE0000"/>
          <w:sz w:val="20"/>
          <w:szCs w:val="20"/>
        </w:rPr>
        <w:t>4个学时</w:t>
      </w:r>
      <w:r>
        <w:rPr>
          <w:rFonts w:hint="eastAsia" w:ascii="宋体" w:hAnsi="宋体"/>
          <w:bCs/>
          <w:sz w:val="20"/>
          <w:szCs w:val="20"/>
        </w:rPr>
        <w:t>，分两次实验课完成，实验报告提交</w:t>
      </w:r>
      <w:r>
        <w:rPr>
          <w:rFonts w:ascii="宋体" w:hAnsi="宋体"/>
          <w:bCs/>
          <w:sz w:val="20"/>
          <w:szCs w:val="20"/>
        </w:rPr>
        <w:t>截止日期</w:t>
      </w:r>
      <w:r>
        <w:rPr>
          <w:rFonts w:hint="eastAsia" w:ascii="宋体" w:hAnsi="宋体"/>
          <w:bCs/>
          <w:sz w:val="20"/>
          <w:szCs w:val="20"/>
        </w:rPr>
        <w:t>：</w:t>
      </w:r>
      <w:r>
        <w:rPr>
          <w:rFonts w:hint="eastAsia" w:ascii="宋体" w:hAnsi="宋体"/>
          <w:bCs/>
          <w:color w:val="EE0000"/>
          <w:sz w:val="20"/>
          <w:szCs w:val="20"/>
        </w:rPr>
        <w:t>2026年05</w:t>
      </w:r>
      <w:r>
        <w:rPr>
          <w:rFonts w:ascii="宋体" w:hAnsi="宋体"/>
          <w:bCs/>
          <w:color w:val="EE0000"/>
          <w:sz w:val="20"/>
          <w:szCs w:val="20"/>
        </w:rPr>
        <w:t>月</w:t>
      </w:r>
      <w:r>
        <w:rPr>
          <w:rFonts w:hint="eastAsia" w:ascii="宋体" w:hAnsi="宋体"/>
          <w:bCs/>
          <w:color w:val="EE0000"/>
          <w:sz w:val="20"/>
          <w:szCs w:val="20"/>
        </w:rPr>
        <w:t>8</w:t>
      </w:r>
      <w:r>
        <w:rPr>
          <w:rFonts w:ascii="宋体" w:hAnsi="宋体"/>
          <w:bCs/>
          <w:color w:val="EE0000"/>
          <w:sz w:val="20"/>
          <w:szCs w:val="20"/>
        </w:rPr>
        <w:t>日</w:t>
      </w:r>
      <w:r>
        <w:rPr>
          <w:rFonts w:hint="eastAsia" w:ascii="宋体" w:hAnsi="宋体"/>
          <w:bCs/>
          <w:color w:val="EE0000"/>
          <w:sz w:val="20"/>
          <w:szCs w:val="20"/>
        </w:rPr>
        <w:t>晚上23:59</w:t>
      </w:r>
      <w:bookmarkEnd w:id="0"/>
    </w:p>
    <w:p w14:paraId="10504508">
      <w:pPr>
        <w:pStyle w:val="2"/>
        <w:rPr>
          <w:bCs w:val="0"/>
          <w:color w:val="FF0000"/>
          <w:kern w:val="2"/>
          <w:sz w:val="21"/>
          <w:szCs w:val="21"/>
        </w:rPr>
      </w:pPr>
      <w:r>
        <w:rPr>
          <w:rFonts w:hint="eastAsia"/>
        </w:rPr>
        <w:t>四、实验记录</w:t>
      </w:r>
      <w:r>
        <w:br w:type="textWrapping"/>
      </w:r>
      <w:r>
        <w:rPr>
          <w:rFonts w:hint="eastAsia"/>
          <w:bCs w:val="0"/>
          <w:color w:val="FF0000"/>
          <w:kern w:val="2"/>
          <w:sz w:val="18"/>
          <w:szCs w:val="18"/>
        </w:rPr>
        <w:t>（请将实验操作过程和操作结果记录下来，截图展示并加文字描述）</w:t>
      </w:r>
    </w:p>
    <w:p w14:paraId="67398147">
      <w:pPr>
        <w:rPr>
          <w:sz w:val="18"/>
          <w:szCs w:val="21"/>
        </w:rPr>
      </w:pPr>
    </w:p>
    <w:p w14:paraId="2ED56811">
      <w:pPr>
        <w:rPr>
          <w:sz w:val="18"/>
          <w:szCs w:val="21"/>
        </w:rPr>
      </w:pPr>
    </w:p>
    <w:p w14:paraId="0B53601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 单变量线性回归</w:t>
      </w:r>
    </w:p>
    <w:p w14:paraId="0E4F3F4B">
      <w:pPr>
        <w:numPr>
          <w:numId w:val="0"/>
        </w:numPr>
        <w:spacing w:line="300" w:lineRule="auto"/>
        <w:ind w:leftChars="0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default"/>
          <w:b w:val="0"/>
          <w:bCs/>
          <w:sz w:val="21"/>
          <w:szCs w:val="21"/>
          <w:lang w:val="en-US" w:eastAsia="zh-CN"/>
        </w:rPr>
        <w:t>采用数据集regress_data1.csv进行单变量线性回归实验</w:t>
      </w:r>
    </w:p>
    <w:p w14:paraId="71B93F60">
      <w:pPr>
        <w:numPr>
          <w:numId w:val="0"/>
        </w:numPr>
        <w:spacing w:line="300" w:lineRule="auto"/>
        <w:ind w:leftChars="0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default"/>
          <w:b w:val="0"/>
          <w:bCs/>
          <w:sz w:val="21"/>
          <w:szCs w:val="21"/>
          <w:lang w:val="en-US" w:eastAsia="zh-CN"/>
        </w:rPr>
        <w:t>画出原始数据分布的散点图（x=“人口”，y=”收益”）</w:t>
      </w:r>
    </w:p>
    <w:p w14:paraId="77D777E4">
      <w:pPr>
        <w:numPr>
          <w:numId w:val="0"/>
        </w:numPr>
        <w:spacing w:line="300" w:lineRule="auto"/>
        <w:ind w:left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将regress</w:t>
      </w:r>
      <w:r>
        <w:rPr>
          <w:rFonts w:hint="default"/>
          <w:b w:val="0"/>
          <w:bCs/>
          <w:sz w:val="21"/>
          <w:szCs w:val="21"/>
          <w:lang w:val="en-US" w:eastAsia="zh-CN"/>
        </w:rPr>
        <w:t>_data1.csv</w:t>
      </w:r>
      <w:r>
        <w:rPr>
          <w:rFonts w:hint="eastAsia"/>
          <w:b w:val="0"/>
          <w:bCs/>
          <w:sz w:val="21"/>
          <w:szCs w:val="21"/>
          <w:lang w:val="en-US" w:eastAsia="zh-CN"/>
        </w:rPr>
        <w:t>导入进去，并将数据划分为</w:t>
      </w:r>
      <w:r>
        <w:rPr>
          <w:rFonts w:hint="default"/>
          <w:b w:val="0"/>
          <w:bCs/>
          <w:sz w:val="21"/>
          <w:szCs w:val="21"/>
          <w:lang w:val="en-US" w:eastAsia="zh-CN"/>
        </w:rPr>
        <w:t>x, y</w:t>
      </w:r>
      <w:r>
        <w:rPr>
          <w:rFonts w:hint="eastAsia"/>
          <w:b w:val="0"/>
          <w:bCs/>
          <w:sz w:val="21"/>
          <w:szCs w:val="21"/>
          <w:lang w:val="en-US" w:eastAsia="zh-CN"/>
        </w:rPr>
        <w:t>，分别表示人口与收益</w:t>
      </w:r>
    </w:p>
    <w:p w14:paraId="7980237B">
      <w:pPr>
        <w:numPr>
          <w:numId w:val="0"/>
        </w:numPr>
        <w:spacing w:line="300" w:lineRule="auto"/>
        <w:ind w:leftChars="0"/>
      </w:pPr>
      <w:r>
        <w:drawing>
          <wp:inline distT="0" distB="0" distL="114300" distR="114300">
            <wp:extent cx="5267960" cy="1741170"/>
            <wp:effectExtent l="0" t="0" r="152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35B3">
      <w:pPr>
        <w:numPr>
          <w:numId w:val="0"/>
        </w:numPr>
        <w:spacing w:line="30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画出x与y的散点图：</w:t>
      </w:r>
    </w:p>
    <w:p w14:paraId="70D5EA76">
      <w:pPr>
        <w:numPr>
          <w:numId w:val="0"/>
        </w:numPr>
        <w:spacing w:line="300" w:lineRule="auto"/>
        <w:ind w:leftChars="0"/>
      </w:pPr>
      <w:r>
        <w:drawing>
          <wp:inline distT="0" distB="0" distL="114300" distR="114300">
            <wp:extent cx="5272405" cy="1336675"/>
            <wp:effectExtent l="0" t="0" r="1079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952B">
      <w:pPr>
        <w:numPr>
          <w:numId w:val="0"/>
        </w:numPr>
        <w:spacing w:line="30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散点图如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"图一"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图一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所示：</w:t>
      </w:r>
    </w:p>
    <w:p w14:paraId="5A6FD894">
      <w:pPr>
        <w:numPr>
          <w:numId w:val="0"/>
        </w:numPr>
        <w:spacing w:line="300" w:lineRule="auto"/>
        <w:ind w:leftChars="0"/>
        <w:rPr>
          <w:rFonts w:hint="default"/>
          <w:lang w:val="en-US" w:eastAsia="zh-CN"/>
        </w:rPr>
      </w:pPr>
      <w:bookmarkStart w:id="1" w:name="图一"/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4" name="图片 4" descr="2024150040邓瑞霖-人口与收益原始数据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4150040邓瑞霖-人口与收益原始数据关系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25BF">
      <w:pPr>
        <w:numPr>
          <w:numId w:val="0"/>
        </w:numPr>
        <w:spacing w:line="300" w:lineRule="auto"/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图一 人口与收益的关系散点图</w:t>
      </w:r>
    </w:p>
    <w:bookmarkEnd w:id="1"/>
    <w:p w14:paraId="2CBB0220">
      <w:pPr>
        <w:numPr>
          <w:numId w:val="0"/>
        </w:numPr>
        <w:spacing w:line="300" w:lineRule="auto"/>
        <w:ind w:left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default"/>
          <w:b w:val="0"/>
          <w:bCs/>
          <w:sz w:val="21"/>
          <w:szCs w:val="21"/>
          <w:lang w:val="en-US" w:eastAsia="zh-CN"/>
        </w:rPr>
        <w:t>以最小平方误差为目标函数，构造模型的损失（误差）计算函数</w:t>
      </w:r>
      <w:r>
        <w:rPr>
          <w:rFonts w:hint="eastAsia"/>
          <w:b w:val="0"/>
          <w:bCs/>
          <w:sz w:val="21"/>
          <w:szCs w:val="21"/>
          <w:lang w:val="en-US" w:eastAsia="zh-CN"/>
        </w:rPr>
        <w:t>:</w:t>
      </w:r>
    </w:p>
    <w:p w14:paraId="6F7787C2">
      <w:pPr>
        <w:numPr>
          <w:numId w:val="0"/>
        </w:numPr>
        <w:spacing w:line="300" w:lineRule="auto"/>
        <w:ind w:leftChars="0"/>
        <w:rPr>
          <w:rFonts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J(w)=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2m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i=1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ℎ(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(i)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)−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(i)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</m:oMath>
      </m:oMathPara>
    </w:p>
    <w:p w14:paraId="5ADCDE53">
      <w:pPr>
        <w:spacing w:line="300" w:lineRule="auto"/>
      </w:pPr>
      <w:r>
        <w:rPr>
          <w:rFonts w:hint="default"/>
          <w:b w:val="0"/>
          <w:bCs/>
          <w:sz w:val="21"/>
          <w:szCs w:val="21"/>
          <w:lang w:val="en-US" w:eastAsia="zh-CN"/>
        </w:rPr>
        <w:t>其中，</w:t>
      </w:r>
      <m:oMath>
        <m:r>
          <m:rPr/>
          <w:rPr>
            <w:rFonts w:hint="default" w:ascii="Cambria Math" w:hAnsi="Cambria Math"/>
            <w:sz w:val="21"/>
          </w:rPr>
          <m:t>ℎ(x)=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X=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 xml:space="preserve"> （约定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x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</m:t>
        </m:r>
      </m:oMath>
      <w:r>
        <w:rPr>
          <w:rFonts w:hint="eastAsia" w:hAnsi="Cambria Math"/>
          <w:i w:val="0"/>
          <w:sz w:val="21"/>
          <w:lang w:val="en-US" w:eastAsia="zh-CN"/>
        </w:rPr>
        <w:t>）</w:t>
      </w:r>
    </w:p>
    <w:p w14:paraId="67F8EDAB">
      <w:pPr>
        <w:numPr>
          <w:numId w:val="0"/>
        </w:numPr>
        <w:spacing w:line="300" w:lineRule="auto"/>
        <w:ind w:leftChars="0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default"/>
          <w:b w:val="0"/>
          <w:bCs/>
          <w:sz w:val="21"/>
          <w:szCs w:val="21"/>
          <w:lang w:val="en-US" w:eastAsia="zh-CN"/>
        </w:rPr>
        <w:t>实现批量梯度下降算法（Batch Gradient Decent）：</w:t>
      </w:r>
    </w:p>
    <w:p w14:paraId="62D8372F">
      <w:pPr>
        <w:spacing w:line="300" w:lineRule="auto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参数更新规则如下（向量化表示或使用循环）：</w:t>
      </w:r>
    </w:p>
    <w:p w14:paraId="5ABD6548">
      <w:pPr>
        <w:spacing w:line="300" w:lineRule="auto"/>
        <w:rPr>
          <w:rFonts w:hint="default" w:eastAsia="宋体"/>
          <w:b w:val="0"/>
          <w:bCs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j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'=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w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j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−α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i=1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m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</w:rPr>
            <m:t>J(w)</m:t>
          </m:r>
        </m:oMath>
      </m:oMathPara>
    </w:p>
    <w:p w14:paraId="41CE7E9B">
      <w:pPr>
        <w:spacing w:line="300" w:lineRule="auto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default"/>
          <w:b w:val="0"/>
          <w:bCs/>
          <w:sz w:val="21"/>
          <w:szCs w:val="21"/>
          <w:lang w:val="en-US" w:eastAsia="zh-CN"/>
        </w:rPr>
        <w:t>其中，迭代轮数epoch设定为1000轮，学习率设定为 0.01，参数初始化为0。</w:t>
      </w:r>
    </w:p>
    <w:p w14:paraId="0B4B9608">
      <w:r>
        <w:drawing>
          <wp:inline distT="0" distB="0" distL="114300" distR="114300">
            <wp:extent cx="5273040" cy="3604260"/>
            <wp:effectExtent l="0" t="0" r="10160" b="254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D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将散点图与拟合曲线绘制出来，如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"图二"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图二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:</w:t>
      </w:r>
    </w:p>
    <w:p w14:paraId="7A046B65">
      <w:pPr>
        <w:jc w:val="center"/>
        <w:rPr>
          <w:rFonts w:hint="eastAsia"/>
          <w:lang w:val="en-US" w:eastAsia="zh-CN"/>
        </w:rPr>
      </w:pPr>
      <w:bookmarkStart w:id="2" w:name="图二"/>
      <w:r>
        <w:rPr>
          <w:rFonts w:hint="eastAsia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8" name="图片 8" descr="2024150040邓瑞霖-批量梯度下降拟合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4150040邓瑞霖-批量梯度下降拟合结果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11B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图二 人口与收益：原始数据与线性回归拟合结果图</w:t>
      </w:r>
    </w:p>
    <w:p w14:paraId="63DF523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优化结束后损失值为J(theta): 4.515956</w:t>
      </w:r>
    </w:p>
    <w:p w14:paraId="0C828DB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优化后模型参数为：theta0(截距): -3.241402, theta1(斜率): 1.127294</w:t>
      </w:r>
    </w:p>
    <w:p w14:paraId="79DAAA43">
      <w:pPr>
        <w:jc w:val="both"/>
        <w:rPr>
          <w:rFonts w:hint="eastAsia"/>
          <w:lang w:val="en-US" w:eastAsia="zh-CN"/>
        </w:rPr>
      </w:pPr>
    </w:p>
    <w:p w14:paraId="1A5B6D85">
      <w:pPr>
        <w:jc w:val="both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4.2 </w:t>
      </w:r>
      <w:r>
        <w:rPr>
          <w:rFonts w:hint="eastAsia"/>
          <w:b/>
          <w:bCs w:val="0"/>
          <w:sz w:val="24"/>
          <w:szCs w:val="24"/>
          <w:lang w:val="en-US" w:eastAsia="zh-CN"/>
        </w:rPr>
        <w:t>多变量线性回归与特征归一化</w:t>
      </w:r>
    </w:p>
    <w:p w14:paraId="61FD7D68">
      <w:pPr>
        <w:jc w:val="both"/>
        <w:rPr>
          <w:rFonts w:hint="default"/>
          <w:b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/>
          <w:sz w:val="21"/>
          <w:szCs w:val="21"/>
          <w:lang w:val="en-US" w:eastAsia="zh-CN"/>
        </w:rPr>
        <w:t>采用数据集regress_data2.csv进行多变量线性回归实验，通过房子的大小和房间数量两个变量回归房子的价格</w:t>
      </w:r>
    </w:p>
    <w:bookmarkEnd w:id="2"/>
    <w:p w14:paraId="63BAF7CA">
      <w:pPr>
        <w:numPr>
          <w:numId w:val="0"/>
        </w:numPr>
        <w:spacing w:line="300" w:lineRule="auto"/>
        <w:ind w:leftChars="0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default"/>
          <w:b w:val="0"/>
          <w:bCs/>
          <w:sz w:val="21"/>
          <w:szCs w:val="21"/>
          <w:lang w:val="en-US" w:eastAsia="zh-CN"/>
        </w:rPr>
        <w:t>对数据进行特征归一化：</w:t>
      </w:r>
      <w:r>
        <w:rPr>
          <w:rFonts w:hint="eastAsia"/>
          <w:b w:val="0"/>
          <w:bCs/>
          <w:sz w:val="21"/>
          <w:szCs w:val="21"/>
          <w:lang w:val="en-US" w:eastAsia="zh-CN"/>
        </w:rPr>
        <w:t>对输入特征进行Z-Score标准化</w:t>
      </w:r>
    </w:p>
    <w:p w14:paraId="412883B3">
      <w:pPr>
        <w:numPr>
          <w:ilvl w:val="0"/>
          <w:numId w:val="0"/>
        </w:numPr>
        <w:spacing w:line="300" w:lineRule="auto"/>
        <w:ind w:leftChars="0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−μ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2633B8BB">
      <w:pPr>
        <w:numPr>
          <w:ilvl w:val="0"/>
          <w:numId w:val="0"/>
        </w:numPr>
        <w:spacing w:line="300" w:lineRule="auto"/>
        <w:ind w:leftChars="0"/>
      </w:pPr>
      <w:r>
        <w:drawing>
          <wp:inline distT="0" distB="0" distL="114300" distR="114300">
            <wp:extent cx="5273040" cy="3206115"/>
            <wp:effectExtent l="0" t="0" r="10160" b="196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5191">
      <w:pPr>
        <w:numPr>
          <w:numId w:val="0"/>
        </w:numPr>
        <w:spacing w:line="300" w:lineRule="auto"/>
        <w:ind w:left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default"/>
          <w:b w:val="0"/>
          <w:bCs/>
          <w:sz w:val="21"/>
          <w:szCs w:val="21"/>
          <w:lang w:val="en-US" w:eastAsia="zh-CN"/>
        </w:rPr>
        <w:t>采用批量梯度下降法</w:t>
      </w:r>
      <w:r>
        <w:rPr>
          <w:rFonts w:hint="eastAsia"/>
          <w:b w:val="0"/>
          <w:bCs/>
          <w:sz w:val="21"/>
          <w:szCs w:val="21"/>
          <w:lang w:val="en-US" w:eastAsia="zh-CN"/>
        </w:rPr>
        <w:t>（BGD）</w:t>
      </w:r>
      <w:r>
        <w:rPr>
          <w:rFonts w:hint="default"/>
          <w:b w:val="0"/>
          <w:bCs/>
          <w:sz w:val="21"/>
          <w:szCs w:val="21"/>
          <w:lang w:val="en-US" w:eastAsia="zh-CN"/>
        </w:rPr>
        <w:t>优化多变量线性回归模型。迭代轮数epoch设定为1000轮，学习率</w:t>
      </w:r>
      <m:oMath>
        <m:r>
          <m:rPr/>
          <w:rPr>
            <w:rFonts w:hint="default" w:ascii="Cambria Math" w:hAnsi="Cambria Math"/>
            <w:sz w:val="21"/>
          </w:rPr>
          <m:t>α</m:t>
        </m:r>
      </m:oMath>
      <w:r>
        <w:rPr>
          <w:rFonts w:hint="default"/>
          <w:b w:val="0"/>
          <w:bCs/>
          <w:sz w:val="21"/>
          <w:szCs w:val="21"/>
          <w:lang w:val="en-US" w:eastAsia="zh-CN"/>
        </w:rPr>
        <w:t>设定为 0.01，参数初始化为0。</w:t>
      </w:r>
      <w:r>
        <w:rPr>
          <w:rFonts w:hint="eastAsia"/>
          <w:b w:val="0"/>
          <w:bCs/>
          <w:sz w:val="21"/>
          <w:szCs w:val="21"/>
          <w:lang w:val="en-US" w:eastAsia="zh-CN"/>
        </w:rPr>
        <w:t>在每次迭代中记录当前轮次的Loss值。</w:t>
      </w:r>
    </w:p>
    <w:p w14:paraId="3C693F40">
      <w:pPr>
        <w:numPr>
          <w:numId w:val="0"/>
        </w:numPr>
        <w:spacing w:line="300" w:lineRule="auto"/>
        <w:ind w:leftChars="0"/>
        <w:rPr>
          <w:rFonts w:hint="default"/>
          <w:b w:val="0"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770" cy="4262755"/>
            <wp:effectExtent l="0" t="0" r="11430" b="444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F3233">
      <w:pPr>
        <w:numPr>
          <w:ilvl w:val="0"/>
          <w:numId w:val="0"/>
        </w:numPr>
        <w:spacing w:line="300" w:lineRule="auto"/>
        <w:ind w:left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打印</w:t>
      </w:r>
      <w:r>
        <w:rPr>
          <w:rFonts w:hint="default"/>
          <w:b w:val="0"/>
          <w:bCs/>
          <w:sz w:val="21"/>
          <w:szCs w:val="21"/>
          <w:lang w:val="en-US" w:eastAsia="zh-CN"/>
        </w:rPr>
        <w:t>优化结束时的损失值和</w:t>
      </w:r>
      <w:r>
        <w:rPr>
          <w:rFonts w:hint="eastAsia"/>
          <w:b w:val="0"/>
          <w:bCs/>
          <w:sz w:val="21"/>
          <w:szCs w:val="21"/>
          <w:lang w:val="en-US" w:eastAsia="zh-CN"/>
        </w:rPr>
        <w:t>最终</w:t>
      </w:r>
      <w:r>
        <w:rPr>
          <w:rFonts w:hint="default"/>
          <w:b w:val="0"/>
          <w:bCs/>
          <w:sz w:val="21"/>
          <w:szCs w:val="21"/>
          <w:lang w:val="en-US" w:eastAsia="zh-CN"/>
        </w:rPr>
        <w:t>参数</w:t>
      </w:r>
      <w:r>
        <w:rPr>
          <w:rFonts w:hint="eastAsia"/>
          <w:b w:val="0"/>
          <w:bCs/>
          <w:sz w:val="21"/>
          <w:szCs w:val="21"/>
          <w:lang w:val="en-US" w:eastAsia="zh-CN"/>
        </w:rPr>
        <w:t>。</w:t>
      </w:r>
    </w:p>
    <w:p w14:paraId="14BE0852">
      <w:pPr>
        <w:numPr>
          <w:ilvl w:val="0"/>
          <w:numId w:val="0"/>
        </w:numPr>
        <w:spacing w:line="300" w:lineRule="auto"/>
        <w:ind w:leftChars="0"/>
      </w:pPr>
      <w:r>
        <w:drawing>
          <wp:inline distT="0" distB="0" distL="114300" distR="114300">
            <wp:extent cx="5266055" cy="949960"/>
            <wp:effectExtent l="0" t="0" r="17145" b="1524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9399">
      <w:pPr>
        <w:numPr>
          <w:ilvl w:val="0"/>
          <w:numId w:val="0"/>
        </w:numPr>
        <w:spacing w:line="30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结果为：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DEE681B">
        <w:tc>
          <w:tcPr>
            <w:tcW w:w="8522" w:type="dxa"/>
          </w:tcPr>
          <w:p w14:paraId="53D27C84">
            <w:pPr>
              <w:numPr>
                <w:ilvl w:val="0"/>
                <w:numId w:val="0"/>
              </w:numPr>
              <w:spacing w:line="30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优化结束时损失值 J(theta): 2043498948.1433077</w:t>
            </w:r>
          </w:p>
          <w:p w14:paraId="0A4F2ADB">
            <w:pPr>
              <w:numPr>
                <w:ilvl w:val="0"/>
                <w:numId w:val="0"/>
              </w:numPr>
              <w:spacing w:line="30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最终参数 theta:</w:t>
            </w:r>
          </w:p>
          <w:p w14:paraId="5E440FBA">
            <w:pPr>
              <w:numPr>
                <w:ilvl w:val="0"/>
                <w:numId w:val="0"/>
              </w:numPr>
              <w:spacing w:line="30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theta0(截距): 340397.96353531966</w:t>
            </w:r>
          </w:p>
          <w:p w14:paraId="392FC0AC">
            <w:pPr>
              <w:numPr>
                <w:ilvl w:val="0"/>
                <w:numId w:val="0"/>
              </w:numPr>
              <w:spacing w:line="30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theta1(面积系数-标准化后): 108742.6562723772</w:t>
            </w:r>
          </w:p>
          <w:p w14:paraId="1CFA8766">
            <w:pPr>
              <w:numPr>
                <w:ilvl w:val="0"/>
                <w:numId w:val="0"/>
              </w:numPr>
              <w:spacing w:line="30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theta2(房间数系数-标准化后): -5873.229933827043</w:t>
            </w:r>
          </w:p>
        </w:tc>
      </w:tr>
    </w:tbl>
    <w:p w14:paraId="696BD04A">
      <w:pPr>
        <w:numPr>
          <w:ilvl w:val="0"/>
          <w:numId w:val="0"/>
        </w:numPr>
        <w:spacing w:line="300" w:lineRule="auto"/>
        <w:ind w:left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训练误差（Loss）随着迭代轮数 epoch 的下降变化曲线，如</w:t>
      </w:r>
      <w:r>
        <w:rPr>
          <w:rFonts w:hint="eastAsia"/>
          <w:b w:val="0"/>
          <w:bCs/>
          <w:sz w:val="21"/>
          <w:szCs w:val="21"/>
          <w:lang w:val="en-US" w:eastAsia="zh-CN"/>
        </w:rPr>
        <w:fldChar w:fldCharType="begin"/>
      </w:r>
      <w:r>
        <w:rPr>
          <w:rFonts w:hint="eastAsia"/>
          <w:b w:val="0"/>
          <w:bCs/>
          <w:sz w:val="21"/>
          <w:szCs w:val="21"/>
          <w:lang w:val="en-US" w:eastAsia="zh-CN"/>
        </w:rPr>
        <w:instrText xml:space="preserve"> HYPERLINK \l "图三" </w:instrText>
      </w:r>
      <w:r>
        <w:rPr>
          <w:rFonts w:hint="eastAsia"/>
          <w:b w:val="0"/>
          <w:bCs/>
          <w:sz w:val="21"/>
          <w:szCs w:val="21"/>
          <w:lang w:val="en-US" w:eastAsia="zh-CN"/>
        </w:rPr>
        <w:fldChar w:fldCharType="separate"/>
      </w:r>
      <w:r>
        <w:rPr>
          <w:rStyle w:val="10"/>
          <w:rFonts w:hint="eastAsia"/>
          <w:b w:val="0"/>
          <w:bCs/>
          <w:sz w:val="21"/>
          <w:szCs w:val="21"/>
          <w:lang w:val="en-US" w:eastAsia="zh-CN"/>
        </w:rPr>
        <w:t>图三</w:t>
      </w:r>
      <w:r>
        <w:rPr>
          <w:rFonts w:hint="eastAsia"/>
          <w:b w:val="0"/>
          <w:bCs/>
          <w:sz w:val="21"/>
          <w:szCs w:val="21"/>
          <w:lang w:val="en-US" w:eastAsia="zh-CN"/>
        </w:rPr>
        <w:fldChar w:fldCharType="end"/>
      </w:r>
      <w:r>
        <w:rPr>
          <w:rFonts w:hint="eastAsia"/>
          <w:b w:val="0"/>
          <w:bCs/>
          <w:sz w:val="21"/>
          <w:szCs w:val="21"/>
          <w:lang w:val="en-US" w:eastAsia="zh-CN"/>
        </w:rPr>
        <w:t>所示：</w:t>
      </w:r>
    </w:p>
    <w:p w14:paraId="6578CC6A">
      <w:pPr>
        <w:numPr>
          <w:ilvl w:val="0"/>
          <w:numId w:val="0"/>
        </w:numPr>
        <w:spacing w:line="300" w:lineRule="auto"/>
        <w:ind w:leftChars="0"/>
        <w:jc w:val="center"/>
        <w:rPr>
          <w:rFonts w:hint="default"/>
          <w:b w:val="0"/>
          <w:bCs/>
          <w:sz w:val="21"/>
          <w:szCs w:val="21"/>
          <w:lang w:val="en-US" w:eastAsia="zh-CN"/>
        </w:rPr>
      </w:pPr>
      <w:bookmarkStart w:id="3" w:name="图三"/>
      <w:r>
        <w:rPr>
          <w:rFonts w:hint="default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13" name="图片 13" descr="2024150040邓瑞霖-BGD多变量线性回归Loss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4150040邓瑞霖-BGD多变量线性回归Loss曲线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8274">
      <w:pPr>
        <w:numPr>
          <w:ilvl w:val="0"/>
          <w:numId w:val="0"/>
        </w:numPr>
        <w:spacing w:line="300" w:lineRule="auto"/>
        <w:ind w:leftChars="0"/>
        <w:jc w:val="center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图三 训练误差（Loss）随着迭代轮数 epoch 的下降变化曲线</w:t>
      </w:r>
    </w:p>
    <w:p w14:paraId="0839A306">
      <w:pPr>
        <w:numPr>
          <w:ilvl w:val="0"/>
          <w:numId w:val="0"/>
        </w:numPr>
        <w:spacing w:line="300" w:lineRule="auto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Loss 曲线平滑下降并趋于收敛，说明优化过程稳定；最终 Loss 数值较大主要受平方误差量纲影响，不能单独据此判定拟合效果差。”</w:t>
      </w:r>
    </w:p>
    <w:p w14:paraId="6DC9BA56">
      <w:pPr>
        <w:numPr>
          <w:ilvl w:val="0"/>
          <w:numId w:val="0"/>
        </w:numPr>
        <w:spacing w:line="300" w:lineRule="auto"/>
        <w:rPr>
          <w:rFonts w:hint="eastAsia"/>
          <w:vertAlign w:val="baseline"/>
          <w:lang w:val="en-US" w:eastAsia="zh-CN"/>
        </w:rPr>
      </w:pPr>
    </w:p>
    <w:p w14:paraId="69E293BF">
      <w:pPr>
        <w:numPr>
          <w:ilvl w:val="0"/>
          <w:numId w:val="0"/>
        </w:numPr>
        <w:spacing w:line="300" w:lineRule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4.3 diabetes（糖尿病）数据集回归分析</w:t>
      </w:r>
      <w:bookmarkEnd w:id="3"/>
    </w:p>
    <w:p w14:paraId="79AD22D7">
      <w:pPr>
        <w:numPr>
          <w:numId w:val="0"/>
        </w:numPr>
        <w:ind w:left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加载“diabetes”患者糖尿病指数数据集。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为目标变量（y）添加服从正态分布的噪声，以模拟真实数据中的噪声干扰，由于目标只有0和1，故添加噪声为</w:t>
      </w:r>
      <m:oMath>
        <m:r>
          <m:rPr/>
          <w:rPr>
            <w:rFonts w:hint="default" w:ascii="DejaVu Math TeX Gyre" w:hAnsi="DejaVu Math TeX Gyre"/>
            <w:sz w:val="21"/>
          </w:rPr>
          <m:t>N(0,0.1)</m:t>
        </m:r>
      </m:oMath>
    </w:p>
    <w:p w14:paraId="3638C521">
      <w:pPr>
        <w:numPr>
          <w:numId w:val="0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使用StandardScaler对</w:t>
      </w:r>
      <w:r>
        <w:rPr>
          <w:rFonts w:hint="eastAsia" w:ascii="宋体" w:hAnsi="宋体" w:cs="宋体"/>
          <w:sz w:val="21"/>
          <w:szCs w:val="21"/>
          <w:lang w:val="en-US" w:eastAsia="zh-CN"/>
        </w:rPr>
        <w:t>特征数据X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进行标准化，使其均值为0，标准差为1。</w:t>
      </w:r>
    </w:p>
    <w:p w14:paraId="132BED97">
      <w:pPr>
        <w:numPr>
          <w:numId w:val="0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划分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训练集和测试集（比例为7:3）。</w:t>
      </w:r>
    </w:p>
    <w:p w14:paraId="63805D4F">
      <w:pPr>
        <w:numPr>
          <w:numId w:val="0"/>
        </w:numPr>
        <w:ind w:leftChars="0"/>
      </w:pPr>
      <w:r>
        <w:drawing>
          <wp:inline distT="0" distB="0" distL="114300" distR="114300">
            <wp:extent cx="5268595" cy="3253740"/>
            <wp:effectExtent l="0" t="0" r="14605" b="22860"/>
            <wp:docPr id="3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A406">
      <w:pPr>
        <w:numPr>
          <w:ilvl w:val="0"/>
          <w:numId w:val="0"/>
        </w:numPr>
        <w:spacing w:line="300" w:lineRule="auto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将训练集和测试集分开进行标准化：</w:t>
      </w:r>
    </w:p>
    <w:p w14:paraId="0B7004D8">
      <w:pPr>
        <w:numPr>
          <w:ilvl w:val="0"/>
          <w:numId w:val="0"/>
        </w:numPr>
        <w:spacing w:line="300" w:lineRule="auto"/>
        <w:rPr>
          <w:rFonts w:hint="default"/>
          <w:vertAlign w:val="baseline"/>
          <w:lang w:val="en-US" w:eastAsia="zh-CN"/>
        </w:rPr>
      </w:pPr>
      <w:r>
        <w:drawing>
          <wp:inline distT="0" distB="0" distL="114300" distR="114300">
            <wp:extent cx="5266690" cy="816610"/>
            <wp:effectExtent l="0" t="0" r="16510" b="2159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228E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基线模型：使用 LinearRegression 拟合训练集数据</w:t>
      </w:r>
    </w:p>
    <w:p w14:paraId="15CD307E">
      <w:pPr>
        <w:rPr>
          <w:sz w:val="18"/>
          <w:szCs w:val="21"/>
        </w:rPr>
      </w:pPr>
      <w:r>
        <w:drawing>
          <wp:inline distT="0" distB="0" distL="114300" distR="114300">
            <wp:extent cx="5270500" cy="548640"/>
            <wp:effectExtent l="0" t="0" r="12700" b="1016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E1796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岭回归（Ridge）：分别利用可视化方法（如绘制 Alpha 取值与 MSE 的折线图）和交叉验证法（使用 RidgeCV）确定最佳惩罚参数</w:t>
      </w:r>
      <m:oMath>
        <m:r>
          <m:rPr/>
          <w:rPr>
            <w:rFonts w:hint="default" w:ascii="Cambria Math" w:hAnsi="Cambria Math"/>
            <w:sz w:val="21"/>
          </w:rPr>
          <m:t>λ</m:t>
        </m:r>
      </m:oMath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(alpha)，并建立岭回归模型</w:t>
      </w:r>
    </w:p>
    <w:p w14:paraId="73F1A36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Ridge优化函数：</w:t>
      </w:r>
    </w:p>
    <w:p w14:paraId="4B6F17EB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 w:eastAsia="宋体"/>
              <w:sz w:val="21"/>
            </w:rPr>
            <m:t>J(θ)=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1</m:t>
              </m:r>
              <m:ctrlPr>
                <w:rPr>
                  <w:rFonts w:ascii="DejaVu Math TeX Gyre" w:hAnsi="DejaVu Math TeX Gyre" w:eastAsia="宋体"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2m</m:t>
              </m:r>
              <m:ctrlPr>
                <w:rPr>
                  <w:rFonts w:ascii="DejaVu Math TeX Gyre" w:hAnsi="DejaVu Math TeX Gyre" w:eastAsia="宋体"/>
                  <w:sz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DejaVu Math TeX Gyre" w:hAnsi="DejaVu Math TeX Gyre" w:eastAsia="宋体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i=1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m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(i)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)−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(i)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+λ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j=1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θ</m:t>
                      </m:r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j</m:t>
                      </m:r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</m:nary>
              <m:ctrlPr>
                <w:rPr>
                  <w:rFonts w:hint="default" w:ascii="DejaVu Math TeX Gyre" w:hAnsi="DejaVu Math TeX Gyre" w:eastAsia="宋体"/>
                  <w:i/>
                  <w:sz w:val="21"/>
                </w:rPr>
              </m:ctrlPr>
            </m:e>
          </m:d>
        </m:oMath>
      </m:oMathPara>
    </w:p>
    <w:p w14:paraId="523115C4">
      <w:r>
        <w:drawing>
          <wp:inline distT="0" distB="0" distL="114300" distR="114300">
            <wp:extent cx="5269230" cy="3039110"/>
            <wp:effectExtent l="0" t="0" r="13970" b="889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13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绘制出Alpha取值与MSE的折线图（如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"图四"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图四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）：</w:t>
      </w:r>
    </w:p>
    <w:p w14:paraId="72EEF6C3">
      <w:pPr>
        <w:rPr>
          <w:rFonts w:hint="default"/>
          <w:lang w:val="en-US" w:eastAsia="zh-CN"/>
        </w:rPr>
      </w:pPr>
      <w:bookmarkStart w:id="4" w:name="图四"/>
      <w:r>
        <w:rPr>
          <w:rFonts w:hint="default"/>
          <w:lang w:val="en-US" w:eastAsia="zh-CN"/>
        </w:rPr>
        <w:drawing>
          <wp:inline distT="0" distB="0" distL="114300" distR="114300">
            <wp:extent cx="5274310" cy="3296285"/>
            <wp:effectExtent l="0" t="0" r="8890" b="5715"/>
            <wp:docPr id="37" name="图片 37" descr="code3_ridge_alpha_vs_m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ode3_ridge_alpha_vs_ms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4EC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图四 Ridge岭回归alpha与MSE关系图</w:t>
      </w:r>
    </w:p>
    <w:p w14:paraId="1FC2E6E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由图可得，RidgeCV最优的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惩罚参数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39.19</w:t>
      </w:r>
    </w:p>
    <w:p w14:paraId="3DF25FE4">
      <w:pPr>
        <w:jc w:val="both"/>
        <w:rPr>
          <w:rFonts w:hint="default"/>
          <w:lang w:val="en-US" w:eastAsia="zh-CN"/>
        </w:rPr>
      </w:pPr>
    </w:p>
    <w:bookmarkEnd w:id="4"/>
    <w:p w14:paraId="0472B8E3">
      <w:pPr>
        <w:numPr>
          <w:numId w:val="0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Lasso 回归： 同样利用可视化方法或 LassoCV 寻找最佳惩罚参数</w:t>
      </w:r>
      <m:oMath>
        <m:r>
          <m:rPr/>
          <w:rPr>
            <w:rFonts w:hint="default" w:ascii="Cambria Math" w:hAnsi="Cambria Math"/>
            <w:sz w:val="21"/>
          </w:rPr>
          <m:t>λ</m:t>
        </m:r>
      </m:oMath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(alpha)，并建立 Lasso 回归模型。</w:t>
      </w:r>
    </w:p>
    <w:p w14:paraId="189E433F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Lasso回归损失函数：</w:t>
      </w:r>
    </w:p>
    <w:p w14:paraId="56B46B4E">
      <w:pPr>
        <w:numPr>
          <w:numId w:val="0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 w:eastAsia="宋体"/>
              <w:sz w:val="21"/>
            </w:rPr>
            <m:t>J(θ)=</m:t>
          </m:r>
          <m:f>
            <m:fPr>
              <m:ctrlPr>
                <w:rPr>
                  <w:rFonts w:hint="default" w:ascii="DejaVu Math TeX Gyre" w:hAnsi="DejaVu Math TeX Gyre" w:eastAsia="宋体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1</m:t>
              </m:r>
              <m:ctrlPr>
                <w:rPr>
                  <w:rFonts w:ascii="DejaVu Math TeX Gyre" w:hAnsi="DejaVu Math TeX Gyre" w:eastAsia="宋体"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2m</m:t>
              </m:r>
              <m:ctrlPr>
                <w:rPr>
                  <w:rFonts w:ascii="DejaVu Math TeX Gyre" w:hAnsi="DejaVu Math TeX Gyre" w:eastAsia="宋体"/>
                  <w:sz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DejaVu Math TeX Gyre" w:hAnsi="DejaVu Math TeX Gyre" w:eastAsia="宋体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i=1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m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(i)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)−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(i)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+λ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j=1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|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θ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j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|</m:t>
              </m:r>
              <m:ctrlPr>
                <w:rPr>
                  <w:rFonts w:hint="default" w:ascii="DejaVu Math TeX Gyre" w:hAnsi="DejaVu Math TeX Gyre" w:eastAsia="宋体"/>
                  <w:sz w:val="21"/>
                </w:rPr>
              </m:ctrlPr>
            </m:e>
          </m:d>
        </m:oMath>
      </m:oMathPara>
    </w:p>
    <w:p w14:paraId="52D27151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3432810"/>
            <wp:effectExtent l="0" t="0" r="16510" b="2159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3947">
      <w:pPr>
        <w:rPr>
          <w:rFonts w:hint="default" w:eastAsiaTheme="minorEastAsia"/>
          <w:sz w:val="18"/>
          <w:szCs w:val="21"/>
          <w:lang w:val="en-US" w:eastAsia="zh-CN"/>
        </w:rPr>
      </w:pPr>
      <w:bookmarkStart w:id="5" w:name="图五"/>
      <w:r>
        <w:rPr>
          <w:rFonts w:hint="default" w:eastAsiaTheme="minorEastAsia"/>
          <w:sz w:val="18"/>
          <w:szCs w:val="21"/>
          <w:lang w:val="en-US" w:eastAsia="zh-CN"/>
        </w:rPr>
        <w:drawing>
          <wp:inline distT="0" distB="0" distL="114300" distR="114300">
            <wp:extent cx="5274310" cy="3296285"/>
            <wp:effectExtent l="0" t="0" r="8890" b="5715"/>
            <wp:docPr id="38" name="图片 38" descr="2024150040邓瑞霖lasso_alpha_vs_m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2024150040邓瑞霖lasso_alpha_vs_ms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0B70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图五 Lasso的</w:t>
      </w:r>
      <w:r>
        <w:rPr>
          <w:rFonts w:hint="eastAsia"/>
          <w:lang w:val="en-US" w:eastAsia="zh-CN"/>
        </w:rPr>
        <w:t>alpha与MSE关系图</w:t>
      </w:r>
    </w:p>
    <w:p w14:paraId="2DB46B0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由图得lasso最优的alpha为0.008895</w:t>
      </w:r>
    </w:p>
    <w:bookmarkEnd w:id="5"/>
    <w:p w14:paraId="38BF8035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将上述三个模型对训练集进行预测，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利用均方误差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（MSE）和决定系数（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 w:hAnsi="Cambria Math"/>
          <w:i w:val="0"/>
          <w:sz w:val="21"/>
          <w:lang w:eastAsia="zh-CN"/>
        </w:rPr>
        <w:t>）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评估三个预测模型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在测试集上的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拟合能力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并将结果保存在一个csv文件中：</w:t>
      </w:r>
    </w:p>
    <w:p w14:paraId="0EE13C64">
      <w:r>
        <w:drawing>
          <wp:inline distT="0" distB="0" distL="114300" distR="114300">
            <wp:extent cx="5266055" cy="3686175"/>
            <wp:effectExtent l="0" t="0" r="17145" b="22225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7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BAAF58F">
        <w:tc>
          <w:tcPr>
            <w:tcW w:w="2840" w:type="dxa"/>
          </w:tcPr>
          <w:p w14:paraId="0DF034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</w:t>
            </w:r>
          </w:p>
        </w:tc>
        <w:tc>
          <w:tcPr>
            <w:tcW w:w="2841" w:type="dxa"/>
          </w:tcPr>
          <w:p w14:paraId="6E82FE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R2</w:t>
            </w:r>
          </w:p>
        </w:tc>
        <w:tc>
          <w:tcPr>
            <w:tcW w:w="2841" w:type="dxa"/>
          </w:tcPr>
          <w:p w14:paraId="5ABC2D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MSE</w:t>
            </w:r>
          </w:p>
        </w:tc>
      </w:tr>
      <w:tr w14:paraId="327D969D">
        <w:tc>
          <w:tcPr>
            <w:tcW w:w="2840" w:type="dxa"/>
          </w:tcPr>
          <w:p w14:paraId="53707D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LinearRegression</w:t>
            </w:r>
          </w:p>
        </w:tc>
        <w:tc>
          <w:tcPr>
            <w:tcW w:w="2841" w:type="dxa"/>
          </w:tcPr>
          <w:p w14:paraId="091DA7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0.24112134074866898</w:t>
            </w:r>
          </w:p>
        </w:tc>
        <w:tc>
          <w:tcPr>
            <w:tcW w:w="2841" w:type="dxa"/>
          </w:tcPr>
          <w:p w14:paraId="67880D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0.17778227453086803</w:t>
            </w:r>
          </w:p>
        </w:tc>
      </w:tr>
      <w:tr w14:paraId="01EEBD43">
        <w:tc>
          <w:tcPr>
            <w:tcW w:w="2840" w:type="dxa"/>
          </w:tcPr>
          <w:p w14:paraId="1BA951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Ridge</w:t>
            </w:r>
          </w:p>
        </w:tc>
        <w:tc>
          <w:tcPr>
            <w:tcW w:w="2841" w:type="dxa"/>
          </w:tcPr>
          <w:p w14:paraId="3A5AB3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0.24435584068080585</w:t>
            </w:r>
          </w:p>
        </w:tc>
        <w:tc>
          <w:tcPr>
            <w:tcW w:w="2841" w:type="dxa"/>
          </w:tcPr>
          <w:p w14:paraId="7CA8FE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0.17702452920769274</w:t>
            </w:r>
          </w:p>
        </w:tc>
      </w:tr>
      <w:tr w14:paraId="62EC6DA4">
        <w:tc>
          <w:tcPr>
            <w:tcW w:w="2840" w:type="dxa"/>
          </w:tcPr>
          <w:p w14:paraId="56BA4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Lasso</w:t>
            </w:r>
          </w:p>
        </w:tc>
        <w:tc>
          <w:tcPr>
            <w:tcW w:w="2841" w:type="dxa"/>
          </w:tcPr>
          <w:p w14:paraId="7DDC52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0.2337957801173275</w:t>
            </w:r>
          </w:p>
        </w:tc>
        <w:tc>
          <w:tcPr>
            <w:tcW w:w="2841" w:type="dxa"/>
          </w:tcPr>
          <w:p w14:paraId="790B45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0.17949843140967459</w:t>
            </w:r>
          </w:p>
        </w:tc>
      </w:tr>
      <w:tr w14:paraId="5DF21972">
        <w:tc>
          <w:tcPr>
            <w:tcW w:w="8522" w:type="dxa"/>
            <w:gridSpan w:val="3"/>
          </w:tcPr>
          <w:p w14:paraId="30B6058F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=== Alpha 选择结果 ===</w:t>
            </w:r>
          </w:p>
          <w:p w14:paraId="52ECA00D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Ridge 可视化最优 alpha: 39.194068</w:t>
            </w:r>
          </w:p>
          <w:p w14:paraId="156C9A86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RidgeCV 最优 alpha: 39.194068</w:t>
            </w:r>
          </w:p>
          <w:p w14:paraId="71C85110">
            <w:pPr>
              <w:rPr>
                <w:rFonts w:hint="eastAsia"/>
                <w:sz w:val="21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Lasso 可视化最优 alpha: 0.008895</w:t>
            </w:r>
          </w:p>
          <w:p w14:paraId="34F8F24F">
            <w:pPr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21"/>
                <w:szCs w:val="21"/>
                <w:vertAlign w:val="baseline"/>
              </w:rPr>
              <w:t>LassoCV 最优 alpha: 0.008895</w:t>
            </w:r>
          </w:p>
        </w:tc>
      </w:tr>
    </w:tbl>
    <w:p w14:paraId="2A91F25A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1581A9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三种模型的对比图表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"图六"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图六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"图七"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0"/>
          <w:rFonts w:hint="eastAsia" w:ascii="宋体" w:hAnsi="宋体" w:eastAsia="宋体" w:cs="宋体"/>
          <w:sz w:val="21"/>
          <w:szCs w:val="21"/>
          <w:lang w:val="en-US" w:eastAsia="zh-CN"/>
        </w:rPr>
        <w:t>图七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所示）：</w:t>
      </w:r>
    </w:p>
    <w:p w14:paraId="543A681D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6" w:name="图六"/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2194560"/>
            <wp:effectExtent l="0" t="0" r="16510" b="15240"/>
            <wp:docPr id="39" name="图片 39" descr="code3_true_vs_pred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ode3_true_vs_pred_lin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9328">
      <w:pPr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图六 真是值与三种模型预测值折线对比</w:t>
      </w:r>
    </w:p>
    <w:bookmarkEnd w:id="6"/>
    <w:p w14:paraId="4F31211E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7" w:name="图七"/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66690" cy="1645920"/>
            <wp:effectExtent l="0" t="0" r="16510" b="5080"/>
            <wp:docPr id="40" name="图片 40" descr="code3_true_vs_pred_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ode3_true_vs_pred_scatter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55A3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从折线图与散点图可以看出，LinearRegression、Ridge 与 Lasso 三种模型在测试集上的预测趋势整体一致，差异较小；预测值相较真实值更平滑，且散点与理想线存在明显偏离，说明当前任务下模型拟合能力有限。Ridge/Lasso 的正则化作用主要体现在稳定参数与抑制过拟合，性能提升不显著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 w14:paraId="3EF3E889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图七 三种模型真实值与预测值散点图</w:t>
      </w:r>
      <w:bookmarkEnd w:id="7"/>
    </w:p>
    <w:p w14:paraId="0506059D">
      <w:p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打印Lasso的系数：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E40E749">
        <w:tc>
          <w:tcPr>
            <w:tcW w:w="8522" w:type="dxa"/>
          </w:tcPr>
          <w:p w14:paraId="01FC215D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=== Lasso 模型系数 ===</w:t>
            </w:r>
          </w:p>
          <w:p w14:paraId="29BE64B8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Pregnancies                 0.025972</w:t>
            </w:r>
          </w:p>
          <w:p w14:paraId="12345163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Glucose                     0.182564</w:t>
            </w:r>
          </w:p>
          <w:p w14:paraId="680268A4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BloodPressure              -0.015460</w:t>
            </w:r>
          </w:p>
          <w:p w14:paraId="56C6FC93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SkinThickness              -0.000000</w:t>
            </w:r>
          </w:p>
          <w:p w14:paraId="305A0EA6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Insulin                    -0.000000</w:t>
            </w:r>
          </w:p>
          <w:p w14:paraId="720579C0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BMI                         0.104555</w:t>
            </w:r>
          </w:p>
          <w:p w14:paraId="33AA0812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DiabetesPedigreeFunction    0.019623</w:t>
            </w:r>
          </w:p>
          <w:p w14:paraId="3E40C7A9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Age                         0.063721</w:t>
            </w:r>
          </w:p>
          <w:p w14:paraId="614E8A9E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dtype: float64</w:t>
            </w:r>
          </w:p>
          <w:p w14:paraId="1FECFD4F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被Lasso剔除（系数≈0）的特征: ['SkinThickness', 'Insulin']</w:t>
            </w:r>
          </w:p>
        </w:tc>
      </w:tr>
    </w:tbl>
    <w:p w14:paraId="3BB27B34">
      <w:p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预测模型最终的方程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 w14:paraId="0DD641ED">
      <w:p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LinearRegression方法：y_hat = 0.343172 + 0.031621·Pregnancies_std + 0.193204·Glucose_std - 0.031490·BloodPressure_std + 0.004223·SkinThickness_std - 0.015203·Insulin_std + 0.114659·BMI_std + 0.027504·DiabetesPedigreeFunction_std + 0.070641·Age_std</w:t>
      </w:r>
    </w:p>
    <w:p w14:paraId="4F7E6A14">
      <w:p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2A789E4">
      <w:p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Ridge方法：y_hat = 0.343172 + 0.032374·Pregnancies_std + 0.178892·Glucose_std - 0.024990·BloodPressure_std + 0.002656·SkinThickness_std - 0.008415·Insulin_std + 0.107599·BMI_std + 0.027930·DiabetesPedigreeFunction_std + 0.067477·Age_std</w:t>
      </w:r>
    </w:p>
    <w:p w14:paraId="16EF024B">
      <w:p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3D289B7">
      <w:p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Lasso方法：y_hat = 0.343172 + 0.025972·Pregnancies_std + 0.182564·Glucose_std - 0.015460·BloodPressure_std + 0.104555·BMI_std + 0.019623·DiabetesPedigreeFunction_std + 0.063721·Age_std</w:t>
      </w:r>
    </w:p>
    <w:p w14:paraId="61369CCB">
      <w:p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E36EC96">
      <w:pPr>
        <w:rPr>
          <w:sz w:val="18"/>
          <w:szCs w:val="21"/>
        </w:rPr>
      </w:pPr>
    </w:p>
    <w:p w14:paraId="575E23BC">
      <w:pPr>
        <w:rPr>
          <w:sz w:val="18"/>
          <w:szCs w:val="21"/>
        </w:rPr>
      </w:pPr>
    </w:p>
    <w:p w14:paraId="3FEE77CD">
      <w:pPr>
        <w:pStyle w:val="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实验总结</w:t>
      </w:r>
    </w:p>
    <w:p w14:paraId="638F01A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思考题：</w:t>
      </w:r>
    </w:p>
    <w:p w14:paraId="39235DFB">
      <w:pPr>
        <w:numPr>
          <w:ilvl w:val="0"/>
          <w:numId w:val="5"/>
        </w:numPr>
        <w:ind w:left="0" w:leftChars="0" w:firstLine="420" w:firstLineChars="200"/>
      </w:pPr>
      <w:r>
        <w:rPr>
          <w:rFonts w:hint="eastAsia"/>
        </w:rPr>
        <w:t xml:space="preserve">既然最小二乘法（正规方程）可以直接一步算出数学上的绝对最优解，为什么在深度学习或含有百万级海量数据的场景中，我们普遍使用“梯度下降法”？（提示：从计算矩阵 </w:t>
      </w:r>
      <m:oMath>
        <m:r>
          <m:rPr/>
          <w:rPr>
            <w:rFonts w:hint="default" w:ascii="Cambria Math" w:hAnsi="Cambria Math"/>
          </w:rPr>
          <m:t>(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hint="default" w:ascii="Cambria Math" w:hAnsi="Cambria Math"/>
          </w:rPr>
          <m:t>X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 xml:space="preserve">的时间复杂度角度回答）。 </w:t>
      </w:r>
    </w:p>
    <w:p w14:paraId="58BECA0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设样本数为 n，特征维度为 d：</w:t>
      </w:r>
    </w:p>
    <w:p w14:paraId="5E9C91A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构造</w:t>
      </w:r>
      <m:oMath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X</m:t>
            </m:r>
            <m:ctrlPr>
              <w:rPr>
                <w:rFonts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⊤</m:t>
            </m:r>
            <m:ctrlPr>
              <w:rPr>
                <w:rFonts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X</m:t>
        </m:r>
      </m:oMath>
      <w:r>
        <w:rPr>
          <w:rFonts w:hint="eastAsia"/>
        </w:rPr>
        <w:t>：约</w:t>
      </w:r>
      <m:oMath>
        <m:r>
          <m:rPr/>
          <w:rPr>
            <w:rFonts w:hint="default" w:ascii="DejaVu Math TeX Gyre" w:hAnsi="DejaVu Math TeX Gyre"/>
            <w:sz w:val="21"/>
          </w:rPr>
          <m:t>O(n</m:t>
        </m:r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d</m:t>
            </m:r>
            <m:ctrlPr>
              <w:rPr>
                <w:rFonts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)</m:t>
        </m:r>
      </m:oMath>
    </w:p>
    <w:p w14:paraId="54AB5EB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求逆（或等价分解求解）：约</w:t>
      </w:r>
      <m:oMath>
        <m:r>
          <m:rPr/>
          <w:rPr>
            <w:rFonts w:hint="default" w:ascii="DejaVu Math TeX Gyre" w:hAnsi="DejaVu Math TeX Gyre"/>
            <w:sz w:val="21"/>
          </w:rPr>
          <m:t>O(</m:t>
        </m:r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d</m:t>
            </m:r>
            <m:ctrlPr>
              <w:rPr>
                <w:rFonts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3</m:t>
            </m:r>
            <m:ctrlPr>
              <w:rPr>
                <w:rFonts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)</m:t>
        </m:r>
      </m:oMath>
    </w:p>
    <w:p w14:paraId="5D66911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内存还要存一个</w:t>
      </w:r>
      <m:oMath>
        <m:r>
          <m:rPr/>
          <w:rPr>
            <w:rFonts w:hint="default" w:ascii="DejaVu Math TeX Gyre" w:hAnsi="DejaVu Math TeX Gyre"/>
            <w:sz w:val="21"/>
          </w:rPr>
          <m:t>d</m:t>
        </m:r>
        <m:r>
          <m:rPr>
            <m:sty m:val="p"/>
          </m:rPr>
          <w:rPr>
            <w:rFonts w:hint="default" w:ascii="DejaVu Math TeX Gyre" w:hAnsi="DejaVu Math TeX Gyre"/>
            <w:sz w:val="21"/>
          </w:rPr>
          <m:t>×</m:t>
        </m:r>
        <m:r>
          <m:rPr/>
          <w:rPr>
            <w:rFonts w:hint="default" w:ascii="DejaVu Math TeX Gyre" w:hAnsi="DejaVu Math TeX Gyre"/>
            <w:sz w:val="21"/>
          </w:rPr>
          <m:t>d</m:t>
        </m:r>
      </m:oMath>
      <w:r>
        <w:rPr>
          <w:rFonts w:hint="eastAsia"/>
        </w:rPr>
        <w:t>矩阵：</w:t>
      </w:r>
      <m:oMath>
        <m:r>
          <m:rPr/>
          <w:rPr>
            <w:rFonts w:hint="default" w:ascii="DejaVu Math TeX Gyre" w:hAnsi="DejaVu Math TeX Gyre"/>
            <w:sz w:val="21"/>
          </w:rPr>
          <m:t>O(</m:t>
        </m:r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d</m:t>
            </m:r>
            <m:ctrlPr>
              <w:rPr>
                <w:rFonts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)</m:t>
        </m:r>
      </m:oMath>
    </w:p>
    <w:p w14:paraId="74588AF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当 d 很大（几万、几十万特征）时，</w:t>
      </w:r>
      <m:oMath>
        <m:r>
          <m:rPr/>
          <w:rPr>
            <w:rFonts w:hint="default" w:ascii="DejaVu Math TeX Gyre" w:hAnsi="DejaVu Math TeX Gyre"/>
            <w:sz w:val="21"/>
          </w:rPr>
          <m:t>O(</m:t>
        </m:r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d</m:t>
            </m:r>
            <m:ctrlPr>
              <w:rPr>
                <w:rFonts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3</m:t>
            </m:r>
            <m:ctrlPr>
              <w:rPr>
                <w:rFonts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)</m:t>
        </m:r>
      </m:oMath>
      <w:r>
        <w:rPr>
          <w:rFonts w:hint="eastAsia"/>
        </w:rPr>
        <w:t>和</w:t>
      </w:r>
      <m:oMath>
        <m:r>
          <m:rPr/>
          <w:rPr>
            <w:rFonts w:hint="default" w:ascii="DejaVu Math TeX Gyre" w:hAnsi="DejaVu Math TeX Gyre"/>
            <w:sz w:val="21"/>
          </w:rPr>
          <m:t>O(</m:t>
        </m:r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d</m:t>
            </m:r>
            <m:ctrlPr>
              <w:rPr>
                <w:rFonts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)</m:t>
        </m:r>
      </m:oMath>
      <w:r>
        <w:rPr>
          <w:rFonts w:hint="eastAsia"/>
        </w:rPr>
        <w:t>会非常贵，甚至不可行。</w:t>
      </w:r>
    </w:p>
    <w:p w14:paraId="227CC2F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而梯度下降（尤其 mini-batch/SGD）：</w:t>
      </w:r>
    </w:p>
    <w:p w14:paraId="1C77EDA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每步梯度计算大约 O(bd)（b 是 batch 大小，远小于 n）</w:t>
      </w:r>
    </w:p>
    <w:p w14:paraId="04B2B24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不需要求逆，不需要存</w:t>
      </w:r>
      <m:oMath>
        <m:r>
          <m:rPr/>
          <w:rPr>
            <w:rFonts w:hint="default" w:ascii="DejaVu Math TeX Gyre" w:hAnsi="DejaVu Math TeX Gyre"/>
            <w:sz w:val="21"/>
          </w:rPr>
          <m:t>d</m:t>
        </m:r>
        <m:r>
          <m:rPr>
            <m:sty m:val="p"/>
          </m:rPr>
          <w:rPr>
            <w:rFonts w:hint="default" w:ascii="DejaVu Math TeX Gyre" w:hAnsi="DejaVu Math TeX Gyre"/>
            <w:sz w:val="21"/>
          </w:rPr>
          <m:t>×</m:t>
        </m:r>
        <m:r>
          <m:rPr/>
          <w:rPr>
            <w:rFonts w:hint="default" w:ascii="DejaVu Math TeX Gyre" w:hAnsi="DejaVu Math TeX Gyre"/>
            <w:sz w:val="21"/>
          </w:rPr>
          <m:t>d</m:t>
        </m:r>
      </m:oMath>
      <w:r>
        <w:rPr>
          <w:rFonts w:hint="eastAsia"/>
        </w:rPr>
        <w:t>的大矩阵</w:t>
      </w:r>
    </w:p>
    <w:p w14:paraId="52FD806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可流式读数据、可并行/GPU 加速，适合海量数据</w:t>
      </w:r>
    </w:p>
    <w:p w14:paraId="05884BD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所以在百万级数据、超高维特征或深度学习里，梯度下降在工程上更可扩展。</w:t>
      </w:r>
    </w:p>
    <w:p w14:paraId="52987231">
      <w:pPr>
        <w:widowControl w:val="0"/>
        <w:numPr>
          <w:numId w:val="0"/>
        </w:numPr>
        <w:jc w:val="both"/>
        <w:rPr>
          <w:rFonts w:hint="eastAsia"/>
        </w:rPr>
      </w:pPr>
    </w:p>
    <w:p w14:paraId="76EEC431">
      <w:pPr>
        <w:numPr>
          <w:ilvl w:val="0"/>
          <w:numId w:val="5"/>
        </w:numPr>
        <w:ind w:left="0" w:leftChars="0" w:firstLine="420" w:firstLineChars="200"/>
      </w:pPr>
      <w:r>
        <w:rPr>
          <w:rFonts w:hint="eastAsia"/>
        </w:rPr>
        <w:t>在任务三中，我们将波士顿数据集从 13 维升维到了 105 维，模型的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/>
        </w:rPr>
        <w:t xml:space="preserve">分数获得了提升。多项式升维的好处是什么？它为什么极易引发过拟合风险？ </w:t>
      </w:r>
    </w:p>
    <w:p w14:paraId="60E0B4C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把原始特征从 13 维扩展到 105 维，本质是在模型里加入了高阶项和交互项（如</w:t>
      </w:r>
      <m:oMath>
        <m:sSubSup>
          <m:sSubSupPr>
            <m:ctrlPr>
              <w:rPr>
                <w:rFonts w:hint="default" w:ascii="DejaVu Math TeX Gyre" w:hAnsi="DejaVu Math TeX Gyre"/>
                <w:sz w:val="21"/>
              </w:rPr>
            </m:ctrlPr>
          </m:sSubSupPr>
          <m:e>
            <m:r>
              <m:rPr/>
              <w:rPr>
                <w:rFonts w:hint="default" w:ascii="DejaVu Math TeX Gyre" w:hAnsi="DejaVu Math TeX Gyre"/>
                <w:sz w:val="21"/>
              </w:rPr>
              <m:t>x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  <m:sup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ascii="DejaVu Math TeX Gyre" w:hAnsi="DejaVu Math TeX Gyre"/>
                <w:sz w:val="21"/>
              </w:rPr>
            </m:ctrlPr>
          </m:sup>
        </m:sSubSup>
        <m:r>
          <m:rPr/>
          <w:rPr>
            <w:rFonts w:hint="default" w:ascii="DejaVu Math TeX Gyre" w:hAnsi="DejaVu Math TeX Gyre"/>
            <w:sz w:val="21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x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x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j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eastAsia"/>
        </w:rPr>
        <w:t>），好处是：</w:t>
      </w:r>
    </w:p>
    <w:p w14:paraId="25DA4EEA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• 增强表达能力：线性模型可拟合非线性关系</w:t>
      </w:r>
    </w:p>
    <w:p w14:paraId="57EB5787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• 捕捉特征交互：学习“两个特征共同作用”对目标的影响</w:t>
      </w:r>
    </w:p>
    <w:p w14:paraId="1C5C8BD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• 可能提升训练/测试分数：当真实关系确实含非线性时，性能常提升</w:t>
      </w:r>
    </w:p>
    <w:p w14:paraId="5486E763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可理解为：  </w:t>
      </w:r>
    </w:p>
    <w:p w14:paraId="2BD4F9A7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模型从  </w:t>
      </w:r>
    </w:p>
    <w:p w14:paraId="08E98E49">
      <w:pPr>
        <w:widowControl w:val="0"/>
        <w:numPr>
          <w:ilvl w:val="0"/>
          <w:numId w:val="0"/>
        </w:numPr>
        <w:jc w:val="both"/>
        <w:rPr>
          <w:rFonts w:hint="eastAsia"/>
        </w:rPr>
      </w:pPr>
      <m:oMathPara>
        <m:oMath>
          <m:r>
            <m:rPr/>
            <w:rPr>
              <w:rFonts w:hint="default" w:ascii="DejaVu Math TeX Gyre" w:hAnsi="DejaVu Math TeX Gyre"/>
              <w:sz w:val="21"/>
            </w:rPr>
            <m:t>y=</m:t>
          </m:r>
          <m:sSub>
            <m:sSubPr>
              <m:ctrlPr>
                <w:rPr>
                  <w:rFonts w:hint="default" w:ascii="DejaVu Math TeX Gyre" w:hAnsi="DejaVu Math TeX Gyre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sz w:val="21"/>
                </w:rPr>
                <m:t>β</m:t>
              </m:r>
              <m:ctrlPr>
                <w:rPr>
                  <w:rFonts w:ascii="DejaVu Math TeX Gyre" w:hAnsi="DejaVu Math TeX Gyre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0</m:t>
              </m:r>
              <m:ctrlPr>
                <w:rPr>
                  <w:rFonts w:ascii="DejaVu Math TeX Gyre" w:hAnsi="DejaVu Math TeX Gyre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/>
              <w:sz w:val="21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DejaVu Math TeX Gyre" w:hAnsi="DejaVu Math TeX Gyre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  <m:ctrlPr>
                <w:rPr>
                  <w:rFonts w:ascii="DejaVu Math TeX Gyre" w:hAnsi="DejaVu Math TeX Gyre"/>
                  <w:sz w:val="21"/>
                </w:rPr>
              </m:ctrlPr>
            </m:sub>
            <m:sup>
              <m:ctrlPr>
                <w:rPr>
                  <w:rFonts w:ascii="DejaVu Math TeX Gyre" w:hAnsi="DejaVu Math TeX Gyre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ctrlPr>
                <w:rPr>
                  <w:rFonts w:hint="default" w:ascii="DejaVu Math TeX Gyre" w:hAnsi="DejaVu Math TeX Gyre"/>
                  <w:sz w:val="21"/>
                </w:rPr>
              </m:ctrlPr>
            </m:e>
          </m:nary>
          <m:sSub>
            <m:sSubPr>
              <m:ctrlPr>
                <w:rPr>
                  <w:rFonts w:hint="default" w:ascii="DejaVu Math TeX Gyre" w:hAnsi="DejaVu Math TeX Gyre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sub>
          </m:sSub>
        </m:oMath>
      </m:oMathPara>
    </w:p>
    <w:p w14:paraId="468490A2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变成  </w:t>
      </w:r>
    </w:p>
    <w:p w14:paraId="74F5855D">
      <w:pPr>
        <w:widowControl w:val="0"/>
        <w:numPr>
          <w:ilvl w:val="0"/>
          <w:numId w:val="0"/>
        </w:numPr>
        <w:jc w:val="both"/>
        <w:rPr>
          <w:rFonts w:hint="default" w:hAnsi="DejaVu Math TeX Gyre"/>
          <w:i w:val="0"/>
          <w:sz w:val="21"/>
        </w:rPr>
      </w:pPr>
      <m:oMathPara>
        <m:oMath>
          <m:r>
            <m:rPr/>
            <w:rPr>
              <w:rFonts w:hint="default" w:ascii="DejaVu Math TeX Gyre" w:hAnsi="DejaVu Math TeX Gyre"/>
              <w:sz w:val="21"/>
            </w:rPr>
            <m:t>y=</m:t>
          </m:r>
          <m:sSub>
            <m:sSubPr>
              <m:ctrlPr>
                <w:rPr>
                  <w:rFonts w:hint="default" w:ascii="DejaVu Math TeX Gyre" w:hAnsi="DejaVu Math TeX Gyre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sz w:val="21"/>
                </w:rPr>
                <m:t>β</m:t>
              </m:r>
              <m:ctrlPr>
                <w:rPr>
                  <w:rFonts w:ascii="DejaVu Math TeX Gyre" w:hAnsi="DejaVu Math TeX Gyre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0</m:t>
              </m:r>
              <m:ctrlPr>
                <w:rPr>
                  <w:rFonts w:ascii="DejaVu Math TeX Gyre" w:hAnsi="DejaVu Math TeX Gyre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/>
              <w:sz w:val="21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DejaVu Math TeX Gyre" w:hAnsi="DejaVu Math TeX Gyre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  <m:ctrlPr>
                <w:rPr>
                  <w:rFonts w:ascii="DejaVu Math TeX Gyre" w:hAnsi="DejaVu Math TeX Gyre"/>
                  <w:sz w:val="21"/>
                </w:rPr>
              </m:ctrlPr>
            </m:sub>
            <m:sup>
              <m:ctrlPr>
                <w:rPr>
                  <w:rFonts w:ascii="DejaVu Math TeX Gyre" w:hAnsi="DejaVu Math TeX Gyre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ctrlPr>
                <w:rPr>
                  <w:rFonts w:hint="default" w:ascii="DejaVu Math TeX Gyre" w:hAnsi="DejaVu Math TeX Gyre"/>
                  <w:sz w:val="21"/>
                </w:rPr>
              </m:ctrlPr>
            </m:e>
          </m:nary>
          <m:sSub>
            <m:sSubPr>
              <m:ctrlPr>
                <w:rPr>
                  <w:rFonts w:hint="default" w:ascii="DejaVu Math TeX Gyre" w:hAnsi="DejaVu Math TeX Gyre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/>
              <w:sz w:val="21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DejaVu Math TeX Gyre" w:hAnsi="DejaVu Math TeX Gyre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sub>
            <m:sup>
              <m:ctrlPr>
                <w:rPr>
                  <w:rFonts w:hint="default" w:ascii="DejaVu Math TeX Gyre" w:hAnsi="DejaVu Math TeX Gyre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ctrlPr>
                <w:rPr>
                  <w:rFonts w:hint="default" w:ascii="DejaVu Math TeX Gyre" w:hAnsi="DejaVu Math TeX Gyre"/>
                  <w:sz w:val="21"/>
                </w:rPr>
              </m:ctrlPr>
            </m:e>
          </m:nary>
          <m:sSubSup>
            <m:sSubSupPr>
              <m:ctrlPr>
                <w:rPr>
                  <w:rFonts w:hint="default" w:ascii="DejaVu Math TeX Gyre" w:hAnsi="DejaVu Math TeX Gyre"/>
                  <w:sz w:val="21"/>
                </w:rPr>
              </m:ctrlPr>
            </m:sSubSupPr>
            <m:e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sub>
            <m:sup>
              <m:r>
                <m:rPr/>
                <w:rPr>
                  <w:rFonts w:hint="default" w:ascii="DejaVu Math TeX Gyre" w:hAnsi="DejaVu Math TeX Gyre"/>
                  <w:sz w:val="21"/>
                </w:rPr>
                <m:t>2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sup>
          </m:sSubSup>
          <m:r>
            <m:rPr/>
            <w:rPr>
              <w:rFonts w:hint="default" w:ascii="DejaVu Math TeX Gyre" w:hAnsi="DejaVu Math TeX Gyre"/>
              <w:sz w:val="21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DejaVu Math TeX Gyre" w:hAnsi="DejaVu Math TeX Gyre"/>
                  <w:i/>
                  <w:sz w:val="21"/>
                </w:rPr>
              </m:ctrlPr>
            </m:naryPr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i&lt;j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sub>
            <m:sup>
              <m:ctrlPr>
                <w:rPr>
                  <w:rFonts w:hint="default" w:ascii="DejaVu Math TeX Gyre" w:hAnsi="DejaVu Math TeX Gyre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ctrlPr>
                <w:rPr>
                  <w:rFonts w:hint="default" w:ascii="DejaVu Math TeX Gyre" w:hAnsi="DejaVu Math TeX Gyre"/>
                  <w:sz w:val="21"/>
                </w:rPr>
              </m:ctrlPr>
            </m:e>
          </m:nary>
          <m:sSub>
            <m:sSubPr>
              <m:ctrlPr>
                <w:rPr>
                  <w:rFonts w:hint="default" w:ascii="DejaVu Math TeX Gyre" w:hAnsi="DejaVu Math TeX Gyre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sub>
          </m:sSub>
          <m:sSub>
            <m:sSubPr>
              <m:ctrlPr>
                <w:rPr>
                  <w:rFonts w:hint="default" w:ascii="DejaVu Math TeX Gyre" w:hAnsi="DejaVu Math TeX Gyre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j</m:t>
              </m:r>
              <m:ctrlPr>
                <w:rPr>
                  <w:rFonts w:hint="default" w:ascii="DejaVu Math TeX Gyre" w:hAnsi="DejaVu Math TeX Gyre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/>
              <w:sz w:val="21"/>
            </w:rPr>
            <m:t>+⋯</m:t>
          </m:r>
        </m:oMath>
      </m:oMathPara>
    </w:p>
    <w:p w14:paraId="2D128310">
      <w:pPr>
        <w:widowControl w:val="0"/>
        <w:numPr>
          <w:ilvl w:val="0"/>
          <w:numId w:val="0"/>
        </w:numPr>
        <w:jc w:val="both"/>
        <w:rPr>
          <w:rFonts w:hint="eastAsia" w:hAnsi="DejaVu Math TeX Gyre"/>
          <w:i w:val="0"/>
          <w:sz w:val="21"/>
        </w:rPr>
      </w:pPr>
    </w:p>
    <w:p w14:paraId="5E07D05E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842EA7A">
      <w:pPr>
        <w:widowControl w:val="0"/>
        <w:numPr>
          <w:ilvl w:val="0"/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/>
        </w:rPr>
        <w:t>为什么容易过拟合</w:t>
      </w:r>
      <w:r>
        <w:rPr>
          <w:rFonts w:hint="eastAsia"/>
          <w:lang w:eastAsia="zh-CN"/>
        </w:rPr>
        <w:t>：</w:t>
      </w:r>
    </w:p>
    <w:p w14:paraId="62953BED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升维后参数数量大幅增加（13→105），会带来：</w:t>
      </w:r>
    </w:p>
    <w:p w14:paraId="2D41CBFE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• 模型复杂度上升：更容易把训练集噪声当成规律记住</w:t>
      </w:r>
    </w:p>
    <w:p w14:paraId="3602634C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• 方差增大：对训练样本扰动更敏感，泛化能力下降</w:t>
      </w:r>
    </w:p>
    <w:p w14:paraId="47E0FE00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• 维度灾难：样本相对“稀疏”，需要更多数据支撑</w:t>
      </w:r>
    </w:p>
    <w:p w14:paraId="04D20008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• 共线性加重：多项式项之间高度相关，参数不稳定</w:t>
      </w:r>
    </w:p>
    <w:p w14:paraId="5BFA65FD">
      <w:pPr>
        <w:widowControl w:val="0"/>
        <w:numPr>
          <w:numId w:val="0"/>
        </w:numPr>
        <w:jc w:val="both"/>
      </w:pPr>
    </w:p>
    <w:p w14:paraId="5EB774D5">
      <w:pPr>
        <w:numPr>
          <w:ilvl w:val="0"/>
          <w:numId w:val="5"/>
        </w:numPr>
        <w:ind w:left="0" w:leftChars="0" w:firstLine="420" w:firstLineChars="200"/>
      </w:pPr>
      <w:r>
        <w:rPr>
          <w:rFonts w:hint="eastAsia"/>
        </w:rPr>
        <w:t>结合任务三或练习二中 Lasso 回归的稀疏化特性，简述 L2 正则化（Ridge）和 L1 正则化（Lasso）在惩罚机制上的核心区别。在医学、金融等含有大量“垃圾特征”或“噪音特征”的业务场景中，为什么 Lasso 备受算法工程师的青睐？</w:t>
      </w:r>
    </w:p>
    <w:p w14:paraId="23B06D6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L2（Ridge）与 L1（Lasso）惩罚机制的核心区别</w:t>
      </w:r>
    </w:p>
    <w:p w14:paraId="3645D30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给定损失函数 J(w)：</w:t>
      </w:r>
    </w:p>
    <w:p w14:paraId="7B02E13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Ridge（L2）</w:t>
      </w:r>
    </w:p>
    <w:p w14:paraId="037C2CCB">
      <w:pPr>
        <w:widowControl w:val="0"/>
        <w:numPr>
          <w:numId w:val="0"/>
        </w:numPr>
        <w:jc w:val="both"/>
        <w:rPr>
          <w:rFonts w:hint="eastAsi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J(θ)=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2m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DejaVu Math TeX Gyre" w:hAnsi="DejaVu Math TeX Gyre" w:eastAsiaTheme="minorEastAsia"/>
                          <w:i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i=1</m:t>
                      </m:r>
                      <m:ctrlPr>
                        <w:rPr>
                          <w:rFonts w:ascii="DejaVu Math TeX Gyre" w:hAnsi="DejaVu Math TeX Gyre" w:eastAsiaTheme="minorEastAsia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m</m:t>
                      </m:r>
                      <m:ctrlPr>
                        <w:rPr>
                          <w:rFonts w:ascii="DejaVu Math TeX Gyre" w:hAnsi="DejaVu Math TeX Gyre" w:eastAsiaTheme="minorEastAsia"/>
                          <w:sz w:val="21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hint="default" w:ascii="DejaVu Math TeX Gyre" w:hAnsi="DejaVu Math TeX Gyre" w:eastAsiaTheme="minorEastAsia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Theme="minorEastAsia"/>
                              <w:sz w:val="21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(i)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 w:eastAsiaTheme="minorEastAsia"/>
                              <w:sz w:val="21"/>
                            </w:rPr>
                            <m:t>)−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(i)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 w:eastAsiaTheme="minorEastAsia"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 w:eastAsiaTheme="minorEastAsia"/>
                          <w:i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+λ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j=1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θ</m:t>
                      </m:r>
                      <m:ctrlPr>
                        <w:rPr>
                          <w:rFonts w:hint="default" w:ascii="DejaVu Math TeX Gyre" w:hAnsi="DejaVu Math TeX Gyre" w:eastAsiaTheme="minorEastAsia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j</m:t>
                      </m:r>
                      <m:ctrlPr>
                        <w:rPr>
                          <w:rFonts w:hint="default" w:ascii="DejaVu Math TeX Gyre" w:hAnsi="DejaVu Math TeX Gyre" w:eastAsiaTheme="minorEastAsia"/>
                          <w:i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eastAsiaTheme="minorEastAsia"/>
                          <w:i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e>
              </m:nary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e>
          </m:d>
        </m:oMath>
      </m:oMathPara>
    </w:p>
    <w:p w14:paraId="596BFE0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惩罚是“平方和”，对大系数惩罚更重，效果是把系数整体缩小，但通常不会精确变成 0。</w:t>
      </w:r>
    </w:p>
    <w:p w14:paraId="3E72577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• Lasso（L1）</w:t>
      </w:r>
    </w:p>
    <w:p w14:paraId="10CDD466">
      <w:pPr>
        <w:widowControl w:val="0"/>
        <w:numPr>
          <w:numId w:val="0"/>
        </w:numPr>
        <w:jc w:val="both"/>
        <w:rPr>
          <w:rFonts w:hint="eastAsia"/>
        </w:rPr>
      </w:pPr>
      <m:oMathPara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J(θ)=</m:t>
          </m:r>
          <m:f>
            <m:fPr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2m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DejaVu Math TeX Gyre" w:hAnsi="DejaVu Math TeX Gyre" w:eastAsiaTheme="minorEastAsia"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DejaVu Math TeX Gyre" w:hAnsi="DejaVu Math TeX Gyre" w:eastAsiaTheme="minorEastAsia"/>
                          <w:i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i=1</m:t>
                      </m:r>
                      <m:ctrlPr>
                        <w:rPr>
                          <w:rFonts w:ascii="DejaVu Math TeX Gyre" w:hAnsi="DejaVu Math TeX Gyre" w:eastAsiaTheme="minorEastAsia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 w:eastAsiaTheme="minorEastAsia"/>
                          <w:sz w:val="21"/>
                        </w:rPr>
                        <m:t>m</m:t>
                      </m:r>
                      <m:ctrlPr>
                        <w:rPr>
                          <w:rFonts w:ascii="DejaVu Math TeX Gyre" w:hAnsi="DejaVu Math TeX Gyre" w:eastAsiaTheme="minorEastAsia"/>
                          <w:sz w:val="21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hint="default" w:ascii="DejaVu Math TeX Gyre" w:hAnsi="DejaVu Math TeX Gyre" w:eastAsiaTheme="minorEastAsia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Theme="minorEastAsia"/>
                              <w:sz w:val="21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(i)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 w:eastAsiaTheme="minorEastAsia"/>
                              <w:sz w:val="21"/>
                            </w:rPr>
                            <m:t>)−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Theme="minorEastAsia"/>
                                  <w:sz w:val="21"/>
                                </w:rPr>
                                <m:t>(i)</m:t>
                              </m:r>
                              <m:ctrlPr>
                                <w:rPr>
                                  <w:rFonts w:ascii="DejaVu Math TeX Gyre" w:hAnsi="DejaVu Math TeX Gyre" w:eastAsiaTheme="minorEastAsia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 w:eastAsiaTheme="minorEastAsia"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 w:eastAsiaTheme="minorEastAsia"/>
                          <w:i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+λ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j=1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|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DejaVu Math TeX Gyre" w:hAnsi="DejaVu Math TeX Gyre" w:eastAsiaTheme="minorEastAsia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θ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Theme="minorEastAsia"/>
                      <w:sz w:val="21"/>
                    </w:rPr>
                    <m:t>j</m:t>
                  </m:r>
                  <m:ctrlPr>
                    <w:rPr>
                      <w:rFonts w:hint="default" w:ascii="DejaVu Math TeX Gyre" w:hAnsi="DejaVu Math TeX Gyre" w:eastAsiaTheme="minorEastAsia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|</m:t>
              </m: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e>
          </m:d>
        </m:oMath>
      </m:oMathPara>
    </w:p>
    <w:p w14:paraId="7EED4DC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惩罚是“绝对值和”，在 0 点不可导，优化后容易出现部分系数被压到精确 0，即稀疏解（自动特征选择）。</w:t>
      </w:r>
    </w:p>
    <w:p w14:paraId="019DC7CD">
      <w:pPr>
        <w:widowControl w:val="0"/>
        <w:numPr>
          <w:numId w:val="0"/>
        </w:numPr>
        <w:jc w:val="both"/>
        <w:rPr>
          <w:rFonts w:hint="eastAsia"/>
        </w:rPr>
      </w:pPr>
    </w:p>
    <w:p w14:paraId="74BA8268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为什么在医学、金融等“垃圾特征多”的场景 Lasso 更受青睐</w:t>
      </w:r>
      <w:r>
        <w:rPr>
          <w:rFonts w:hint="eastAsia"/>
          <w:lang w:eastAsia="zh-CN"/>
        </w:rPr>
        <w:t>：</w:t>
      </w:r>
    </w:p>
    <w:p w14:paraId="30DA009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1. 自动特征选择  </w:t>
      </w:r>
    </w:p>
    <w:p w14:paraId="06D4295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直接把无关/弱相关特征系数压到 0，减少人工筛特征工作量。</w:t>
      </w:r>
    </w:p>
    <w:p w14:paraId="5E6AA4B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2. 抗噪声能力更强（在高维稀疏问题里）  </w:t>
      </w:r>
    </w:p>
    <w:p w14:paraId="67C323F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当很多特征本质是噪声时，稀疏化能降低过拟合风险，提升泛化。</w:t>
      </w:r>
    </w:p>
    <w:p w14:paraId="13849BB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3. 模型可解释性更好  </w:t>
      </w:r>
    </w:p>
    <w:p w14:paraId="6EF8823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医学和金融很看重可解释性。Lasso 保留少量关键变量，便于给出“哪些指标真正驱动预测”的结论。</w:t>
      </w:r>
    </w:p>
    <w:p w14:paraId="6654B67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4. 部署与维护成本更低  </w:t>
      </w:r>
    </w:p>
    <w:p w14:paraId="6539BA6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有效特征更少，线上计算开销更小，监控和模型迭代更简单。</w:t>
      </w:r>
    </w:p>
    <w:p w14:paraId="4366D407">
      <w:pPr>
        <w:widowControl w:val="0"/>
        <w:numPr>
          <w:numId w:val="0"/>
        </w:numPr>
        <w:jc w:val="both"/>
        <w:rPr>
          <w:rFonts w:hint="eastAsia"/>
        </w:rPr>
      </w:pPr>
    </w:p>
    <w:p w14:paraId="4B95C7CC">
      <w:pPr>
        <w:widowControl w:val="0"/>
        <w:numPr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实验总结：</w:t>
      </w:r>
    </w:p>
    <w:p w14:paraId="1A8C680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本实验围绕线性回归及其正则化扩展方法展开，完成了从单变量/多变量批量梯度下降（BGD）到 LinearRegression、Ridge、Lasso 三类模型的构建、调参与评估。实验中首先通过标准化与训练/测试集划分建立统一的数据处理流程，再分别采用可视化方法（alpha-MSE 曲线）与交叉验证（RidgeCV、LassoCV）确定正则化强度，最后在测试集上以 MSE 与 R² 进行量化比较，并结合折线图、散点图进行误差结构分析</w:t>
      </w:r>
      <w:bookmarkStart w:id="8" w:name="_GoBack"/>
      <w:bookmarkEnd w:id="8"/>
      <w:r>
        <w:rPr>
          <w:rFonts w:hint="eastAsia"/>
        </w:rPr>
        <w:t>。</w:t>
      </w:r>
    </w:p>
    <w:p w14:paraId="3A76D9E6">
      <w:pPr>
        <w:rPr>
          <w:sz w:val="18"/>
          <w:szCs w:val="18"/>
        </w:rPr>
      </w:pPr>
    </w:p>
    <w:p w14:paraId="7C923201">
      <w:pPr>
        <w:rPr>
          <w:sz w:val="18"/>
          <w:szCs w:val="18"/>
        </w:rPr>
      </w:pPr>
    </w:p>
    <w:p w14:paraId="0F954E52">
      <w:pPr>
        <w:rPr>
          <w:sz w:val="18"/>
          <w:szCs w:val="18"/>
        </w:rPr>
      </w:pPr>
    </w:p>
    <w:p w14:paraId="6DEA604D">
      <w:pPr>
        <w:rPr>
          <w:sz w:val="18"/>
          <w:szCs w:val="18"/>
        </w:rPr>
      </w:pPr>
    </w:p>
    <w:p w14:paraId="3D338461">
      <w:pPr>
        <w:rPr>
          <w:sz w:val="18"/>
          <w:szCs w:val="18"/>
        </w:rPr>
      </w:pPr>
    </w:p>
    <w:p w14:paraId="7C6A4581">
      <w:pPr>
        <w:rPr>
          <w:sz w:val="18"/>
          <w:szCs w:val="18"/>
        </w:rPr>
      </w:pPr>
    </w:p>
    <w:p w14:paraId="13F95A4E">
      <w:pPr>
        <w:rPr>
          <w:sz w:val="18"/>
          <w:szCs w:val="18"/>
        </w:rPr>
      </w:pPr>
    </w:p>
    <w:p w14:paraId="600A204D">
      <w:pPr>
        <w:rPr>
          <w:sz w:val="18"/>
          <w:szCs w:val="18"/>
        </w:rPr>
      </w:pPr>
    </w:p>
    <w:p w14:paraId="7F860C20">
      <w:pPr>
        <w:rPr>
          <w:sz w:val="18"/>
          <w:szCs w:val="18"/>
        </w:rPr>
      </w:pPr>
    </w:p>
    <w:p w14:paraId="548C25E1">
      <w:pPr>
        <w:rPr>
          <w:sz w:val="18"/>
          <w:szCs w:val="18"/>
        </w:rPr>
      </w:pPr>
    </w:p>
    <w:p w14:paraId="1F960521">
      <w:pPr>
        <w:rPr>
          <w:sz w:val="18"/>
          <w:szCs w:val="18"/>
        </w:rPr>
      </w:pPr>
    </w:p>
    <w:p w14:paraId="594F750A">
      <w:pPr>
        <w:rPr>
          <w:sz w:val="18"/>
          <w:szCs w:val="18"/>
        </w:rPr>
      </w:pPr>
    </w:p>
    <w:p w14:paraId="5849E75C">
      <w:pPr>
        <w:rPr>
          <w:sz w:val="18"/>
          <w:szCs w:val="18"/>
        </w:rPr>
      </w:pPr>
    </w:p>
    <w:p w14:paraId="263D8F63">
      <w:pPr>
        <w:rPr>
          <w:sz w:val="18"/>
          <w:szCs w:val="18"/>
        </w:rPr>
      </w:pPr>
    </w:p>
    <w:p w14:paraId="22B29013">
      <w:pPr>
        <w:rPr>
          <w:sz w:val="18"/>
          <w:szCs w:val="18"/>
        </w:rPr>
      </w:pPr>
    </w:p>
    <w:p w14:paraId="374DEAD7">
      <w:pPr>
        <w:rPr>
          <w:sz w:val="18"/>
          <w:szCs w:val="18"/>
        </w:rPr>
      </w:pPr>
    </w:p>
    <w:p w14:paraId="43370DF3">
      <w:pPr>
        <w:rPr>
          <w:sz w:val="18"/>
          <w:szCs w:val="18"/>
        </w:rPr>
      </w:pPr>
    </w:p>
    <w:p w14:paraId="321F06EF">
      <w:pPr>
        <w:rPr>
          <w:sz w:val="18"/>
          <w:szCs w:val="18"/>
        </w:rPr>
      </w:pPr>
    </w:p>
    <w:p w14:paraId="6B59C8A0">
      <w:pPr>
        <w:rPr>
          <w:sz w:val="18"/>
          <w:szCs w:val="18"/>
        </w:rPr>
      </w:pPr>
    </w:p>
    <w:p w14:paraId="6E729F1A">
      <w:pPr>
        <w:rPr>
          <w:sz w:val="18"/>
          <w:szCs w:val="18"/>
        </w:rPr>
      </w:pPr>
    </w:p>
    <w:p w14:paraId="3E4EA7C0">
      <w:pPr>
        <w:rPr>
          <w:sz w:val="18"/>
          <w:szCs w:val="18"/>
        </w:rPr>
      </w:pPr>
    </w:p>
    <w:p w14:paraId="210FAE8B">
      <w:pPr>
        <w:rPr>
          <w:sz w:val="18"/>
          <w:szCs w:val="18"/>
        </w:rPr>
      </w:pPr>
    </w:p>
    <w:p w14:paraId="0CB73617">
      <w:pPr>
        <w:rPr>
          <w:sz w:val="18"/>
          <w:szCs w:val="18"/>
        </w:rPr>
      </w:pPr>
    </w:p>
    <w:p w14:paraId="6158F05B">
      <w:pPr>
        <w:rPr>
          <w:sz w:val="18"/>
          <w:szCs w:val="18"/>
        </w:rPr>
      </w:pPr>
    </w:p>
    <w:p w14:paraId="0C34AE78">
      <w:pPr>
        <w:rPr>
          <w:sz w:val="18"/>
          <w:szCs w:val="18"/>
        </w:rPr>
      </w:pPr>
    </w:p>
    <w:p w14:paraId="4F7A6FC7">
      <w:pPr>
        <w:rPr>
          <w:sz w:val="18"/>
          <w:szCs w:val="18"/>
        </w:rPr>
      </w:pPr>
    </w:p>
    <w:p w14:paraId="6DEBED77">
      <w:pPr>
        <w:rPr>
          <w:sz w:val="18"/>
          <w:szCs w:val="18"/>
        </w:rPr>
      </w:pPr>
    </w:p>
    <w:p w14:paraId="69D13D4A">
      <w:pPr>
        <w:rPr>
          <w:sz w:val="18"/>
          <w:szCs w:val="18"/>
        </w:rPr>
      </w:pPr>
    </w:p>
    <w:p w14:paraId="15A0FF4B">
      <w:pPr>
        <w:rPr>
          <w:sz w:val="18"/>
          <w:szCs w:val="18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EE3582B">
        <w:trPr>
          <w:trHeight w:val="6496" w:hRule="atLeast"/>
        </w:trPr>
        <w:tc>
          <w:tcPr>
            <w:tcW w:w="8160" w:type="dxa"/>
          </w:tcPr>
          <w:p w14:paraId="71A7D8B8">
            <w:r>
              <w:rPr>
                <w:rFonts w:hint="eastAsia"/>
              </w:rPr>
              <w:t>指导教师批阅意见：</w:t>
            </w:r>
          </w:p>
          <w:p w14:paraId="4F31FCF5"/>
          <w:p w14:paraId="4BC2356B"/>
          <w:p w14:paraId="748831B8"/>
          <w:p w14:paraId="27E8569B"/>
          <w:p w14:paraId="174F4E67"/>
          <w:p w14:paraId="587F93F1"/>
          <w:p w14:paraId="315B6C2E"/>
          <w:p w14:paraId="1B51DC35"/>
          <w:p w14:paraId="2E799946"/>
          <w:p w14:paraId="09F9D8DE"/>
          <w:p w14:paraId="41D41176"/>
          <w:p w14:paraId="7FAEAC1D"/>
          <w:p w14:paraId="6B0DC2FA"/>
          <w:p w14:paraId="09FDE723">
            <w:r>
              <w:rPr>
                <w:rFonts w:hint="eastAsia"/>
              </w:rPr>
              <w:t>成绩评定：</w:t>
            </w:r>
          </w:p>
          <w:p w14:paraId="6C98D5FF"/>
          <w:p w14:paraId="3E567EE3"/>
          <w:p w14:paraId="174EAFFF"/>
          <w:p w14:paraId="78E77711"/>
          <w:p w14:paraId="59D59254"/>
          <w:p w14:paraId="5C88F134"/>
          <w:p w14:paraId="40C281D5"/>
          <w:p w14:paraId="00FBAB10">
            <w:r>
              <w:rPr>
                <w:rFonts w:hint="eastAsia"/>
              </w:rPr>
              <w:t xml:space="preserve">                                          指导教师签字：</w:t>
            </w:r>
          </w:p>
          <w:p w14:paraId="51DE40C1"/>
          <w:p w14:paraId="566711F1"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4B282A16"/>
        </w:tc>
      </w:tr>
      <w:tr w14:paraId="661D5BC3">
        <w:trPr>
          <w:trHeight w:val="1236" w:hRule="atLeast"/>
        </w:trPr>
        <w:tc>
          <w:tcPr>
            <w:tcW w:w="8160" w:type="dxa"/>
          </w:tcPr>
          <w:p w14:paraId="52BA6314">
            <w:r>
              <w:rPr>
                <w:rFonts w:hint="eastAsia"/>
              </w:rPr>
              <w:t>备注：</w:t>
            </w:r>
          </w:p>
          <w:p w14:paraId="5377E0F6"/>
          <w:p w14:paraId="38FE3062"/>
          <w:p w14:paraId="0A92F27A"/>
          <w:p w14:paraId="426CE1C0"/>
        </w:tc>
      </w:tr>
    </w:tbl>
    <w:p w14:paraId="05439053"/>
    <w:p w14:paraId="1C2CC3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CEB156"/>
    <w:multiLevelType w:val="singleLevel"/>
    <w:tmpl w:val="EDCEB156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47248D6"/>
    <w:multiLevelType w:val="multilevel"/>
    <w:tmpl w:val="047248D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17E97709"/>
    <w:multiLevelType w:val="multilevel"/>
    <w:tmpl w:val="17E9770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3297FB4E"/>
    <w:multiLevelType w:val="singleLevel"/>
    <w:tmpl w:val="3297FB4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35B52C95"/>
    <w:multiLevelType w:val="multilevel"/>
    <w:tmpl w:val="35B52C9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3E6"/>
    <w:rsid w:val="00003749"/>
    <w:rsid w:val="00352D59"/>
    <w:rsid w:val="00385072"/>
    <w:rsid w:val="00401963"/>
    <w:rsid w:val="00585032"/>
    <w:rsid w:val="006049DA"/>
    <w:rsid w:val="008275B9"/>
    <w:rsid w:val="008D7952"/>
    <w:rsid w:val="0090666F"/>
    <w:rsid w:val="00A673E6"/>
    <w:rsid w:val="00DD1EA9"/>
    <w:rsid w:val="00E34EF2"/>
    <w:rsid w:val="00E92651"/>
    <w:rsid w:val="00ED0407"/>
    <w:rsid w:val="03B42F6C"/>
    <w:rsid w:val="051B6ABC"/>
    <w:rsid w:val="0AF3628F"/>
    <w:rsid w:val="0BC2796C"/>
    <w:rsid w:val="0EBE4E06"/>
    <w:rsid w:val="15F335E7"/>
    <w:rsid w:val="19085369"/>
    <w:rsid w:val="1D547061"/>
    <w:rsid w:val="23A10B26"/>
    <w:rsid w:val="299627B0"/>
    <w:rsid w:val="2CE965C4"/>
    <w:rsid w:val="2FBE480E"/>
    <w:rsid w:val="34DB2CE3"/>
    <w:rsid w:val="35213875"/>
    <w:rsid w:val="405E59BC"/>
    <w:rsid w:val="419C7DA8"/>
    <w:rsid w:val="42AB64A0"/>
    <w:rsid w:val="45140D01"/>
    <w:rsid w:val="47D91D8D"/>
    <w:rsid w:val="48684EBF"/>
    <w:rsid w:val="4AE95026"/>
    <w:rsid w:val="50C032C4"/>
    <w:rsid w:val="55517407"/>
    <w:rsid w:val="58E16CF4"/>
    <w:rsid w:val="5A113609"/>
    <w:rsid w:val="5FF90DC7"/>
    <w:rsid w:val="6EAD34A8"/>
    <w:rsid w:val="70A00DEB"/>
    <w:rsid w:val="725D6668"/>
    <w:rsid w:val="733A72D5"/>
    <w:rsid w:val="7B220D7A"/>
    <w:rsid w:val="7C7C44BA"/>
    <w:rsid w:val="CEF70538"/>
    <w:rsid w:val="DBFFEF69"/>
    <w:rsid w:val="E7FD8B2B"/>
    <w:rsid w:val="EFFFFC30"/>
    <w:rsid w:val="F4D2D01A"/>
    <w:rsid w:val="F56FF725"/>
    <w:rsid w:val="FFFFD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正文文字"/>
    <w:basedOn w:val="1"/>
    <w:qFormat/>
    <w:uiPriority w:val="0"/>
    <w:pPr>
      <w:widowControl/>
      <w:ind w:firstLine="420"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188</Words>
  <Characters>1075</Characters>
  <Lines>8</Lines>
  <Paragraphs>2</Paragraphs>
  <TotalTime>1</TotalTime>
  <ScaleCrop>false</ScaleCrop>
  <LinksUpToDate>false</LinksUpToDate>
  <CharactersWithSpaces>1261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2026-03-13T14:18:00Z</dcterms:created>
  <dc:creator>Lenovo</dc:creator>
  <cp:lastModifiedBy>WPS_1647091957</cp:lastModifiedBy>
  <dcterms:modified xsi:type="dcterms:W3CDTF">2026-04-25T21:00:27Z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KSOTemplateDocerSaveRecord">
    <vt:lpwstr>eyJoZGlkIjoiOGEyYTQ2YWY2MmQxZDE5NThmMDBiZjI1ZWM3NWRlNzgiLCJ1c2VySWQiOiI5MTIxMTUxODgifQ==</vt:lpwstr>
  </property>
  <property fmtid="{D5CDD505-2E9C-101B-9397-08002B2CF9AE}" pid="4" name="ICV">
    <vt:lpwstr>45BA97DDB84B42E2941D92D218246B36_12</vt:lpwstr>
  </property>
</Properties>
</file>