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4727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E371E36">
      <w:pPr>
        <w:jc w:val="center"/>
        <w:rPr>
          <w:b/>
          <w:sz w:val="28"/>
          <w:u w:val="single"/>
        </w:rPr>
      </w:pPr>
    </w:p>
    <w:p w14:paraId="138ECA32">
      <w:pPr>
        <w:jc w:val="center"/>
        <w:rPr>
          <w:b/>
          <w:sz w:val="28"/>
          <w:u w:val="single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 w14:paraId="5D464D74">
        <w:trPr>
          <w:jc w:val="center"/>
        </w:trPr>
        <w:tc>
          <w:tcPr>
            <w:tcW w:w="6698" w:type="dxa"/>
          </w:tcPr>
          <w:p w14:paraId="67EFAC1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机器学习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70A8E21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PCA算法                 </w:t>
            </w:r>
          </w:p>
          <w:p w14:paraId="19F6650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计算机与软件学院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1C8D5FFC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人工智能卓越班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76A7F5C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魏军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</w:t>
            </w:r>
          </w:p>
          <w:p w14:paraId="248BB13A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邓瑞霖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2024150040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</w:t>
            </w:r>
          </w:p>
          <w:p w14:paraId="1E1AB5E5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  2026年3月24日星期二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01C0D209">
            <w:pPr>
              <w:spacing w:before="312" w:beforeLines="100" w:after="312" w:afterLines="100"/>
              <w:rPr>
                <w:b/>
                <w:sz w:val="4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2026年3月26日星期四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</w:tbl>
    <w:p w14:paraId="6D163F18">
      <w:pPr>
        <w:jc w:val="center"/>
        <w:rPr>
          <w:b/>
          <w:sz w:val="28"/>
          <w:u w:val="single"/>
        </w:rPr>
      </w:pPr>
    </w:p>
    <w:p w14:paraId="097F7867">
      <w:pPr>
        <w:jc w:val="center"/>
        <w:rPr>
          <w:b/>
          <w:sz w:val="28"/>
          <w:u w:val="single"/>
        </w:rPr>
      </w:pPr>
    </w:p>
    <w:p w14:paraId="7A3AC47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B90A44F">
      <w:pPr>
        <w:jc w:val="center"/>
        <w:rPr>
          <w:b/>
          <w:sz w:val="28"/>
          <w:u w:val="single"/>
        </w:rPr>
      </w:pPr>
    </w:p>
    <w:p w14:paraId="36FC4DD5">
      <w:pPr>
        <w:jc w:val="center"/>
        <w:rPr>
          <w:b/>
          <w:sz w:val="28"/>
          <w:u w:val="single"/>
        </w:rPr>
      </w:pPr>
    </w:p>
    <w:p w14:paraId="0842A3C6">
      <w:pPr>
        <w:pStyle w:val="2"/>
      </w:pPr>
      <w:r>
        <w:rPr>
          <w:rFonts w:hint="eastAsia"/>
        </w:rPr>
        <w:t>一、实验目的</w:t>
      </w:r>
    </w:p>
    <w:p w14:paraId="36218168">
      <w:pPr>
        <w:pStyle w:val="11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理解主成分分析（PCA）的基本原理及其数学基础（协方差，特征值分解）</w:t>
      </w:r>
    </w:p>
    <w:p w14:paraId="03A50F5A">
      <w:pPr>
        <w:pStyle w:val="11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掌握使用PCA对图像数据进行降维与压缩的方法</w:t>
      </w:r>
    </w:p>
    <w:p w14:paraId="4A83301A">
      <w:pPr>
        <w:pStyle w:val="11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能给利用降维后的低微表示重构原始图像，并评估信息损失</w:t>
      </w:r>
    </w:p>
    <w:p w14:paraId="5E5986B5">
      <w:pPr>
        <w:pStyle w:val="11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学会将高维数据（如特征矩阵，人脸特征集）投影二维或三维空间进行可视化</w:t>
      </w:r>
    </w:p>
    <w:p w14:paraId="776E3217">
      <w:pPr>
        <w:pStyle w:val="11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熟悉Python中scikit-learn、matplotlib、numpy等库在机器学习任务中的基本用法。</w:t>
      </w:r>
    </w:p>
    <w:p w14:paraId="758DBD77">
      <w:pPr>
        <w:pStyle w:val="2"/>
      </w:pPr>
      <w:r>
        <w:rPr>
          <w:rFonts w:hint="eastAsia"/>
        </w:rPr>
        <w:t>二、实验内容</w:t>
      </w:r>
    </w:p>
    <w:p w14:paraId="7C80EB45">
      <w:pPr>
        <w:pStyle w:val="12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参考“实验教程.docx”，自己练习并熟悉PCA的使用</w:t>
      </w:r>
    </w:p>
    <w:p w14:paraId="7852AB47">
      <w:pPr>
        <w:pStyle w:val="12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完成“实验教程.docx”给出的练习题与思考题，将操作过程和操作结果截图记录下来，写在下面的实验记录中。</w:t>
      </w:r>
      <w:bookmarkStart w:id="11" w:name="_GoBack"/>
      <w:bookmarkEnd w:id="11"/>
    </w:p>
    <w:p w14:paraId="0D657C63">
      <w:pPr>
        <w:rPr>
          <w:b/>
          <w:szCs w:val="21"/>
        </w:rPr>
      </w:pPr>
    </w:p>
    <w:p w14:paraId="76D19C33">
      <w:pPr>
        <w:pStyle w:val="2"/>
      </w:pPr>
      <w:r>
        <w:rPr>
          <w:rFonts w:hint="eastAsia"/>
        </w:rPr>
        <w:t>三、注意事项</w:t>
      </w:r>
    </w:p>
    <w:p w14:paraId="4EA1E816">
      <w:pPr>
        <w:pStyle w:val="11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bookmarkStart w:id="0" w:name="OLE_LINK1"/>
      <w:r>
        <w:rPr>
          <w:rFonts w:hint="eastAsia" w:ascii="宋体" w:hAnsi="宋体"/>
          <w:bCs/>
          <w:sz w:val="20"/>
          <w:szCs w:val="20"/>
        </w:rPr>
        <w:t>独立完成实验内容和报告，禁止抄袭，若发现抄袭，</w:t>
      </w:r>
      <w:r>
        <w:rPr>
          <w:rFonts w:ascii="宋体" w:hAnsi="宋体"/>
          <w:bCs/>
          <w:color w:val="EE0000"/>
          <w:sz w:val="20"/>
          <w:szCs w:val="20"/>
        </w:rPr>
        <w:t>抄袭</w:t>
      </w:r>
      <w:r>
        <w:rPr>
          <w:rFonts w:hint="eastAsia" w:ascii="宋体" w:hAnsi="宋体"/>
          <w:bCs/>
          <w:color w:val="EE0000"/>
          <w:sz w:val="20"/>
          <w:szCs w:val="20"/>
        </w:rPr>
        <w:t>以及被抄袭</w:t>
      </w:r>
      <w:r>
        <w:rPr>
          <w:rFonts w:ascii="宋体" w:hAnsi="宋体"/>
          <w:bCs/>
          <w:color w:val="EE0000"/>
          <w:sz w:val="20"/>
          <w:szCs w:val="20"/>
        </w:rPr>
        <w:t>的</w:t>
      </w:r>
      <w:r>
        <w:rPr>
          <w:rFonts w:hint="eastAsia" w:ascii="宋体" w:hAnsi="宋体"/>
          <w:bCs/>
          <w:color w:val="EE0000"/>
          <w:sz w:val="20"/>
          <w:szCs w:val="20"/>
        </w:rPr>
        <w:t>报告均</w:t>
      </w:r>
      <w:r>
        <w:rPr>
          <w:rFonts w:ascii="宋体" w:hAnsi="宋体"/>
          <w:bCs/>
          <w:color w:val="EE0000"/>
          <w:sz w:val="20"/>
          <w:szCs w:val="20"/>
        </w:rPr>
        <w:t>会被判为零分</w:t>
      </w:r>
    </w:p>
    <w:p w14:paraId="34518356">
      <w:pPr>
        <w:pStyle w:val="11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实验报告的总篇幅控制在</w:t>
      </w:r>
      <w:r>
        <w:rPr>
          <w:rFonts w:hint="eastAsia" w:ascii="宋体" w:hAnsi="宋体"/>
          <w:bCs/>
          <w:color w:val="EE0000"/>
          <w:sz w:val="20"/>
          <w:szCs w:val="20"/>
        </w:rPr>
        <w:t>7到8页</w:t>
      </w:r>
    </w:p>
    <w:p w14:paraId="362850EF">
      <w:pPr>
        <w:pStyle w:val="11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将</w:t>
      </w:r>
      <w:r>
        <w:rPr>
          <w:rFonts w:ascii="宋体" w:hAnsi="宋体"/>
          <w:bCs/>
          <w:sz w:val="20"/>
          <w:szCs w:val="20"/>
        </w:rPr>
        <w:t>实验报告</w:t>
      </w:r>
      <w:r>
        <w:rPr>
          <w:rFonts w:hint="eastAsia" w:ascii="宋体" w:hAnsi="宋体"/>
          <w:bCs/>
          <w:sz w:val="20"/>
          <w:szCs w:val="20"/>
        </w:rPr>
        <w:t>和可视化的结果图压缩到一个zip文件中</w:t>
      </w:r>
    </w:p>
    <w:p w14:paraId="43B5C0BC">
      <w:pPr>
        <w:pStyle w:val="11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命名规则，压缩包命名“</w:t>
      </w:r>
      <w:r>
        <w:rPr>
          <w:rFonts w:hint="eastAsia" w:ascii="宋体" w:hAnsi="宋体"/>
          <w:bCs/>
          <w:color w:val="EE0000"/>
          <w:sz w:val="20"/>
          <w:szCs w:val="20"/>
        </w:rPr>
        <w:t>学号+姓名+PCA图像降维与可视化.zip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，压缩包内每个文档命名如下，方便老师知道每个结果图分别对应哪一部分：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“学号+姓名+实验报告.docx”, 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“学号+姓名+【题目简写】.png”，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          </w:t>
      </w:r>
      <w:r>
        <w:rPr>
          <w:rFonts w:ascii="宋体" w:hAnsi="宋体"/>
          <w:bCs/>
          <w:sz w:val="20"/>
          <w:szCs w:val="20"/>
        </w:rPr>
        <w:t>…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</w:t>
      </w:r>
    </w:p>
    <w:p w14:paraId="7C838E8B">
      <w:pPr>
        <w:pStyle w:val="11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本次实验共</w:t>
      </w:r>
      <w:r>
        <w:rPr>
          <w:rFonts w:hint="eastAsia" w:ascii="宋体" w:hAnsi="宋体"/>
          <w:bCs/>
          <w:color w:val="EE0000"/>
          <w:sz w:val="20"/>
          <w:szCs w:val="20"/>
        </w:rPr>
        <w:t>4个学时</w:t>
      </w:r>
      <w:r>
        <w:rPr>
          <w:rFonts w:hint="eastAsia" w:ascii="宋体" w:hAnsi="宋体"/>
          <w:bCs/>
          <w:sz w:val="20"/>
          <w:szCs w:val="20"/>
        </w:rPr>
        <w:t>，分两次实验课完成，实验报告提交</w:t>
      </w:r>
      <w:r>
        <w:rPr>
          <w:rFonts w:ascii="宋体" w:hAnsi="宋体"/>
          <w:bCs/>
          <w:sz w:val="20"/>
          <w:szCs w:val="20"/>
        </w:rPr>
        <w:t>截止日期</w:t>
      </w:r>
      <w:r>
        <w:rPr>
          <w:rFonts w:hint="eastAsia" w:ascii="宋体" w:hAnsi="宋体"/>
          <w:bCs/>
          <w:sz w:val="20"/>
          <w:szCs w:val="20"/>
        </w:rPr>
        <w:t>：</w:t>
      </w:r>
      <w:r>
        <w:rPr>
          <w:rFonts w:hint="eastAsia" w:ascii="宋体" w:hAnsi="宋体"/>
          <w:bCs/>
          <w:color w:val="EE0000"/>
          <w:sz w:val="20"/>
          <w:szCs w:val="20"/>
        </w:rPr>
        <w:t>2026年04</w:t>
      </w:r>
      <w:r>
        <w:rPr>
          <w:rFonts w:ascii="宋体" w:hAnsi="宋体"/>
          <w:bCs/>
          <w:color w:val="EE0000"/>
          <w:sz w:val="20"/>
          <w:szCs w:val="20"/>
        </w:rPr>
        <w:t>月</w:t>
      </w:r>
      <w:r>
        <w:rPr>
          <w:rFonts w:hint="eastAsia" w:ascii="宋体" w:hAnsi="宋体"/>
          <w:bCs/>
          <w:color w:val="EE0000"/>
          <w:sz w:val="20"/>
          <w:szCs w:val="20"/>
        </w:rPr>
        <w:t>08</w:t>
      </w:r>
      <w:r>
        <w:rPr>
          <w:rFonts w:ascii="宋体" w:hAnsi="宋体"/>
          <w:bCs/>
          <w:color w:val="EE0000"/>
          <w:sz w:val="20"/>
          <w:szCs w:val="20"/>
        </w:rPr>
        <w:t>日</w:t>
      </w:r>
      <w:r>
        <w:rPr>
          <w:rFonts w:hint="eastAsia" w:ascii="宋体" w:hAnsi="宋体"/>
          <w:bCs/>
          <w:color w:val="EE0000"/>
          <w:sz w:val="20"/>
          <w:szCs w:val="20"/>
        </w:rPr>
        <w:t>晚上23:59</w:t>
      </w:r>
      <w:bookmarkEnd w:id="0"/>
    </w:p>
    <w:p w14:paraId="10504508">
      <w:pPr>
        <w:pStyle w:val="2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</w:rPr>
        <w:t>实验记录</w:t>
      </w:r>
      <w:r>
        <w:br w:type="textWrapping"/>
      </w:r>
      <w:r>
        <w:rPr>
          <w:rFonts w:hint="eastAsia"/>
          <w:sz w:val="24"/>
          <w:szCs w:val="24"/>
          <w:lang w:val="en-US" w:eastAsia="zh-CN"/>
        </w:rPr>
        <w:t xml:space="preserve">4.1 </w:t>
      </w:r>
      <w:r>
        <w:rPr>
          <w:rFonts w:hint="eastAsia"/>
          <w:b/>
          <w:sz w:val="24"/>
          <w:szCs w:val="24"/>
        </w:rPr>
        <w:t>结构化数据的PCA可视化——鸢尾花（Iris）数据集</w:t>
      </w:r>
    </w:p>
    <w:p w14:paraId="7B5C596E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default"/>
          <w:b/>
          <w:sz w:val="21"/>
          <w:szCs w:val="21"/>
          <w:lang w:val="en-US"/>
        </w:rPr>
        <w:t xml:space="preserve">4.1.1 </w:t>
      </w:r>
      <w:r>
        <w:rPr>
          <w:rFonts w:hint="eastAsia"/>
          <w:b/>
          <w:sz w:val="21"/>
          <w:szCs w:val="21"/>
          <w:lang w:val="en-US" w:eastAsia="zh-CN"/>
        </w:rPr>
        <w:t>加载与预处理数据集</w:t>
      </w:r>
    </w:p>
    <w:p w14:paraId="59A25578">
      <w:pPr>
        <w:widowControl w:val="0"/>
        <w:numPr>
          <w:numId w:val="0"/>
        </w:numPr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从 sklearn.datasets 导入 load_iris。获取特征矩阵 X 和标签 y并进行数据标准化，将标准化前后数值均值与标准化后数值标准差打印下来</w:t>
      </w:r>
    </w:p>
    <w:p w14:paraId="13FD0BBC">
      <w:pPr>
        <w:widowControl w:val="0"/>
        <w:numPr>
          <w:numId w:val="0"/>
        </w:numPr>
        <w:jc w:val="both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将数据标准化的计算公式：</w:t>
      </w:r>
      <m:oMath>
        <m:sSub>
          <m:sSub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x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scale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</m:sSub>
        <m:r>
          <m:rPr/>
          <w:rPr>
            <w:rFonts w:hint="default" w:ascii="DejaVu Math TeX Gyre" w:hAnsi="DejaVu Math TeX Gyre"/>
            <w:sz w:val="18"/>
            <w:szCs w:val="18"/>
          </w:rPr>
          <m:t>=</m:t>
        </m:r>
        <m:f>
          <m:fPr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fPr>
          <m:num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x−</m:t>
            </m:r>
            <m:acc>
              <m:accPr>
                <m:chr m:val="̄"/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accPr>
              <m:e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x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e>
            </m:acc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num>
          <m:den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std(x)</m:t>
            </m: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den>
        </m:f>
      </m:oMath>
    </w:p>
    <w:p w14:paraId="66B1C87E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2160270" cy="2213610"/>
            <wp:effectExtent l="0" t="0" r="2413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FCB23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代码运行结果如下：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B22B04D">
        <w:tc>
          <w:tcPr>
            <w:tcW w:w="85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20416E68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标准化前 X 的均值: [5.84333333 3.05733333 3.758      1.19933333]</w:t>
            </w:r>
          </w:p>
          <w:p w14:paraId="3C5A7A36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标准化后 X 的均值: [-4.73695157e-16 -7.81597009e-16 -4.26325641e-16 -4.73695157e-16]</w:t>
            </w:r>
          </w:p>
          <w:p w14:paraId="0E6303ED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标准化后 X 的标准差: [1. 1. 1. 1.]</w:t>
            </w:r>
          </w:p>
        </w:tc>
      </w:tr>
    </w:tbl>
    <w:p w14:paraId="2ED56811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/>
        </w:rPr>
        <w:t xml:space="preserve">4.1.2 </w:t>
      </w:r>
      <w:r>
        <w:rPr>
          <w:rFonts w:hint="eastAsia"/>
          <w:b/>
          <w:bCs/>
          <w:sz w:val="21"/>
          <w:szCs w:val="21"/>
          <w:lang w:val="en-US" w:eastAsia="zh-CN"/>
        </w:rPr>
        <w:t>方差贡献率分析：</w:t>
      </w:r>
    </w:p>
    <w:p w14:paraId="765BC1C8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不指定降维维度实例化PCA，计算所有主成分的方差贡献率</w:t>
      </w:r>
    </w:p>
    <w:p w14:paraId="4C51A61C">
      <w:pPr>
        <w:rPr>
          <w:rFonts w:hint="default" w:hAnsi="DejaVu Math TeX Gyre" w:eastAsiaTheme="minorEastAsia"/>
          <w:i w:val="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第i个主成分的方差贡献率计算公式</w:t>
      </w:r>
      <m:oMath>
        <m:f>
          <m:fPr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λ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i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hint="default" w:ascii="DejaVu Math TeX Gyre" w:hAnsi="DejaVu Math TeX Gyre"/>
                    <w:i/>
                    <w:sz w:val="18"/>
                    <w:szCs w:val="18"/>
                  </w:rPr>
                </m:ctrlPr>
              </m:naryPr>
              <m:sub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j=1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n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sup>
              <m:e>
                <m:sSub>
                  <m:sSubPr>
                    <m:ctrlPr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e>
            </m:nary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den>
        </m:f>
      </m:oMath>
      <w:r>
        <w:rPr>
          <w:rFonts w:hint="eastAsia" w:hAnsi="DejaVu Math TeX Gyre"/>
          <w:i w:val="0"/>
          <w:sz w:val="18"/>
          <w:szCs w:val="18"/>
          <w:lang w:eastAsia="zh-CN"/>
        </w:rPr>
        <w:t>，</w:t>
      </w:r>
      <w:r>
        <w:rPr>
          <w:rFonts w:hint="eastAsia" w:hAnsi="DejaVu Math TeX Gyre"/>
          <w:i w:val="0"/>
          <w:sz w:val="18"/>
          <w:szCs w:val="18"/>
          <w:lang w:val="en-US" w:eastAsia="zh-CN"/>
        </w:rPr>
        <w:t>前k个主成分的方差贡献率计算公式</w:t>
      </w:r>
      <m:oMath>
        <m:f>
          <m:fPr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hint="default" w:ascii="DejaVu Math TeX Gyre" w:hAnsi="DejaVu Math TeX Gyre"/>
                    <w:i/>
                    <w:sz w:val="18"/>
                    <w:szCs w:val="18"/>
                  </w:rPr>
                </m:ctrlPr>
              </m:naryPr>
              <m:sub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i=1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k</m:t>
                </m:r>
                <m:ctrlPr>
                  <w:rPr>
                    <w:rFonts w:ascii="DejaVu Math TeX Gyre" w:hAnsi="DejaVu Math TeX Gyre"/>
                    <w:sz w:val="18"/>
                    <w:szCs w:val="18"/>
                  </w:rPr>
                </m:ctrlPr>
              </m:sup>
              <m:e>
                <m:sSub>
                  <m:sSubPr>
                    <m:ctrlPr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e>
            </m:nary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num>
          <m:den>
            <m:nary>
              <m:naryPr>
                <m:chr m:val="∑"/>
                <m:limLoc m:val="undOvr"/>
                <m:ctrlPr>
                  <w:rPr>
                    <w:rFonts w:hint="default" w:ascii="DejaVu Math TeX Gyre" w:hAnsi="DejaVu Math TeX Gyre"/>
                    <w:i/>
                    <w:sz w:val="18"/>
                    <w:szCs w:val="18"/>
                  </w:rPr>
                </m:ctrlPr>
              </m:naryPr>
              <m:sub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j=1</m:t>
                </m:r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sub>
              <m:sup>
                <m:r>
                  <m:rPr/>
                  <w:rPr>
                    <w:rFonts w:hint="default" w:ascii="DejaVu Math TeX Gyre" w:hAnsi="DejaVu Math TeX Gyre"/>
                    <w:sz w:val="18"/>
                    <w:szCs w:val="18"/>
                  </w:rPr>
                  <m:t>n</m:t>
                </m:r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sup>
              <m:e>
                <m:sSub>
                  <m:sSubPr>
                    <m:ctrlPr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λ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18"/>
                        <w:szCs w:val="18"/>
                      </w:rPr>
                      <m:t>j</m:t>
                    </m:r>
                    <m:ctrlPr>
                      <w:rPr>
                        <w:rFonts w:ascii="DejaVu Math TeX Gyre" w:hAnsi="DejaVu Math TeX Gyre"/>
                        <w:sz w:val="18"/>
                        <w:szCs w:val="18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sz w:val="18"/>
                    <w:szCs w:val="18"/>
                  </w:rPr>
                </m:ctrlPr>
              </m:e>
            </m:nary>
            <m:ctrlPr>
              <w:rPr>
                <w:rFonts w:hint="default" w:ascii="DejaVu Math TeX Gyre" w:hAnsi="DejaVu Math TeX Gyre"/>
                <w:i/>
                <w:sz w:val="18"/>
                <w:szCs w:val="18"/>
              </w:rPr>
            </m:ctrlPr>
          </m:den>
        </m:f>
      </m:oMath>
    </w:p>
    <w:p w14:paraId="3601060F">
      <w:pPr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w:rPr>
          <w:rFonts w:hint="eastAsia" w:hAnsi="DejaVu Math TeX Gyre"/>
          <w:i w:val="0"/>
          <w:sz w:val="18"/>
          <w:szCs w:val="18"/>
          <w:lang w:val="en-US" w:eastAsia="zh-CN"/>
        </w:rPr>
        <w:t>代码如下：</w:t>
      </w:r>
    </w:p>
    <w:p w14:paraId="12EE2525">
      <w:pPr>
        <w:jc w:val="center"/>
        <w:rPr>
          <w:rFonts w:hint="default" w:hAnsi="DejaVu Math TeX Gyre"/>
          <w:i w:val="0"/>
          <w:sz w:val="21"/>
          <w:lang w:val="en-US" w:eastAsia="zh-CN"/>
        </w:rPr>
      </w:pPr>
      <w:r>
        <w:drawing>
          <wp:inline distT="0" distB="0" distL="114300" distR="114300">
            <wp:extent cx="2160270" cy="1370330"/>
            <wp:effectExtent l="0" t="0" r="2413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A789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运行结果：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A2962C2">
        <w:tc>
          <w:tcPr>
            <w:tcW w:w="8522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4BBD1D7B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第1主成分方差贡献率: 0.729624</w:t>
            </w:r>
          </w:p>
          <w:p w14:paraId="7BB96E9D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第2主成分方差贡献率: 0.228508</w:t>
            </w:r>
          </w:p>
          <w:p w14:paraId="4FF4E958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第3主成分方差贡献率: 0.036689</w:t>
            </w:r>
          </w:p>
          <w:p w14:paraId="1C73BE76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第4主成分方差贡献率: 0.005179</w:t>
            </w:r>
          </w:p>
          <w:p w14:paraId="0E41F856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所有主成分的累计方差贡献率: [0.72962445 0.95813207 0.99482129 1.        ]</w:t>
            </w:r>
          </w:p>
        </w:tc>
      </w:tr>
    </w:tbl>
    <w:p w14:paraId="4106F876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 xml:space="preserve">4.1.3 </w:t>
      </w:r>
      <w:r>
        <w:rPr>
          <w:rFonts w:hint="eastAsia"/>
          <w:b/>
          <w:bCs/>
          <w:sz w:val="21"/>
          <w:szCs w:val="21"/>
          <w:lang w:val="en-US" w:eastAsia="zh-CN"/>
        </w:rPr>
        <w:t>绘制方差图表</w:t>
      </w:r>
    </w:p>
    <w:p w14:paraId="3943D889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绘制方差贡献率图与累计方差贡献率图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"图1"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图一</w:t>
      </w:r>
      <w:r>
        <w:rPr>
          <w:rFonts w:hint="eastAsia"/>
          <w:sz w:val="18"/>
          <w:szCs w:val="18"/>
          <w:lang w:val="en-US" w:eastAsia="zh-CN"/>
        </w:rPr>
        <w:fldChar w:fldCharType="end"/>
      </w:r>
    </w:p>
    <w:p w14:paraId="68234075">
      <w:pPr>
        <w:jc w:val="center"/>
        <w:rPr>
          <w:rFonts w:hint="default"/>
          <w:sz w:val="18"/>
          <w:szCs w:val="18"/>
          <w:lang w:val="en-US" w:eastAsia="zh-CN"/>
        </w:rPr>
      </w:pPr>
      <w:bookmarkStart w:id="1" w:name="图1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2879725" cy="1440180"/>
            <wp:effectExtent l="0" t="0" r="15875" b="7620"/>
            <wp:docPr id="9" name="图片 9" descr="pca_variance_pl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ca_variance_plo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FCC6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图一 左图表示每个主成分的方差贡献率，右图表示PCA累计方差贡献率</w:t>
      </w:r>
    </w:p>
    <w:p w14:paraId="393001F7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从图中可见，PCA 的方差贡献率大致为：</w:t>
      </w:r>
    </w:p>
    <w:p w14:paraId="20BE3968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第1主成分：约73%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第2主成分：约23%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第3主成分：约4%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第4主成分：约</w:t>
      </w:r>
      <w:r>
        <w:rPr>
          <w:rFonts w:hint="eastAsia"/>
          <w:sz w:val="18"/>
          <w:szCs w:val="18"/>
          <w:lang w:val="en-US" w:eastAsia="zh-CN"/>
        </w:rPr>
        <w:t>0.5</w:t>
      </w:r>
      <w:r>
        <w:rPr>
          <w:rFonts w:hint="default"/>
          <w:sz w:val="18"/>
          <w:szCs w:val="18"/>
          <w:lang w:val="en-US" w:eastAsia="zh-CN"/>
        </w:rPr>
        <w:t>%</w:t>
      </w:r>
    </w:p>
    <w:p w14:paraId="77FC5302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对应的累计方差贡献率约为：</w:t>
      </w:r>
    </w:p>
    <w:p w14:paraId="40B174C8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前1个主成分：约73%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前2个主成分：约96%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前3个主成分：约99%+</w:t>
      </w:r>
      <w:r>
        <w:rPr>
          <w:rFonts w:hint="eastAsia"/>
          <w:sz w:val="18"/>
          <w:szCs w:val="18"/>
          <w:lang w:val="en-US" w:eastAsia="zh-CN"/>
        </w:rPr>
        <w:t>、</w:t>
      </w:r>
      <w:r>
        <w:rPr>
          <w:rFonts w:hint="default"/>
          <w:sz w:val="18"/>
          <w:szCs w:val="18"/>
          <w:lang w:val="en-US" w:eastAsia="zh-CN"/>
        </w:rPr>
        <w:t>前4个主成分：约100%</w:t>
      </w:r>
      <w:r>
        <w:rPr>
          <w:rFonts w:hint="eastAsia"/>
          <w:sz w:val="18"/>
          <w:szCs w:val="18"/>
          <w:lang w:val="en-US" w:eastAsia="zh-CN"/>
        </w:rPr>
        <w:t>。</w:t>
      </w:r>
    </w:p>
    <w:bookmarkEnd w:id="1"/>
    <w:p w14:paraId="7B709BBB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4.1.4 绘制碎石图</w:t>
      </w:r>
    </w:p>
    <w:p w14:paraId="27A8AA8B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绘制出的碎石图如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"图2"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图二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：</w:t>
      </w:r>
    </w:p>
    <w:p w14:paraId="14B20BF3">
      <w:pPr>
        <w:jc w:val="center"/>
        <w:rPr>
          <w:rFonts w:hint="default"/>
          <w:sz w:val="18"/>
          <w:szCs w:val="18"/>
          <w:lang w:val="en-US" w:eastAsia="zh-CN"/>
        </w:rPr>
      </w:pPr>
      <w:bookmarkStart w:id="2" w:name="图2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2879725" cy="1919605"/>
            <wp:effectExtent l="0" t="0" r="15875" b="10795"/>
            <wp:docPr id="10" name="图片 10" descr="pca_scree_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ca_scree_pl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D7D0">
      <w:pPr>
        <w:jc w:val="center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图二 主成分与其特征值的碎石图</w:t>
      </w:r>
    </w:p>
    <w:bookmarkEnd w:id="2"/>
    <w:p w14:paraId="4A426532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碎石图显示特征值在前两个主成分阶段快速下降，之后趋于平缓，说明数据的主要结构信息集中在前两维。手肘点位于PC2附近。</w:t>
      </w:r>
    </w:p>
    <w:p w14:paraId="08B44BD9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4.1.5 PCA降低维度并可视化</w:t>
      </w:r>
    </w:p>
    <w:p w14:paraId="393AA6DC">
      <w:pPr>
        <m:rPr/>
        <w:rPr>
          <w:rFonts w:hint="default" w:hAnsi="DejaVu Math TeX Gyre"/>
          <w:i w:val="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实例化PCA</w:t>
      </w:r>
      <w:r>
        <w:rPr>
          <w:rFonts w:hint="default"/>
          <w:sz w:val="18"/>
          <w:szCs w:val="18"/>
          <w:lang w:val="en-US" w:eastAsia="zh-CN"/>
        </w:rPr>
        <w:t>(n_components=2)</w:t>
      </w:r>
      <w:r>
        <w:rPr>
          <w:rFonts w:hint="eastAsia"/>
          <w:sz w:val="18"/>
          <w:szCs w:val="18"/>
          <w:lang w:val="en-US" w:eastAsia="zh-CN"/>
        </w:rPr>
        <w:t>，将4维的特征矩阵</w:t>
      </w:r>
      <m:oMath>
        <m:r>
          <m:rPr/>
          <w:rPr>
            <w:rFonts w:hint="default" w:ascii="DejaVu Math TeX Gyre" w:hAnsi="DejaVu Math TeX Gyre"/>
            <w:sz w:val="18"/>
            <w:szCs w:val="18"/>
          </w:rPr>
          <m:t>X</m:t>
        </m:r>
      </m:oMath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降维到2维矩阵</w:t>
      </w:r>
      <w:r>
        <m:rPr/>
        <w:rPr>
          <w:rFonts w:hint="default" w:hAnsi="DejaVu Math TeX Gyre"/>
          <w:i w:val="0"/>
          <w:sz w:val="18"/>
          <w:szCs w:val="18"/>
          <w:lang w:val="en-US" w:eastAsia="zh-CN"/>
        </w:rPr>
        <w:t>,</w:t>
      </w:r>
    </w:p>
    <w:p w14:paraId="22F13FEF">
      <w:pPr>
        <m:rPr/>
        <w:rPr>
          <w:rFonts w:hint="default" w:hAnsi="DejaVu Math TeX Gyre"/>
          <w:i w:val="0"/>
          <w:sz w:val="18"/>
          <w:szCs w:val="18"/>
          <w:lang w:val="en-US" w:eastAsia="zh-CN"/>
        </w:rPr>
      </w:pP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并分别用红、绿、蓝分别代表“setosa”，“versicolor”，“virginica”三个不同的种类</w:t>
      </w:r>
    </w:p>
    <w:p w14:paraId="606D29DA">
      <w:pPr>
        <m:rPr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代码如下：</w:t>
      </w:r>
    </w:p>
    <w:p w14:paraId="1A39D402">
      <w:pPr>
        <w:jc w:val="center"/>
      </w:pPr>
      <w:r>
        <w:drawing>
          <wp:inline distT="0" distB="0" distL="114300" distR="114300">
            <wp:extent cx="2879725" cy="2216785"/>
            <wp:effectExtent l="0" t="0" r="15875" b="184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9A8D7">
      <w:pPr>
        <m:rPr/>
        <w:rPr>
          <w:rFonts w:hint="default" w:eastAsiaTheme="minorEastAsia"/>
          <w:sz w:val="18"/>
          <w:szCs w:val="18"/>
          <w:lang w:val="en-US" w:eastAsia="zh-CN"/>
        </w:rPr>
      </w:pPr>
      <w:r>
        <m:rPr/>
        <w:rPr>
          <w:rFonts w:hint="eastAsia"/>
          <w:sz w:val="18"/>
          <w:szCs w:val="18"/>
          <w:lang w:val="en-US" w:eastAsia="zh-CN"/>
        </w:rPr>
        <w:t>绘制出的二维散点图（如</w:t>
      </w:r>
      <w:r>
        <m:rPr/>
        <w:rPr>
          <w:rFonts w:hint="eastAsia"/>
          <w:sz w:val="18"/>
          <w:szCs w:val="18"/>
          <w:lang w:val="en-US" w:eastAsia="zh-CN"/>
        </w:rPr>
        <w:fldChar w:fldCharType="begin"/>
      </w:r>
      <w:r>
        <m:rPr/>
        <w:rPr>
          <w:rFonts w:hint="eastAsia"/>
          <w:sz w:val="18"/>
          <w:szCs w:val="18"/>
          <w:lang w:val="en-US" w:eastAsia="zh-CN"/>
        </w:rPr>
        <w:instrText xml:space="preserve"> HYPERLINK \l "图3" </w:instrText>
      </w:r>
      <w:r>
        <m:rPr/>
        <w:rPr>
          <w:rFonts w:hint="eastAsia"/>
          <w:sz w:val="18"/>
          <w:szCs w:val="18"/>
          <w:lang w:val="en-US" w:eastAsia="zh-CN"/>
        </w:rPr>
        <w:fldChar w:fldCharType="separate"/>
      </w:r>
      <w:r>
        <m:rPr/>
        <w:rPr>
          <w:rStyle w:val="10"/>
          <w:rFonts w:hint="eastAsia"/>
          <w:sz w:val="18"/>
          <w:szCs w:val="18"/>
          <w:lang w:val="en-US" w:eastAsia="zh-CN"/>
        </w:rPr>
        <w:t>图三</w:t>
      </w:r>
      <w:r>
        <m:rPr/>
        <w:rPr>
          <w:rFonts w:hint="eastAsia"/>
          <w:sz w:val="18"/>
          <w:szCs w:val="18"/>
          <w:lang w:val="en-US" w:eastAsia="zh-CN"/>
        </w:rPr>
        <w:fldChar w:fldCharType="end"/>
      </w:r>
      <w:r>
        <m:rPr/>
        <w:rPr>
          <w:rFonts w:hint="eastAsia"/>
          <w:sz w:val="18"/>
          <w:szCs w:val="18"/>
          <w:lang w:val="en-US" w:eastAsia="zh-CN"/>
        </w:rPr>
        <w:t>）：</w:t>
      </w:r>
    </w:p>
    <w:p w14:paraId="364EA2D6">
      <w:pPr>
        <w:jc w:val="center"/>
        <m:rPr/>
        <w:rPr>
          <w:rFonts w:hint="eastAsia" w:hAnsi="DejaVu Math TeX Gyre"/>
          <w:i w:val="0"/>
          <w:sz w:val="18"/>
          <w:szCs w:val="18"/>
          <w:lang w:val="en-US" w:eastAsia="zh-CN"/>
        </w:rPr>
      </w:pPr>
      <w:bookmarkStart w:id="3" w:name="图3"/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drawing>
          <wp:inline distT="0" distB="0" distL="114300" distR="114300">
            <wp:extent cx="2879725" cy="2056765"/>
            <wp:effectExtent l="0" t="0" r="15875" b="635"/>
            <wp:docPr id="12" name="图片 12" descr="pca_2d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ca_2d_scatt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047D">
      <w:pPr>
        <w:jc w:val="center"/>
        <m:rPr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图三 经过PCA降维到2维后鸢尾花各个种类特征散点图</w:t>
      </w:r>
    </w:p>
    <w:p w14:paraId="3DF76B35">
      <w:pPr>
        <w:jc w:val="both"/>
        <m:rPr/>
        <w:rPr>
          <w:rFonts w:hint="default" w:hAnsi="DejaVu Math TeX Gyre"/>
          <w:i w:val="0"/>
          <w:sz w:val="21"/>
          <w:lang w:val="en-US" w:eastAsia="zh-CN"/>
        </w:rPr>
      </w:pPr>
      <w:r>
        <m:rPr/>
        <w:rPr>
          <w:rFonts w:hint="default" w:hAnsi="DejaVu Math TeX Gyre"/>
          <w:i w:val="0"/>
          <w:sz w:val="18"/>
          <w:szCs w:val="18"/>
          <w:lang w:val="en-US" w:eastAsia="zh-CN"/>
        </w:rPr>
        <w:t>二维 PCA 可视化显示：前两个主成分已较好保留样本结构信息，能够清晰分离 setosa，并基本反映 versicolor 与 virginica 的相对关系；但后两类仍存在一定重叠，说明仅用前两主成分进行线性投影时，对这两类的区分能力有限。</w:t>
      </w:r>
    </w:p>
    <w:bookmarkEnd w:id="3"/>
    <w:p w14:paraId="185E0BC5">
      <w:pPr>
        <m:rPr/>
        <w:rPr>
          <w:rFonts w:hint="eastAsia" w:hAnsi="DejaVu Math TeX Gyre"/>
          <w:b/>
          <w:bCs/>
          <w:i w:val="0"/>
          <w:sz w:val="21"/>
          <w:szCs w:val="21"/>
          <w:lang w:val="en-US" w:eastAsia="zh-CN"/>
        </w:rPr>
      </w:pPr>
      <w:r>
        <m:rPr/>
        <w:rPr>
          <w:rFonts w:hint="eastAsia" w:hAnsi="DejaVu Math TeX Gyre"/>
          <w:b/>
          <w:bCs/>
          <w:i w:val="0"/>
          <w:sz w:val="21"/>
          <w:szCs w:val="21"/>
          <w:lang w:val="en-US" w:eastAsia="zh-CN"/>
        </w:rPr>
        <w:t>4.1.6 分析方差解释率</w:t>
      </w:r>
    </w:p>
    <w:p w14:paraId="0D08ABD5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打印输出 pca.explained_variance_ratio_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输出结果如下：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AABD37">
        <w:tc>
          <w:tcPr>
            <w:tcW w:w="8522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2824FBFE">
            <w:pPr>
              <m:rPr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m:rPr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PCA(2) explained_variance_ratio_: [0.72962445 0.22850762]</w:t>
            </w:r>
          </w:p>
          <w:p w14:paraId="1733A44C">
            <w:pPr>
              <m:rPr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m:rPr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前两个主成分累计方差解释率: 0.9581320720000163</w:t>
            </w:r>
          </w:p>
        </w:tc>
      </w:tr>
    </w:tbl>
    <w:p w14:paraId="59E47EBA">
      <w:pPr>
        <m:rPr/>
        <w:rPr>
          <w:rFonts w:hint="default" w:hAnsi="DejaVu Math TeX Gyre"/>
          <w:i w:val="0"/>
          <w:sz w:val="21"/>
          <w:lang w:val="en-US" w:eastAsia="zh-CN"/>
        </w:rPr>
      </w:pPr>
      <w:r>
        <m:rPr/>
        <w:rPr>
          <w:rFonts w:hint="eastAsia"/>
          <w:sz w:val="18"/>
          <w:szCs w:val="18"/>
          <w:lang w:val="en-US" w:eastAsia="zh-CN"/>
        </w:rPr>
        <w:t xml:space="preserve">输出的两个数值分别表示第1主成分和第2主成分对原始数据总方差的解释比例， </w:t>
      </w:r>
      <w:r>
        <w:rPr>
          <w:rFonts w:hint="default"/>
          <w:sz w:val="18"/>
          <w:szCs w:val="18"/>
          <w:vertAlign w:val="baseline"/>
          <w:lang w:val="en-US" w:eastAsia="zh-CN"/>
        </w:rPr>
        <w:t>0.72962445</w:t>
      </w:r>
      <w:r>
        <m:rPr/>
        <w:rPr>
          <w:rFonts w:hint="eastAsia"/>
          <w:sz w:val="18"/>
          <w:szCs w:val="18"/>
          <w:lang w:val="en-US" w:eastAsia="zh-CN"/>
        </w:rPr>
        <w:t>表示第一主成分保留了信息比例，</w:t>
      </w:r>
      <w:r>
        <w:rPr>
          <w:rFonts w:hint="default"/>
          <w:sz w:val="18"/>
          <w:szCs w:val="18"/>
          <w:vertAlign w:val="baseline"/>
          <w:lang w:val="en-US" w:eastAsia="zh-CN"/>
        </w:rPr>
        <w:t>0.22850762</w:t>
      </w:r>
      <w:r>
        <m:rPr/>
        <w:rPr>
          <w:rFonts w:hint="eastAsia"/>
          <w:sz w:val="18"/>
          <w:szCs w:val="18"/>
          <w:lang w:val="en-US" w:eastAsia="zh-CN"/>
        </w:rPr>
        <w:t>表示第二主成分保留了的信息比例。</w:t>
      </w:r>
      <w:r>
        <w:rPr>
          <w:rFonts w:hint="default"/>
          <w:sz w:val="18"/>
          <w:szCs w:val="18"/>
          <w:vertAlign w:val="baseline"/>
          <w:lang w:val="en-US" w:eastAsia="zh-CN"/>
        </w:rPr>
        <w:t>0.958132</w:t>
      </w:r>
      <w:r>
        <m:rPr/>
        <w:rPr>
          <w:rFonts w:hint="eastAsia"/>
          <w:sz w:val="18"/>
          <w:szCs w:val="18"/>
          <w:lang w:val="en-US" w:eastAsia="zh-CN"/>
        </w:rPr>
        <w:t>表示将原始4维数据降到2维后，累计保留的信息比例。</w:t>
      </w:r>
    </w:p>
    <w:p w14:paraId="25DEA9CA">
      <w:pPr>
        <m:rPr/>
        <w:rPr>
          <w:rFonts w:hint="eastAsia" w:hAnsi="DejaVu Math TeX Gyre"/>
          <w:b/>
          <w:bCs/>
          <w:i w:val="0"/>
          <w:sz w:val="21"/>
          <w:szCs w:val="21"/>
          <w:lang w:val="en-US" w:eastAsia="zh-CN"/>
        </w:rPr>
      </w:pPr>
      <w:r>
        <m:rPr/>
        <w:rPr>
          <w:rFonts w:hint="eastAsia" w:hAnsi="DejaVu Math TeX Gyre"/>
          <w:b/>
          <w:bCs/>
          <w:i w:val="0"/>
          <w:sz w:val="21"/>
          <w:szCs w:val="21"/>
          <w:lang w:val="en-US" w:eastAsia="zh-CN"/>
        </w:rPr>
        <w:t>4.1</w:t>
      </w:r>
      <w:r>
        <m:rPr/>
        <w:rPr>
          <w:rFonts w:hint="default" w:hAnsi="DejaVu Math TeX Gyre"/>
          <w:b/>
          <w:bCs/>
          <w:i w:val="0"/>
          <w:sz w:val="21"/>
          <w:szCs w:val="21"/>
          <w:lang w:val="en-US" w:eastAsia="zh-CN"/>
        </w:rPr>
        <w:t>.</w:t>
      </w:r>
      <w:r>
        <m:rPr/>
        <w:rPr>
          <w:rFonts w:hint="eastAsia" w:hAnsi="DejaVu Math TeX Gyre"/>
          <w:b/>
          <w:bCs/>
          <w:i w:val="0"/>
          <w:sz w:val="21"/>
          <w:szCs w:val="21"/>
          <w:lang w:val="en-US" w:eastAsia="zh-CN"/>
        </w:rPr>
        <w:t>7 绘制主成分载荷图</w:t>
      </w:r>
    </w:p>
    <w:p w14:paraId="680A9610">
      <w:p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</w:rPr>
        <w:t>提取 pca.components_ 属性，可视化这2个主成分与原始4个特征之间的权重关系</w:t>
      </w:r>
      <w:r>
        <w:rPr>
          <w:rFonts w:hint="eastAsia"/>
          <w:sz w:val="18"/>
          <w:szCs w:val="18"/>
          <w:lang w:eastAsia="zh-CN"/>
        </w:rPr>
        <w:t>。</w:t>
      </w:r>
    </w:p>
    <w:p w14:paraId="2EBF85D6">
      <w:pPr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pca.componets_</w:t>
      </w:r>
      <w:r>
        <w:rPr>
          <w:rFonts w:hint="eastAsia"/>
          <w:sz w:val="18"/>
          <w:szCs w:val="18"/>
          <w:lang w:val="en-US" w:eastAsia="zh-CN"/>
        </w:rPr>
        <w:t>输出的结果：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C8FA58">
        <w:tc>
          <w:tcPr>
            <w:tcW w:w="8522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35B35BCA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PCA(2)载荷矩阵 pca.components_:</w:t>
            </w:r>
          </w:p>
          <w:p w14:paraId="2ABDB04C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[[ 0.52106591 -0.26934744  0.5804131   0.56485654]</w:t>
            </w:r>
          </w:p>
          <w:p w14:paraId="0073BA03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 xml:space="preserve"> [ 0.37741762  0.92329566  0.02449161  0.06694199]]</w:t>
            </w:r>
          </w:p>
        </w:tc>
      </w:tr>
    </w:tbl>
    <w:p w14:paraId="0455F7F3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载荷图如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"图4"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图四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所示。</w:t>
      </w:r>
    </w:p>
    <w:p w14:paraId="0B4B9608">
      <w:pPr>
        <w:jc w:val="center"/>
        <w:rPr>
          <w:rFonts w:hint="default"/>
          <w:sz w:val="18"/>
          <w:szCs w:val="18"/>
          <w:lang w:val="en-US"/>
        </w:rPr>
      </w:pPr>
      <w:bookmarkStart w:id="4" w:name="图4"/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2879725" cy="1440180"/>
            <wp:effectExtent l="0" t="0" r="15875" b="7620"/>
            <wp:docPr id="13" name="图片 13" descr="pca_loadings_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ca_loadings_heatma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B92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图四 PCA降到2维后与原始4个特征之间的权重关系</w:t>
      </w:r>
    </w:p>
    <w:bookmarkEnd w:id="4"/>
    <w:p w14:paraId="3D32F85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载荷绝对值越大，说明该特征对该主成分贡献越大；符号正负表示影响方向（正/负相关）。</w:t>
      </w:r>
    </w:p>
    <w:p w14:paraId="63E690C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因此，</w:t>
      </w:r>
      <w:r>
        <w:rPr>
          <w:rFonts w:hint="eastAsia"/>
          <w:sz w:val="18"/>
          <w:szCs w:val="18"/>
          <w:lang w:val="en-US" w:eastAsia="zh-CN"/>
        </w:rPr>
        <w:t>由载荷图可以</w:t>
      </w:r>
      <w:r>
        <w:rPr>
          <w:rFonts w:hint="default"/>
          <w:sz w:val="18"/>
          <w:szCs w:val="18"/>
          <w:lang w:val="en-US" w:eastAsia="zh-CN"/>
        </w:rPr>
        <w:t>判断：</w:t>
      </w:r>
    </w:p>
    <w:p w14:paraId="58A6144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PC1主要刻画花瓣长度与宽度的联合变化，PC2主要刻画萼片宽度变化；因此前两主成分在保留主要信息的同时，分别从“花瓣尺度”和“萼片宽度”两个方向解释了样本差异。</w:t>
      </w:r>
    </w:p>
    <w:p w14:paraId="15CD307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4.1.8 数据重构</w:t>
      </w:r>
    </w:p>
    <w:p w14:paraId="61324788">
      <w:pPr>
        <w:numPr>
          <w:numId w:val="0"/>
        </w:numPr>
        <w:spacing w:line="300" w:lineRule="auto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使用pca.inverse_transformer将降维后二维数据重构回四维空间。使用scaler.inverse_transformer将重构后的数据反标准化（恢复到原始尺度）</w:t>
      </w:r>
      <w:r>
        <w:rPr>
          <w:rFonts w:hint="eastAsia"/>
          <w:sz w:val="18"/>
          <w:szCs w:val="18"/>
          <w:lang w:eastAsia="zh-CN"/>
        </w:rPr>
        <w:t>。</w:t>
      </w:r>
      <w:r>
        <w:rPr>
          <w:rFonts w:hint="eastAsia"/>
          <w:sz w:val="18"/>
          <w:szCs w:val="18"/>
        </w:rPr>
        <w:t>计算原始数据与重构数据之间的均方误差（MSE），并打印结果</w:t>
      </w:r>
    </w:p>
    <w:p w14:paraId="46512CB7">
      <w:pPr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2879725" cy="770255"/>
            <wp:effectExtent l="0" t="0" r="15875" b="171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290A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输出的结果：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DA3C04C">
        <w:tc>
          <w:tcPr>
            <w:tcW w:w="8522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68DBAFB9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原始数据与重构数据的均方误差 MSE: 0.0355373068008793</w:t>
            </w:r>
          </w:p>
        </w:tc>
      </w:tr>
    </w:tbl>
    <w:p w14:paraId="39AEB8B6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原始数据</w:t>
      </w:r>
      <w:r>
        <w:rPr>
          <w:rFonts w:hint="eastAsia"/>
          <w:sz w:val="18"/>
          <w:szCs w:val="18"/>
          <w:lang w:val="en-US" w:eastAsia="zh-CN"/>
        </w:rPr>
        <w:t>的前两个特征</w:t>
      </w:r>
      <w:r>
        <w:rPr>
          <w:rFonts w:hint="eastAsia"/>
          <w:sz w:val="18"/>
          <w:szCs w:val="18"/>
        </w:rPr>
        <w:t>与降维后数据的可视化</w:t>
      </w:r>
      <w:r>
        <w:rPr>
          <w:rFonts w:hint="eastAsia"/>
          <w:sz w:val="18"/>
          <w:szCs w:val="18"/>
          <w:lang w:val="en-US" w:eastAsia="zh-CN"/>
        </w:rPr>
        <w:t>对比（如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"图5"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图五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）：</w:t>
      </w:r>
    </w:p>
    <w:p w14:paraId="2460230C">
      <w:pPr>
        <w:jc w:val="center"/>
        <w:rPr>
          <w:rFonts w:hint="default"/>
          <w:sz w:val="18"/>
          <w:szCs w:val="18"/>
          <w:lang w:val="en-US" w:eastAsia="zh-CN"/>
        </w:rPr>
      </w:pPr>
      <w:bookmarkStart w:id="5" w:name="图5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2879725" cy="1200150"/>
            <wp:effectExtent l="0" t="0" r="15875" b="19050"/>
            <wp:docPr id="15" name="图片 15" descr="pca_original_vs_redu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ca_original_vs_reduc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F60B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图五 左图为原始数据前两个特征的散点图，右图是通过PCA降维后两个主成分的二维散点图</w:t>
      </w:r>
    </w:p>
    <w:bookmarkEnd w:id="5"/>
    <w:p w14:paraId="4CE347F3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对比原始前两特征散点图与 PCA 二维散点图可见，PCA 在降维后较好保留了类别结构信息</w:t>
      </w:r>
      <w:r>
        <w:rPr>
          <w:rFonts w:hint="eastAsia"/>
          <w:sz w:val="18"/>
          <w:szCs w:val="18"/>
          <w:lang w:val="en-US" w:eastAsia="zh-CN"/>
        </w:rPr>
        <w:t>：</w:t>
      </w:r>
      <w:r>
        <w:rPr>
          <w:rFonts w:hint="default"/>
          <w:sz w:val="18"/>
          <w:szCs w:val="18"/>
          <w:lang w:val="en-US" w:eastAsia="zh-CN"/>
        </w:rPr>
        <w:t>setosa仍与其余类别明显分离</w:t>
      </w:r>
      <w:r>
        <w:rPr>
          <w:rFonts w:hint="eastAsia"/>
          <w:sz w:val="18"/>
          <w:szCs w:val="18"/>
          <w:lang w:val="en-US" w:eastAsia="zh-CN"/>
        </w:rPr>
        <w:t>，</w:t>
      </w:r>
      <w:r>
        <w:rPr>
          <w:rFonts w:hint="default"/>
          <w:sz w:val="18"/>
          <w:szCs w:val="18"/>
          <w:lang w:val="en-US" w:eastAsia="zh-CN"/>
        </w:rPr>
        <w:t>versicolor与virginica仍存在一定重叠但整体分布趋势更加清晰。说明前两个主成分能够有效表示数据的主要变化结构，实现较好的可视化压缩效果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67677C1D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4.1.9</w:t>
      </w:r>
      <w:r>
        <w:rPr>
          <w:rFonts w:hint="default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</w:rPr>
        <w:t>1D降维</w:t>
      </w:r>
    </w:p>
    <w:p w14:paraId="1F062A36">
      <w:pPr>
        <w:jc w:val="both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1D降维：设置 n_components=1，将降维后的数据在一维数轴上画出（纵坐标设为0）</w:t>
      </w:r>
      <w:r>
        <w:rPr>
          <w:rFonts w:hint="eastAsia"/>
          <w:sz w:val="18"/>
          <w:szCs w:val="18"/>
          <w:lang w:eastAsia="zh-CN"/>
        </w:rPr>
        <w:t>，</w:t>
      </w:r>
      <w:r>
        <w:rPr>
          <w:rFonts w:hint="eastAsia"/>
          <w:sz w:val="18"/>
          <w:szCs w:val="18"/>
          <w:lang w:val="en-US" w:eastAsia="zh-CN"/>
        </w:rPr>
        <w:t>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"图6"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图六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所示：</w:t>
      </w:r>
    </w:p>
    <w:p w14:paraId="1E4F095E">
      <w:pPr>
        <w:jc w:val="center"/>
        <w:rPr>
          <w:rFonts w:hint="default"/>
          <w:sz w:val="18"/>
          <w:szCs w:val="18"/>
          <w:lang w:val="en-US" w:eastAsia="zh-CN"/>
        </w:rPr>
      </w:pPr>
      <w:bookmarkStart w:id="6" w:name="图6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2879725" cy="2159635"/>
            <wp:effectExtent l="0" t="0" r="15875" b="24765"/>
            <wp:docPr id="16" name="图片 16" descr="pca_1d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ca_1d_scatter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C353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图六 PCA降维到1D后的散点图</w:t>
      </w:r>
    </w:p>
    <w:p w14:paraId="34F8F24F">
      <w:pPr>
        <w:jc w:val="both"/>
        <w:rPr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将数据降到 1 维后，样本在主成分轴上仍保留了主要类别结构：setosa与其余两类明显分离，而versicolor与virginica存在部分重叠。</w:t>
      </w:r>
      <w:bookmarkEnd w:id="6"/>
    </w:p>
    <w:p w14:paraId="0A42F55F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4.2</w:t>
      </w:r>
      <w:r>
        <w:rPr>
          <w:rFonts w:hint="eastAsia"/>
          <w:b/>
          <w:bCs/>
          <w:sz w:val="24"/>
          <w:szCs w:val="24"/>
        </w:rPr>
        <w:t>高维图像数据的PCA分析——Olivetti人脸数据</w:t>
      </w:r>
    </w:p>
    <w:p w14:paraId="54FFACAB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加载数据：从 sklearn.datasets 导入 fetch_olivetti_faces</w:t>
      </w:r>
    </w:p>
    <w:p w14:paraId="01BE7F7F">
      <w:pPr>
        <w:jc w:val="center"/>
        <w:rPr>
          <w:sz w:val="18"/>
          <w:szCs w:val="18"/>
        </w:rPr>
      </w:pPr>
      <w:r>
        <w:rPr>
          <w:sz w:val="18"/>
          <w:szCs w:val="18"/>
        </w:rPr>
        <w:drawing>
          <wp:inline distT="0" distB="0" distL="114300" distR="114300">
            <wp:extent cx="2447925" cy="781050"/>
            <wp:effectExtent l="0" t="0" r="15875" b="635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AEDF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输出结果：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412B154">
        <w:tc>
          <w:tcPr>
            <w:tcW w:w="85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3BC7FBA5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数据形状: (400, 4096)</w:t>
            </w:r>
          </w:p>
          <w:p w14:paraId="5C5A1A84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图像形状: (400, 64, 64)</w:t>
            </w:r>
          </w:p>
          <w:p w14:paraId="7C968114">
            <w:pP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标签形状: (400,)</w:t>
            </w:r>
          </w:p>
        </w:tc>
      </w:tr>
    </w:tbl>
    <w:p w14:paraId="10854233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4.2.1 任务A（2D可视化）</w:t>
      </w:r>
    </w:p>
    <w:p w14:paraId="1E36EC96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使用PCA将 ( 400 , 4096 ) (400,4096) 的高维数据降至 2维。绘制二维散点图，观察不同人物的人脸图像在低维空间中是否呈现出聚类趋势（选取前5个人的标签进行颜色区分着色）。</w:t>
      </w:r>
    </w:p>
    <w:p w14:paraId="2918FC03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代码如下：</w:t>
      </w:r>
    </w:p>
    <w:p w14:paraId="617C9155">
      <w:pPr>
        <w:jc w:val="center"/>
      </w:pPr>
      <w:r>
        <w:drawing>
          <wp:inline distT="0" distB="0" distL="114300" distR="114300">
            <wp:extent cx="2160270" cy="2365375"/>
            <wp:effectExtent l="0" t="0" r="24130" b="2222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58C06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生成的二维散点图如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"图7"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图七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所示：</w:t>
      </w:r>
    </w:p>
    <w:p w14:paraId="067FE81B">
      <w:pPr>
        <w:jc w:val="center"/>
        <w:rPr>
          <w:rFonts w:hint="default"/>
          <w:lang w:val="en-US" w:eastAsia="zh-CN"/>
        </w:rPr>
      </w:pPr>
      <w:bookmarkStart w:id="7" w:name="图7"/>
      <w:r>
        <w:rPr>
          <w:rFonts w:hint="default"/>
          <w:lang w:val="en-US" w:eastAsia="zh-CN"/>
        </w:rPr>
        <w:drawing>
          <wp:inline distT="0" distB="0" distL="114300" distR="114300">
            <wp:extent cx="2879725" cy="2159635"/>
            <wp:effectExtent l="0" t="0" r="15875" b="24765"/>
            <wp:docPr id="19" name="图片 19" descr="olivetti_pca_2d_to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olivetti_pca_2d_top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E39A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图七 不同人物的人脸图像在通过PCA降维到2D的特征散点图</w:t>
      </w:r>
    </w:p>
    <w:p w14:paraId="5531D105">
      <w:pPr>
        <w:jc w:val="both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由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"图7"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图七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可得</w:t>
      </w:r>
      <w:r>
        <w:rPr>
          <w:rFonts w:hint="default"/>
          <w:sz w:val="18"/>
          <w:szCs w:val="18"/>
          <w:lang w:val="en-US" w:eastAsia="zh-CN"/>
        </w:rPr>
        <w:t>二维 PCA 空间中，前5位人物的人脸样本呈现出“弱到中等的聚类趋势”：同一人物样本有一定聚集，但类间重叠较多，尚不能实现清晰可分</w:t>
      </w:r>
      <w:r>
        <w:rPr>
          <w:rFonts w:hint="eastAsia"/>
          <w:sz w:val="18"/>
          <w:szCs w:val="18"/>
          <w:lang w:val="en-US" w:eastAsia="zh-CN"/>
        </w:rPr>
        <w:t>。</w:t>
      </w:r>
    </w:p>
    <w:p w14:paraId="2429245F"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4.2.2 任务B（</w:t>
      </w:r>
      <w:r>
        <w:rPr>
          <w:rFonts w:hint="eastAsia"/>
          <w:b/>
          <w:bCs/>
          <w:sz w:val="21"/>
          <w:szCs w:val="21"/>
        </w:rPr>
        <w:t>图像重构实验</w:t>
      </w:r>
      <w:r>
        <w:rPr>
          <w:rFonts w:hint="eastAsia"/>
          <w:b/>
          <w:bCs/>
          <w:sz w:val="21"/>
          <w:szCs w:val="21"/>
          <w:lang w:val="en-US" w:eastAsia="zh-CN"/>
        </w:rPr>
        <w:t>）：</w:t>
      </w:r>
    </w:p>
    <w:p w14:paraId="05190BBC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选取数据集中的第1张人脸（索引为0）。分别使用k=10,50,150,300个主成分对整个数据集进行拟合。对该测试人脸进行降维（transform）后再重构（inverse_transform）。</w:t>
      </w:r>
    </w:p>
    <w:p w14:paraId="2B208128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代码如下：</w:t>
      </w:r>
    </w:p>
    <w:p w14:paraId="64D31C12">
      <w:pPr>
        <w:jc w:val="center"/>
      </w:pPr>
      <w:r>
        <w:drawing>
          <wp:inline distT="0" distB="0" distL="114300" distR="114300">
            <wp:extent cx="2879725" cy="2613660"/>
            <wp:effectExtent l="0" t="0" r="15875" b="254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B51D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将原始人脸与4张重构后的人脸以图像形式制在一起进行对比</w:t>
      </w:r>
      <w:r>
        <w:rPr>
          <w:rFonts w:hint="eastAsia"/>
          <w:sz w:val="18"/>
          <w:szCs w:val="18"/>
          <w:lang w:val="en-US" w:eastAsia="zh-CN"/>
        </w:rPr>
        <w:t>（如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"图8"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图八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所示）</w:t>
      </w:r>
    </w:p>
    <w:p w14:paraId="78C33CFF">
      <w:pPr>
        <w:jc w:val="center"/>
        <w:rPr>
          <w:rFonts w:hint="default"/>
          <w:lang w:val="en-US" w:eastAsia="zh-CN"/>
        </w:rPr>
      </w:pPr>
      <w:bookmarkStart w:id="8" w:name="图8"/>
      <w:r>
        <w:rPr>
          <w:rFonts w:hint="default"/>
          <w:lang w:val="en-US" w:eastAsia="zh-CN"/>
        </w:rPr>
        <w:drawing>
          <wp:inline distT="0" distB="0" distL="114300" distR="114300">
            <wp:extent cx="3599815" cy="959485"/>
            <wp:effectExtent l="0" t="0" r="6985" b="5715"/>
            <wp:docPr id="20" name="图片 20" descr="olivetti_reconstruction_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olivetti_reconstruction_compar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624C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图八 </w:t>
      </w:r>
      <w:r>
        <w:rPr>
          <w:rFonts w:hint="default"/>
          <w:sz w:val="18"/>
          <w:szCs w:val="18"/>
          <w:lang w:val="en-US" w:eastAsia="zh-CN"/>
        </w:rPr>
        <w:t>原始人脸与4张重构后的人脸</w:t>
      </w:r>
      <w:r>
        <w:rPr>
          <w:rFonts w:hint="eastAsia"/>
          <w:sz w:val="18"/>
          <w:szCs w:val="18"/>
          <w:lang w:val="en-US" w:eastAsia="zh-CN"/>
        </w:rPr>
        <w:t>对比图</w:t>
      </w:r>
    </w:p>
    <w:p w14:paraId="11F0386F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从重构对比图（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"图8"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图八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）可观察到：</w:t>
      </w:r>
    </w:p>
    <w:p w14:paraId="2F82CD9D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·k=10：图像较模糊，仅保留人脸轮廓和大致亮暗分布；</w:t>
      </w:r>
    </w:p>
    <w:p w14:paraId="1F0D6539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·k=50：五官结构开始清晰，细节仍有损失；</w:t>
      </w:r>
    </w:p>
    <w:p w14:paraId="01BED6C0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·k=150：纹理和边缘进一步恢复，视觉质量明显提升；</w:t>
      </w:r>
    </w:p>
    <w:p w14:paraId="3AF5FD08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·k=300：接近原图，细节更完整，重构误差较小。</w:t>
      </w:r>
    </w:p>
    <w:p w14:paraId="10B11CC1">
      <w:pPr>
        <w:jc w:val="both"/>
        <w:rPr>
          <w:rFonts w:hint="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总体规律：随着主成分数 k 增大，重构质量逐步提升，说明更多主成分能保留更多原始信息。</w:t>
      </w:r>
    </w:p>
    <w:p w14:paraId="251991D6">
      <w:pPr>
        <w:jc w:val="both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4.2.3 任务C</w:t>
      </w:r>
      <w:r>
        <w:rPr>
          <w:rFonts w:hint="eastAsia"/>
          <w:b/>
          <w:bCs/>
          <w:sz w:val="21"/>
          <w:szCs w:val="21"/>
        </w:rPr>
        <w:t>（特征脸（Eigenfaces）可视化）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</w:p>
    <w:p w14:paraId="1BC1A841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设定 PCA 的主成分数为 150 进行拟合并获取 PCA 对象的 components_ 属性（形状为 150 x 4096）</w:t>
      </w:r>
    </w:p>
    <w:p w14:paraId="0277B12D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代码：</w:t>
      </w:r>
    </w:p>
    <w:p w14:paraId="6D91BAB6">
      <w:pPr>
        <w:jc w:val="center"/>
      </w:pPr>
      <w:r>
        <w:drawing>
          <wp:inline distT="0" distB="0" distL="114300" distR="114300">
            <wp:extent cx="2736215" cy="2437130"/>
            <wp:effectExtent l="0" t="0" r="6985" b="127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2BA6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提取前 5 个主成分，将这 5 张“特征脸”使用 cmap='gray' 绘制出来，</w:t>
      </w:r>
      <w:r>
        <w:rPr>
          <w:rFonts w:hint="eastAsia"/>
          <w:sz w:val="18"/>
          <w:szCs w:val="18"/>
          <w:lang w:val="en-US" w:eastAsia="zh-CN"/>
        </w:rPr>
        <w:t>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"图9"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图九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所示：</w:t>
      </w:r>
    </w:p>
    <w:p w14:paraId="5D00484E">
      <w:pPr>
        <w:jc w:val="center"/>
        <w:rPr>
          <w:rFonts w:hint="default"/>
          <w:lang w:val="en-US" w:eastAsia="zh-CN"/>
        </w:rPr>
      </w:pPr>
      <w:bookmarkStart w:id="9" w:name="图9"/>
      <w:r>
        <w:rPr>
          <w:rFonts w:hint="default"/>
          <w:lang w:val="en-US" w:eastAsia="zh-CN"/>
        </w:rPr>
        <w:drawing>
          <wp:inline distT="0" distB="0" distL="114300" distR="114300">
            <wp:extent cx="3599815" cy="822325"/>
            <wp:effectExtent l="0" t="0" r="6985" b="15875"/>
            <wp:docPr id="23" name="图片 23" descr="olivetti_eigenfaces_to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olivetti_eigenfaces_top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E31F">
      <w:pPr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图九 前5个PCA特征脸对比图</w:t>
      </w:r>
    </w:p>
    <w:bookmarkEnd w:id="9"/>
    <w:p w14:paraId="7141C6BC">
      <w:p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前几个特征脸通常呈现大尺度明暗分布，反映整体光照、脸部轮廓和朝向变化。</w:t>
      </w:r>
    </w:p>
    <w:p w14:paraId="6D3A1180">
      <w:pPr>
        <w:jc w:val="both"/>
        <w:rPr>
          <w:rFonts w:hint="defaul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中间区域常对应眼睛、鼻梁、嘴部等关键结构，说明这些位置对人脸差异贡献较大。</w:t>
      </w:r>
    </w:p>
    <w:p w14:paraId="4C8E7E83">
      <w:pPr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4.2.4 </w:t>
      </w:r>
      <w:r>
        <w:rPr>
          <w:rFonts w:hint="eastAsia"/>
          <w:b/>
          <w:bCs/>
          <w:sz w:val="21"/>
          <w:szCs w:val="21"/>
        </w:rPr>
        <w:t>任务D（方差分析）</w:t>
      </w:r>
    </w:p>
    <w:p w14:paraId="578236CA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绘制主成分数量 k</w:t>
      </w:r>
      <w:r>
        <w:rPr>
          <w:rFonts w:hint="eastAsia"/>
          <w:sz w:val="18"/>
          <w:szCs w:val="18"/>
          <w:lang w:val="en-US" w:eastAsia="zh-CN"/>
        </w:rPr>
        <w:t>（</w:t>
      </w:r>
      <w:r>
        <w:rPr>
          <w:rFonts w:hint="default"/>
          <w:sz w:val="18"/>
          <w:szCs w:val="18"/>
          <w:lang w:val="en-US" w:eastAsia="zh-CN"/>
        </w:rPr>
        <w:t>横轴：1 到 400</w:t>
      </w:r>
      <w:r>
        <w:rPr>
          <w:rFonts w:hint="eastAsia"/>
          <w:sz w:val="18"/>
          <w:szCs w:val="18"/>
          <w:lang w:val="en-US" w:eastAsia="zh-CN"/>
        </w:rPr>
        <w:t>）</w:t>
      </w:r>
      <w:r>
        <w:rPr>
          <w:rFonts w:hint="default"/>
          <w:sz w:val="18"/>
          <w:szCs w:val="18"/>
          <w:lang w:val="en-US" w:eastAsia="zh-CN"/>
        </w:rPr>
        <w:t>与累计方差解释率的折线图</w:t>
      </w:r>
      <w:r>
        <w:rPr>
          <w:rFonts w:hint="eastAsia"/>
          <w:sz w:val="18"/>
          <w:szCs w:val="18"/>
          <w:lang w:val="en-US" w:eastAsia="zh-CN"/>
        </w:rPr>
        <w:t>（如</w:t>
      </w:r>
      <w:r>
        <w:rPr>
          <w:rFonts w:hint="eastAsia"/>
          <w:sz w:val="18"/>
          <w:szCs w:val="18"/>
          <w:lang w:val="en-US" w:eastAsia="zh-CN"/>
        </w:rPr>
        <w:fldChar w:fldCharType="begin"/>
      </w:r>
      <w:r>
        <w:rPr>
          <w:rFonts w:hint="eastAsia"/>
          <w:sz w:val="18"/>
          <w:szCs w:val="18"/>
          <w:lang w:val="en-US" w:eastAsia="zh-CN"/>
        </w:rPr>
        <w:instrText xml:space="preserve"> HYPERLINK \l "图10" </w:instrText>
      </w:r>
      <w:r>
        <w:rPr>
          <w:rFonts w:hint="eastAsia"/>
          <w:sz w:val="18"/>
          <w:szCs w:val="18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18"/>
          <w:lang w:val="en-US" w:eastAsia="zh-CN"/>
        </w:rPr>
        <w:t>图十</w:t>
      </w:r>
      <w:r>
        <w:rPr>
          <w:rFonts w:hint="eastAsia"/>
          <w:sz w:val="18"/>
          <w:szCs w:val="18"/>
          <w:lang w:val="en-US" w:eastAsia="zh-CN"/>
        </w:rPr>
        <w:fldChar w:fldCharType="end"/>
      </w:r>
      <w:r>
        <w:rPr>
          <w:rFonts w:hint="eastAsia"/>
          <w:sz w:val="18"/>
          <w:szCs w:val="18"/>
          <w:lang w:val="en-US" w:eastAsia="zh-CN"/>
        </w:rPr>
        <w:t>）</w:t>
      </w:r>
    </w:p>
    <w:p w14:paraId="06A68EE8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代码如下：</w:t>
      </w:r>
    </w:p>
    <w:p w14:paraId="7479CAA0">
      <w:pPr>
        <w:jc w:val="center"/>
      </w:pPr>
      <w:r>
        <w:drawing>
          <wp:inline distT="0" distB="0" distL="114300" distR="114300">
            <wp:extent cx="2879725" cy="1570990"/>
            <wp:effectExtent l="0" t="0" r="15875" b="381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997C">
      <w:p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代码输出结果：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531242A">
        <w:tc>
          <w:tcPr>
            <w:tcW w:w="8522" w:type="dxa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</w:tcPr>
          <w:p w14:paraId="6BF534A9">
            <w:pPr>
              <w:jc w:val="both"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达到90%累计方差解释率所需主成分数: 66</w:t>
            </w:r>
          </w:p>
          <w:p w14:paraId="06114D62">
            <w:pPr>
              <w:jc w:val="both"/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18"/>
                <w:szCs w:val="18"/>
                <w:vertAlign w:val="baseline"/>
                <w:lang w:val="en-US" w:eastAsia="zh-CN"/>
              </w:rPr>
              <w:t>对应累计解释率: 0.900245</w:t>
            </w:r>
          </w:p>
        </w:tc>
      </w:tr>
    </w:tbl>
    <w:p w14:paraId="04A479AF">
      <w:pPr>
        <w:jc w:val="both"/>
        <w:rPr>
          <w:rFonts w:hint="default"/>
          <w:sz w:val="18"/>
          <w:szCs w:val="18"/>
          <w:lang w:val="en-US" w:eastAsia="zh-CN"/>
        </w:rPr>
      </w:pPr>
    </w:p>
    <w:p w14:paraId="302FA6AD">
      <w:pPr>
        <w:jc w:val="center"/>
        <w:rPr>
          <w:rFonts w:hint="default"/>
          <w:sz w:val="18"/>
          <w:szCs w:val="18"/>
          <w:lang w:val="en-US" w:eastAsia="zh-CN"/>
        </w:rPr>
      </w:pPr>
      <w:bookmarkStart w:id="10" w:name="图10"/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2879725" cy="1761490"/>
            <wp:effectExtent l="0" t="0" r="15875" b="16510"/>
            <wp:docPr id="24" name="图片 24" descr="olivetti_cumulative_explained_var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olivetti_cumulative_explained_varianc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377F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图十 主成分数量k与累计方差解释率的关系折线图</w:t>
      </w:r>
    </w:p>
    <w:bookmarkEnd w:id="7"/>
    <w:bookmarkEnd w:id="8"/>
    <w:bookmarkEnd w:id="10"/>
    <w:p w14:paraId="623712C8">
      <w:pPr>
        <w:pStyle w:val="2"/>
        <w:rPr>
          <w:rFonts w:hint="eastAsia"/>
          <w:b w:val="0"/>
          <w:bCs w:val="0"/>
          <w:sz w:val="18"/>
          <w:szCs w:val="18"/>
          <w:lang w:eastAsia="zh-CN"/>
        </w:rPr>
      </w:pPr>
      <w:r>
        <w:rPr>
          <w:rFonts w:hint="eastAsia"/>
          <w:b w:val="0"/>
          <w:bCs w:val="0"/>
          <w:sz w:val="18"/>
          <w:szCs w:val="18"/>
        </w:rPr>
        <w:t>要想保留 90% 的人脸信息，大约需要保留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66</w:t>
      </w:r>
      <w:r>
        <w:rPr>
          <w:rFonts w:hint="eastAsia"/>
          <w:b w:val="0"/>
          <w:bCs w:val="0"/>
          <w:sz w:val="18"/>
          <w:szCs w:val="18"/>
        </w:rPr>
        <w:t>个主成分</w:t>
      </w:r>
      <w:r>
        <w:rPr>
          <w:rFonts w:hint="eastAsia"/>
          <w:b w:val="0"/>
          <w:bCs w:val="0"/>
          <w:sz w:val="18"/>
          <w:szCs w:val="18"/>
          <w:lang w:eastAsia="zh-CN"/>
        </w:rPr>
        <w:t>。</w:t>
      </w:r>
    </w:p>
    <w:p w14:paraId="3E1F64F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 思考与讨论</w:t>
      </w:r>
    </w:p>
    <w:p w14:paraId="5BB487C8">
      <w:pPr>
        <w:numPr>
          <w:ilvl w:val="0"/>
          <w:numId w:val="5"/>
        </w:num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简述 1.3实验内容（单图压缩）与 1.4练习2（人脸降维）中，输入PCA的数据矩阵 X 每一行分别代表什么？这两种做法在物理意义上有什么</w:t>
      </w:r>
      <w:r>
        <w:rPr>
          <w:rFonts w:hint="eastAsia"/>
          <w:sz w:val="21"/>
          <w:szCs w:val="21"/>
        </w:rPr>
        <w:t>本质</w:t>
      </w:r>
      <w:r>
        <w:rPr>
          <w:sz w:val="21"/>
          <w:szCs w:val="21"/>
        </w:rPr>
        <w:t>区别？</w:t>
      </w:r>
    </w:p>
    <w:p w14:paraId="4B745152">
      <w:pPr>
        <w:numPr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/>
        </w:rPr>
        <w:t>1</w:t>
      </w:r>
      <w:r>
        <w:rPr>
          <w:rFonts w:hint="default"/>
          <w:sz w:val="18"/>
          <w:szCs w:val="18"/>
          <w:lang w:val="en-US"/>
        </w:rPr>
        <w:t>.</w:t>
      </w:r>
      <w:r>
        <w:rPr>
          <w:rFonts w:hint="eastAsia"/>
          <w:sz w:val="18"/>
          <w:szCs w:val="18"/>
          <w:lang w:val="en-US" w:eastAsia="zh-CN"/>
        </w:rPr>
        <w:t>3实验内容（单图压缩）输入PCA的数据矩阵X（</w:t>
      </w:r>
      <w:r>
        <w:rPr>
          <w:rFonts w:hint="default"/>
          <w:sz w:val="18"/>
          <w:szCs w:val="18"/>
          <w:lang w:val="en-US" w:eastAsia="zh-CN"/>
        </w:rPr>
        <w:t>X.shape=(H, W)</w:t>
      </w:r>
      <w:r>
        <w:rPr>
          <w:rFonts w:hint="eastAsia"/>
          <w:sz w:val="18"/>
          <w:szCs w:val="18"/>
          <w:lang w:val="en-US" w:eastAsia="zh-CN"/>
        </w:rPr>
        <w:t>）每一行表示这张图的一条水平扫描线（1×W 像素向量）。</w:t>
      </w:r>
    </w:p>
    <w:p w14:paraId="153623E6">
      <w:pPr>
        <w:numPr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1.4</w:t>
      </w:r>
      <w:r>
        <w:rPr>
          <w:rFonts w:hint="eastAsia"/>
          <w:sz w:val="18"/>
          <w:szCs w:val="18"/>
          <w:lang w:val="en-US" w:eastAsia="zh-CN"/>
        </w:rPr>
        <w:t xml:space="preserve"> 练习2（人脸降维度）输入PCA的数据X（</w:t>
      </w:r>
      <w:r>
        <w:rPr>
          <w:rFonts w:hint="default"/>
          <w:sz w:val="18"/>
          <w:szCs w:val="18"/>
          <w:lang w:val="en-US" w:eastAsia="zh-CN"/>
        </w:rPr>
        <w:t>X.shape=(400, 4096)</w:t>
      </w:r>
      <w:r>
        <w:rPr>
          <w:rFonts w:hint="eastAsia"/>
          <w:sz w:val="18"/>
          <w:szCs w:val="18"/>
          <w:lang w:val="en-US" w:eastAsia="zh-CN"/>
        </w:rPr>
        <w:t>）每一行表示一张完整人脸图像展开后的向量。</w:t>
      </w:r>
    </w:p>
    <w:p w14:paraId="231D093B">
      <w:pPr>
        <w:numPr>
          <w:numId w:val="0"/>
        </w:num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在物理上的本质区别：</w:t>
      </w:r>
    </w:p>
    <w:p w14:paraId="7755FEE5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单图压缩</w:t>
      </w:r>
      <w:r>
        <w:rPr>
          <w:rFonts w:hint="eastAsia"/>
          <w:sz w:val="18"/>
          <w:szCs w:val="18"/>
          <w:lang w:val="en-US" w:eastAsia="zh-CN"/>
        </w:rPr>
        <w:t>：</w:t>
      </w:r>
      <w:r>
        <w:rPr>
          <w:rFonts w:hint="default"/>
          <w:sz w:val="18"/>
          <w:szCs w:val="18"/>
          <w:lang w:val="en-US" w:eastAsia="zh-CN"/>
        </w:rPr>
        <w:t>建模对象：单张图内部的空间冗余</w:t>
      </w:r>
    </w:p>
    <w:p w14:paraId="3DB48114">
      <w:pPr>
        <w:numPr>
          <w:numId w:val="0"/>
        </w:num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主成分含义：该图内部纹理/结构的主要变化方向</w:t>
      </w:r>
    </w:p>
    <w:p w14:paraId="06F90F49"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人脸降维</w:t>
      </w:r>
      <w:r>
        <w:rPr>
          <w:rFonts w:hint="eastAsia"/>
          <w:sz w:val="18"/>
          <w:szCs w:val="18"/>
          <w:lang w:val="en-US" w:eastAsia="zh-CN"/>
        </w:rPr>
        <w:t>：</w:t>
      </w:r>
      <w:r>
        <w:rPr>
          <w:rFonts w:hint="default"/>
          <w:sz w:val="18"/>
          <w:szCs w:val="18"/>
          <w:lang w:val="en-US" w:eastAsia="zh-CN"/>
        </w:rPr>
        <w:t>建模对象：多张人脸之间的统计变化</w:t>
      </w:r>
    </w:p>
    <w:p w14:paraId="527AC5C3">
      <w:pPr>
        <w:numPr>
          <w:numId w:val="0"/>
        </w:num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主成分含义：人脸总体变化模式（光照、姿态、五官差异等）</w:t>
      </w:r>
    </w:p>
    <w:p w14:paraId="3B0D56B3">
      <w:pPr>
        <w:numPr>
          <w:ilvl w:val="0"/>
          <w:numId w:val="5"/>
        </w:num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 xml:space="preserve">在练习2中提取出来的“特征脸（Eigenfaces）”为什么看起来像“鬼影”？它们在数学上代表了什么意义？ </w:t>
      </w:r>
    </w:p>
    <w:p w14:paraId="39A60666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val="en-US" w:eastAsia="zh-CN"/>
        </w:rPr>
        <w:t>1）</w:t>
      </w:r>
      <w:r>
        <w:rPr>
          <w:rFonts w:hint="eastAsia"/>
          <w:sz w:val="18"/>
          <w:szCs w:val="18"/>
        </w:rPr>
        <w:t>为什么看起来像“鬼影”</w:t>
      </w:r>
      <w:r>
        <w:rPr>
          <w:rFonts w:hint="eastAsia"/>
          <w:sz w:val="18"/>
          <w:szCs w:val="18"/>
          <w:lang w:eastAsia="zh-CN"/>
        </w:rPr>
        <w:t>：</w:t>
      </w:r>
    </w:p>
    <w:p w14:paraId="044796C8">
      <w:pPr>
        <w:widowControl w:val="0"/>
        <w:numPr>
          <w:numId w:val="0"/>
        </w:numPr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·</w:t>
      </w:r>
      <w:r>
        <w:rPr>
          <w:rFonts w:hint="eastAsia"/>
          <w:sz w:val="18"/>
          <w:szCs w:val="18"/>
        </w:rPr>
        <w:t>特征脸不是某一张真实人脸，而是很多人脸差异的叠加方向。</w:t>
      </w:r>
    </w:p>
    <w:p w14:paraId="4B971B4C">
      <w:pPr>
        <w:widowControl w:val="0"/>
        <w:numPr>
          <w:numId w:val="0"/>
        </w:numPr>
        <w:jc w:val="both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·</w:t>
      </w:r>
      <w:r>
        <w:rPr>
          <w:rFonts w:hint="eastAsia"/>
          <w:sz w:val="18"/>
          <w:szCs w:val="18"/>
        </w:rPr>
        <w:t>它包含正负权重（亮/暗区域），显示的是“哪里变亮、哪里变暗最能解释变化”。</w:t>
      </w:r>
    </w:p>
    <w:p w14:paraId="53B13C77">
      <w:pPr>
        <w:widowControl w:val="0"/>
        <w:numPr>
          <w:numId w:val="0"/>
        </w:numPr>
        <w:jc w:val="both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·</w:t>
      </w:r>
      <w:r>
        <w:rPr>
          <w:rFonts w:hint="eastAsia"/>
          <w:sz w:val="18"/>
          <w:szCs w:val="18"/>
        </w:rPr>
        <w:t>因为在均值脸附近做线性分解，结果常是模糊的明暗纹理，不像自然照片。</w:t>
      </w:r>
    </w:p>
    <w:p w14:paraId="5C0E94A6">
      <w:pPr>
        <w:widowControl w:val="0"/>
        <w:numPr>
          <w:ilvl w:val="0"/>
          <w:numId w:val="6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在数学上代表什么：</w:t>
      </w:r>
    </w:p>
    <w:p w14:paraId="4D47B912">
      <w:pPr>
        <w:widowControl w:val="0"/>
        <w:numPr>
          <w:numId w:val="0"/>
        </w:numPr>
        <w:jc w:val="both"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设每张人脸向量为</w:t>
      </w:r>
      <m:oMath>
        <m:r>
          <m:rPr/>
          <w:rPr>
            <w:rFonts w:hint="default" w:ascii="DejaVu Math TeX Gyre" w:hAnsi="DejaVu Math TeX Gyre"/>
            <w:sz w:val="18"/>
            <w:szCs w:val="18"/>
          </w:rPr>
          <m:t>x∈</m:t>
        </m:r>
        <m:sSup>
          <m:sSup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hint="default" w:ascii="DejaVu Math TeX Gyre" w:hAnsi="DejaVu Math TeX Gyre" w:eastAsia="MS Mincho"/>
                <w:sz w:val="18"/>
                <w:szCs w:val="18"/>
              </w:rPr>
              <m:t>ℝ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4096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p>
        </m:sSup>
      </m:oMath>
      <w:r>
        <w:rPr>
          <w:rFonts w:hint="eastAsia" w:hAnsi="DejaVu Math TeX Gyre"/>
          <w:i w:val="0"/>
          <w:sz w:val="18"/>
          <w:szCs w:val="18"/>
          <w:lang w:eastAsia="zh-CN"/>
        </w:rPr>
        <w:t>，</w:t>
      </w:r>
      <w:r>
        <w:rPr>
          <w:rFonts w:hint="eastAsia" w:hAnsi="DejaVu Math TeX Gyre"/>
          <w:i w:val="0"/>
          <w:sz w:val="18"/>
          <w:szCs w:val="18"/>
          <w:lang w:val="en-US" w:eastAsia="zh-CN"/>
        </w:rPr>
        <w:t>均值脸为</w:t>
      </w:r>
      <m:oMath>
        <m:r>
          <m:rPr/>
          <w:rPr>
            <w:rFonts w:hint="default" w:ascii="DejaVu Math TeX Gyre" w:hAnsi="DejaVu Math TeX Gyre"/>
            <w:sz w:val="18"/>
            <w:szCs w:val="18"/>
          </w:rPr>
          <m:t>μ</m:t>
        </m:r>
      </m:oMath>
      <w:r>
        <m:rPr/>
        <w:rPr>
          <w:rFonts w:hint="eastAsia" w:hAnsi="DejaVu Math TeX Gyre"/>
          <w:i w:val="0"/>
          <w:sz w:val="18"/>
          <w:szCs w:val="18"/>
          <w:lang w:eastAsia="zh-CN"/>
        </w:rPr>
        <w:t>，</w:t>
      </w: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PCA得到主成分向量</w:t>
      </w:r>
      <m:oMath>
        <m:sSub>
          <m:sSub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u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i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</m:sSub>
      </m:oMath>
      <w:r>
        <w:rPr>
          <w:rFonts w:hint="eastAsia" w:hAnsi="DejaVu Math TeX Gyre"/>
          <w:i w:val="0"/>
          <w:sz w:val="18"/>
          <w:szCs w:val="18"/>
          <w:lang w:eastAsia="zh-CN"/>
        </w:rPr>
        <w:t>（</w:t>
      </w:r>
      <w:r>
        <w:rPr>
          <w:rFonts w:hint="eastAsia" w:hAnsi="DejaVu Math TeX Gyre"/>
          <w:i w:val="0"/>
          <w:sz w:val="18"/>
          <w:szCs w:val="18"/>
          <w:lang w:val="en-US" w:eastAsia="zh-CN"/>
        </w:rPr>
        <w:t>单位正交基）：</w:t>
      </w:r>
    </w:p>
    <w:p w14:paraId="383818C7">
      <w:pPr>
        <w:widowControl w:val="0"/>
        <w:numPr>
          <w:numId w:val="0"/>
        </w:numPr>
        <w:jc w:val="both"/>
        <w:rPr>
          <w:rFonts w:hint="default" w:hAnsi="DejaVu Math TeX Gyre"/>
          <w:i w:val="0"/>
          <w:sz w:val="18"/>
          <w:szCs w:val="18"/>
        </w:rPr>
      </w:pPr>
      <m:oMathPara>
        <m:oMath>
          <m:r>
            <m:rPr/>
            <w:rPr>
              <w:rFonts w:hint="default" w:ascii="DejaVu Math TeX Gyre" w:hAnsi="DejaVu Math TeX Gyre"/>
              <w:sz w:val="18"/>
              <w:szCs w:val="18"/>
            </w:rPr>
            <m:t>x≈μ+</m:t>
          </m:r>
          <m:nary>
            <m:naryPr>
              <m:chr m:val="∑"/>
              <m:limLoc m:val="undOvr"/>
              <m:ctrlPr>
                <w:rPr>
                  <w:rFonts w:hint="default" w:ascii="DejaVu Math TeX Gyre" w:hAnsi="DejaVu Math TeX Gyre"/>
                  <w:i/>
                  <w:sz w:val="18"/>
                  <w:szCs w:val="18"/>
                </w:rPr>
              </m:ctrlPr>
            </m:naryPr>
            <m:sub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i=1</m:t>
              </m:r>
              <m:ctrlPr>
                <w:rPr>
                  <w:rFonts w:ascii="DejaVu Math TeX Gyre" w:hAnsi="DejaVu Math TeX Gyre"/>
                  <w:sz w:val="18"/>
                  <w:szCs w:val="18"/>
                </w:rPr>
              </m:ctrlPr>
            </m:sub>
            <m:sup>
              <m:r>
                <m:rPr/>
                <w:rPr>
                  <w:rFonts w:hint="default" w:ascii="DejaVu Math TeX Gyre" w:hAnsi="DejaVu Math TeX Gyre"/>
                  <w:sz w:val="18"/>
                  <w:szCs w:val="18"/>
                </w:rPr>
                <m:t>k</m:t>
              </m:r>
              <m:ctrlPr>
                <w:rPr>
                  <w:rFonts w:ascii="DejaVu Math TeX Gyre" w:hAnsi="DejaVu Math TeX Gyre"/>
                  <w:sz w:val="18"/>
                  <w:szCs w:val="18"/>
                </w:rPr>
              </m:ctrlPr>
            </m:sup>
            <m:e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a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sSub>
                <m:sSubPr>
                  <m:ctrlPr>
                    <w:rPr>
                      <w:rFonts w:hint="default" w:ascii="DejaVu Math TeX Gyre" w:hAnsi="DejaVu Math TeX Gyre"/>
                      <w:sz w:val="18"/>
                      <w:szCs w:val="18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u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/>
                      <w:sz w:val="18"/>
                      <w:szCs w:val="18"/>
                    </w:rPr>
                    <m:t>i</m:t>
                  </m:r>
                  <m:ctrlPr>
                    <w:rPr>
                      <w:rFonts w:ascii="DejaVu Math TeX Gyre" w:hAnsi="DejaVu Math TeX Gyre"/>
                      <w:sz w:val="18"/>
                      <w:szCs w:val="18"/>
                    </w:rPr>
                  </m:ctrlPr>
                </m:sub>
              </m:sSub>
              <m:ctrlPr>
                <w:rPr>
                  <w:rFonts w:hint="default" w:ascii="DejaVu Math TeX Gyre" w:hAnsi="DejaVu Math TeX Gyre"/>
                  <w:sz w:val="18"/>
                  <w:szCs w:val="18"/>
                </w:rPr>
              </m:ctrlPr>
            </m:e>
          </m:nary>
        </m:oMath>
      </m:oMathPara>
    </w:p>
    <w:p w14:paraId="2531AC44">
      <w:pPr>
        <w:widowControl w:val="0"/>
        <w:numPr>
          <w:numId w:val="0"/>
        </w:numPr>
        <w:jc w:val="both"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w:rPr>
          <w:rFonts w:hint="eastAsia" w:hAnsi="DejaVu Math TeX Gyre"/>
          <w:i w:val="0"/>
          <w:sz w:val="18"/>
          <w:szCs w:val="18"/>
          <w:lang w:val="en-US" w:eastAsia="zh-CN"/>
        </w:rPr>
        <w:t>其中：</w:t>
      </w:r>
    </w:p>
    <w:p w14:paraId="4FCA5EAD">
      <w:pPr>
        <w:widowControl w:val="0"/>
        <w:numPr>
          <w:numId w:val="0"/>
        </w:numPr>
        <w:jc w:val="both"/>
        <m:rPr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w:rPr>
          <w:rFonts w:hint="eastAsia" w:hAnsi="DejaVu Math TeX Gyre"/>
          <w:i w:val="0"/>
          <w:sz w:val="18"/>
          <w:szCs w:val="18"/>
          <w:lang w:val="en-US" w:eastAsia="zh-CN"/>
        </w:rPr>
        <w:t>·</w:t>
      </w:r>
      <m:oMath>
        <m:sSub>
          <m:sSub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u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i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</m:sSub>
      </m:oMath>
      <w:r>
        <w:rPr>
          <w:rFonts w:hint="default" w:hAnsi="DejaVu Math TeX Gyre"/>
          <w:i w:val="0"/>
          <w:sz w:val="18"/>
          <w:szCs w:val="18"/>
          <w:lang w:val="en-US"/>
        </w:rPr>
        <w:t>:</w:t>
      </w:r>
      <w:r>
        <w:rPr>
          <w:rFonts w:hint="eastAsia" w:hAnsi="DejaVu Math TeX Gyre"/>
          <w:i w:val="0"/>
          <w:sz w:val="18"/>
          <w:szCs w:val="18"/>
          <w:lang w:val="en-US" w:eastAsia="zh-CN"/>
        </w:rPr>
        <w:t xml:space="preserve"> 第</w:t>
      </w:r>
      <m:oMath>
        <m:r>
          <m:rPr/>
          <w:rPr>
            <w:rFonts w:hint="default" w:ascii="DejaVu Math TeX Gyre" w:hAnsi="DejaVu Math TeX Gyre"/>
            <w:sz w:val="18"/>
            <w:szCs w:val="18"/>
          </w:rPr>
          <m:t>i</m:t>
        </m:r>
      </m:oMath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个特征脸，就是写方差矩阵的特征向量</w:t>
      </w:r>
    </w:p>
    <w:p w14:paraId="1DEB1DF4">
      <w:pPr>
        <w:widowControl w:val="0"/>
        <w:numPr>
          <w:numId w:val="0"/>
        </w:numPr>
        <w:jc w:val="both"/>
        <m:rPr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·</w:t>
      </w:r>
      <m:oMath>
        <m:sSub>
          <m:sSub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a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i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</m:sSub>
        <m:r>
          <m:rPr/>
          <w:rPr>
            <w:rFonts w:hint="default" w:ascii="DejaVu Math TeX Gyre" w:hAnsi="DejaVu Math TeX Gyre"/>
            <w:sz w:val="18"/>
            <w:szCs w:val="18"/>
          </w:rPr>
          <m:t>=</m:t>
        </m:r>
        <m:sSubSup>
          <m:sSubSup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Sup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u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i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T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p>
        </m:sSubSup>
        <m:r>
          <m:rPr/>
          <w:rPr>
            <w:rFonts w:hint="default" w:ascii="DejaVu Math TeX Gyre" w:hAnsi="DejaVu Math TeX Gyre"/>
            <w:sz w:val="18"/>
            <w:szCs w:val="18"/>
          </w:rPr>
          <m:t>(x−μ)</m:t>
        </m:r>
      </m:oMath>
      <w:r>
        <m:rPr/>
        <w:rPr>
          <w:rFonts w:hint="default" w:hAnsi="DejaVu Math TeX Gyre"/>
          <w:i w:val="0"/>
          <w:sz w:val="18"/>
          <w:szCs w:val="18"/>
          <w:lang w:val="en-US"/>
        </w:rPr>
        <w:t xml:space="preserve">: </w:t>
      </w: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该人脸在第i个特征脸上的投影系数</w:t>
      </w:r>
    </w:p>
    <w:p w14:paraId="5FB5AA92">
      <w:pPr>
        <w:widowControl w:val="0"/>
        <w:numPr>
          <w:numId w:val="0"/>
        </w:numPr>
        <w:jc w:val="both"/>
        <w:rPr>
          <w:rFonts w:hint="eastAsia" w:hAnsi="DejaVu Math TeX Gyre"/>
          <w:i w:val="0"/>
          <w:sz w:val="18"/>
          <w:szCs w:val="18"/>
          <w:lang w:val="en-US" w:eastAsia="zh-CN"/>
        </w:rPr>
      </w:pPr>
      <w:r>
        <m:rPr/>
        <w:rPr>
          <w:rFonts w:hint="eastAsia" w:hAnsi="DejaVu Math TeX Gyre"/>
          <w:i w:val="0"/>
          <w:sz w:val="18"/>
          <w:szCs w:val="18"/>
          <w:lang w:val="en-US" w:eastAsia="zh-CN"/>
        </w:rPr>
        <w:t>·对应的特征值</w:t>
      </w:r>
      <m:oMath>
        <m:sSub>
          <m:sSubPr>
            <m:ctrlPr>
              <w:rPr>
                <w:rFonts w:hint="default" w:ascii="DejaVu Math TeX Gyre" w:hAnsi="DejaVu Math TeX Gyre"/>
                <w:sz w:val="18"/>
                <w:szCs w:val="18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λ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18"/>
                <w:szCs w:val="18"/>
              </w:rPr>
              <m:t>i</m:t>
            </m:r>
            <m:ctrlPr>
              <w:rPr>
                <w:rFonts w:ascii="DejaVu Math TeX Gyre" w:hAnsi="DejaVu Math TeX Gyre"/>
                <w:sz w:val="18"/>
                <w:szCs w:val="18"/>
              </w:rPr>
            </m:ctrlPr>
          </m:sub>
        </m:sSub>
      </m:oMath>
      <w:r>
        <w:rPr>
          <w:rFonts w:hint="eastAsia" w:hAnsi="DejaVu Math TeX Gyre"/>
          <w:i w:val="0"/>
          <w:sz w:val="18"/>
          <w:szCs w:val="18"/>
          <w:lang w:val="en-US" w:eastAsia="zh-CN"/>
        </w:rPr>
        <w:t>越大，说明该方向解释的方差越多，信息越重要</w:t>
      </w:r>
    </w:p>
    <w:p w14:paraId="4B42629D">
      <w:pPr>
        <w:widowControl w:val="0"/>
        <w:numPr>
          <w:numId w:val="0"/>
        </w:numPr>
        <w:jc w:val="both"/>
        <m:rPr/>
        <w:rPr>
          <w:rFonts w:hint="default" w:hAnsi="DejaVu Math TeX Gyre"/>
          <w:i w:val="0"/>
          <w:sz w:val="21"/>
          <w:lang w:val="en-US" w:eastAsia="zh-CN"/>
        </w:rPr>
      </w:pPr>
    </w:p>
    <w:p w14:paraId="34F6D190">
      <w:pPr>
        <w:numPr>
          <w:ilvl w:val="0"/>
          <w:numId w:val="5"/>
        </w:numPr>
        <w:ind w:firstLine="420" w:firstLineChars="200"/>
        <w:rPr>
          <w:sz w:val="21"/>
          <w:szCs w:val="21"/>
        </w:rPr>
      </w:pPr>
      <w:r>
        <w:rPr>
          <w:sz w:val="21"/>
          <w:szCs w:val="21"/>
        </w:rPr>
        <w:t>PCA降维虽然减少了计算量，但它可能带来哪些负面影响</w:t>
      </w:r>
      <w:r>
        <w:rPr>
          <w:rFonts w:hint="eastAsia"/>
          <w:sz w:val="21"/>
          <w:szCs w:val="21"/>
        </w:rPr>
        <w:t>或局限性</w:t>
      </w:r>
      <w:r>
        <w:rPr>
          <w:sz w:val="21"/>
          <w:szCs w:val="21"/>
        </w:rPr>
        <w:t>？</w:t>
      </w:r>
    </w:p>
    <w:p w14:paraId="1B816264">
      <w:pPr>
        <w:numPr>
          <w:numId w:val="0"/>
        </w:num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·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会造成信息损失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：PCA 在降维过程中只保留主要成分，而舍弃部分次要成分。</w:t>
      </w:r>
    </w:p>
    <w:p w14:paraId="1658FED2">
      <w:pPr>
        <w:numPr>
          <w:numId w:val="0"/>
        </w:num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·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只适用于线性结构较强的数据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：PCA 本质上是一种线性降维方法，对于数据中存在的复杂非线性关系难以有效表示，因此在某些场景下效果有限。</w:t>
      </w:r>
    </w:p>
    <w:p w14:paraId="4D1D8E3F">
      <w:pPr>
        <w:numPr>
          <w:numId w:val="0"/>
        </w:num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·</w:t>
      </w:r>
      <w:r>
        <w:rPr>
          <w:rFonts w:hint="default"/>
          <w:b w:val="0"/>
          <w:bCs w:val="0"/>
          <w:sz w:val="18"/>
          <w:szCs w:val="18"/>
          <w:lang w:val="en-US" w:eastAsia="zh-CN"/>
        </w:rPr>
        <w:t>对数据预处理要求较高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：PCA 对特征量纲较为敏感，如果各特征的取值范围差异较大，未经过标准化处理就进行降维，结果可能会受到较大影响。</w:t>
      </w:r>
    </w:p>
    <w:p w14:paraId="3FEE77CD">
      <w:pPr>
        <w:pStyle w:val="2"/>
      </w:pPr>
      <w:r>
        <w:rPr>
          <w:rFonts w:hint="eastAsia"/>
        </w:rPr>
        <w:t>五、实验总结</w:t>
      </w:r>
    </w:p>
    <w:p w14:paraId="50EE53CB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通过本次实验，我对主成分分析（PCA）的方法和作用有了更加深入的理解。实验中，我分别对鸢尾花数据集和 Olivetti 人脸数据集进行了降维、可视化和重构分析，进一步掌握了 PCA 的基本使用流程。实验结果表明，PCA 能够在尽量保留原始数据信息的前提下有效降低数据维度，从而减少计算量，并使数据特征更加直观。对于鸢尾花数据集，前两个主成分已经能够保留大部分原始信息，降维后的二维图也较清楚地展示了不同类别样本之间的分布情况。对于人脸数据集，通过图像重构可以看出，随着主成分数量的增加，重构图像的效果越来越好，说明主成分数量越多，保留的信息也越完整。</w:t>
      </w:r>
    </w:p>
    <w:p w14:paraId="2B618A8A">
      <w:pPr>
        <w:rPr>
          <w:rFonts w:hint="default" w:eastAsiaTheme="minorEastAsia"/>
          <w:sz w:val="18"/>
          <w:szCs w:val="18"/>
          <w:lang w:val="en-US" w:eastAsia="zh-CN"/>
        </w:rPr>
      </w:pPr>
    </w:p>
    <w:p w14:paraId="453E296C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在实验过程中，我也认识到 PCA 虽然是一种非常实用的降维方法，但它在降维的同时也会损失一部分信息，而且主成分本身是原始特征的线性组合，不容易直接解释其实际意义。此外，PCA 对数据的标准化和异常值也比较敏感，因此在实际应用中需要结合具体情况进行分析。</w:t>
      </w:r>
    </w:p>
    <w:p w14:paraId="15A0FF4B">
      <w:pPr>
        <w:rPr>
          <w:sz w:val="18"/>
          <w:szCs w:val="18"/>
        </w:rPr>
      </w:pPr>
    </w:p>
    <w:tbl>
      <w:tblPr>
        <w:tblStyle w:val="6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EE3582B">
        <w:trPr>
          <w:trHeight w:val="6496" w:hRule="atLeast"/>
        </w:trPr>
        <w:tc>
          <w:tcPr>
            <w:tcW w:w="8160" w:type="dxa"/>
          </w:tcPr>
          <w:p w14:paraId="71A7D8B8">
            <w:r>
              <w:rPr>
                <w:rFonts w:hint="eastAsia"/>
              </w:rPr>
              <w:t>指导教师批阅意见：</w:t>
            </w:r>
          </w:p>
          <w:p w14:paraId="4F31FCF5"/>
          <w:p w14:paraId="4BC2356B"/>
          <w:p w14:paraId="748831B8"/>
          <w:p w14:paraId="27E8569B"/>
          <w:p w14:paraId="174F4E67"/>
          <w:p w14:paraId="587F93F1"/>
          <w:p w14:paraId="315B6C2E"/>
          <w:p w14:paraId="1B51DC35"/>
          <w:p w14:paraId="2E799946"/>
          <w:p w14:paraId="09F9D8DE"/>
          <w:p w14:paraId="41D41176"/>
          <w:p w14:paraId="7FAEAC1D"/>
          <w:p w14:paraId="6B0DC2FA"/>
          <w:p w14:paraId="09FDE723">
            <w:r>
              <w:rPr>
                <w:rFonts w:hint="eastAsia"/>
              </w:rPr>
              <w:t>成绩评定：</w:t>
            </w:r>
          </w:p>
          <w:p w14:paraId="6C98D5FF"/>
          <w:p w14:paraId="3E567EE3"/>
          <w:p w14:paraId="174EAFFF"/>
          <w:p w14:paraId="78E77711"/>
          <w:p w14:paraId="59D59254"/>
          <w:p w14:paraId="5C88F134"/>
          <w:p w14:paraId="40C281D5"/>
          <w:p w14:paraId="00FBAB10"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51DE40C1"/>
          <w:p w14:paraId="566711F1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B282A16"/>
        </w:tc>
      </w:tr>
      <w:tr w14:paraId="661D5BC3">
        <w:trPr>
          <w:trHeight w:val="1236" w:hRule="atLeast"/>
        </w:trPr>
        <w:tc>
          <w:tcPr>
            <w:tcW w:w="8160" w:type="dxa"/>
          </w:tcPr>
          <w:p w14:paraId="52BA6314">
            <w:r>
              <w:rPr>
                <w:rFonts w:hint="eastAsia"/>
              </w:rPr>
              <w:t>备注：</w:t>
            </w:r>
          </w:p>
          <w:p w14:paraId="5377E0F6"/>
          <w:p w14:paraId="38FE3062"/>
          <w:p w14:paraId="0A92F27A"/>
          <w:p w14:paraId="426CE1C0"/>
        </w:tc>
      </w:tr>
    </w:tbl>
    <w:p w14:paraId="05439053"/>
    <w:p w14:paraId="1C2CC3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B42D07"/>
    <w:multiLevelType w:val="singleLevel"/>
    <w:tmpl w:val="CDB42D0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EFFE334F"/>
    <w:multiLevelType w:val="singleLevel"/>
    <w:tmpl w:val="EFFE334F"/>
    <w:lvl w:ilvl="0" w:tentative="0">
      <w:start w:val="2"/>
      <w:numFmt w:val="decimal"/>
      <w:suff w:val="nothing"/>
      <w:lvlText w:val="%1）"/>
      <w:lvlJc w:val="left"/>
    </w:lvl>
  </w:abstractNum>
  <w:abstractNum w:abstractNumId="2">
    <w:nsid w:val="047248D6"/>
    <w:multiLevelType w:val="multilevel"/>
    <w:tmpl w:val="047248D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17E97709"/>
    <w:multiLevelType w:val="multilevel"/>
    <w:tmpl w:val="17E9770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35B52C95"/>
    <w:multiLevelType w:val="multilevel"/>
    <w:tmpl w:val="35B52C9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EBF9993"/>
    <w:multiLevelType w:val="singleLevel"/>
    <w:tmpl w:val="7EBF999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3E6"/>
    <w:rsid w:val="00003749"/>
    <w:rsid w:val="00352D59"/>
    <w:rsid w:val="00385072"/>
    <w:rsid w:val="00401963"/>
    <w:rsid w:val="00585032"/>
    <w:rsid w:val="008D7952"/>
    <w:rsid w:val="0090666F"/>
    <w:rsid w:val="00A673E6"/>
    <w:rsid w:val="00DD1EA9"/>
    <w:rsid w:val="0BC7692D"/>
    <w:rsid w:val="0EFA93DB"/>
    <w:rsid w:val="15F335E7"/>
    <w:rsid w:val="1BDF16BA"/>
    <w:rsid w:val="23A10B26"/>
    <w:rsid w:val="27FFEECA"/>
    <w:rsid w:val="299627B0"/>
    <w:rsid w:val="2BBE85CC"/>
    <w:rsid w:val="2F9F3238"/>
    <w:rsid w:val="2FBE480E"/>
    <w:rsid w:val="35213875"/>
    <w:rsid w:val="38FFA3E5"/>
    <w:rsid w:val="405E59BC"/>
    <w:rsid w:val="45140D01"/>
    <w:rsid w:val="47D91D8D"/>
    <w:rsid w:val="48684EBF"/>
    <w:rsid w:val="4AE95026"/>
    <w:rsid w:val="55517407"/>
    <w:rsid w:val="55DFE29E"/>
    <w:rsid w:val="58E16CF4"/>
    <w:rsid w:val="5A113609"/>
    <w:rsid w:val="5FF90DC7"/>
    <w:rsid w:val="6EAD34A8"/>
    <w:rsid w:val="6F17BA1E"/>
    <w:rsid w:val="70A00DEB"/>
    <w:rsid w:val="733A72D5"/>
    <w:rsid w:val="7B220D7A"/>
    <w:rsid w:val="7BE7E318"/>
    <w:rsid w:val="7DEF29F6"/>
    <w:rsid w:val="7DFD8E11"/>
    <w:rsid w:val="7FFCEAD4"/>
    <w:rsid w:val="AFF7F27C"/>
    <w:rsid w:val="BFFF79E4"/>
    <w:rsid w:val="D6BD5963"/>
    <w:rsid w:val="DFF7B016"/>
    <w:rsid w:val="EBAF4FC0"/>
    <w:rsid w:val="EF7F3021"/>
    <w:rsid w:val="EFD19367"/>
    <w:rsid w:val="EFFF5F0A"/>
    <w:rsid w:val="F5FD04A3"/>
    <w:rsid w:val="F96E2D6F"/>
    <w:rsid w:val="FD6F825D"/>
    <w:rsid w:val="FE7FEB01"/>
    <w:rsid w:val="FEBB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正文文字"/>
    <w:basedOn w:val="1"/>
    <w:qFormat/>
    <w:uiPriority w:val="0"/>
    <w:pPr>
      <w:widowControl/>
      <w:ind w:firstLine="4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</Words>
  <Characters>993</Characters>
  <Lines>1</Lines>
  <Paragraphs>1</Paragraphs>
  <TotalTime>9</TotalTime>
  <ScaleCrop>false</ScaleCrop>
  <LinksUpToDate>false</LinksUpToDate>
  <CharactersWithSpaces>1165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2026-03-13T14:18:00Z</dcterms:created>
  <dc:creator>Lenovo</dc:creator>
  <cp:lastModifiedBy>WPS_1647091957</cp:lastModifiedBy>
  <dcterms:modified xsi:type="dcterms:W3CDTF">2026-03-26T10:57:28Z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eyJoZGlkIjoiOGEyYTQ2YWY2MmQxZDE5NThmMDBiZjI1ZWM3NWRlNzgiLCJ1c2VySWQiOiI5MTIxMTUxODgifQ==</vt:lpwstr>
  </property>
  <property fmtid="{D5CDD505-2E9C-101B-9397-08002B2CF9AE}" pid="4" name="ICV">
    <vt:lpwstr>45BA97DDB84B42E2941D92D218246B36_12</vt:lpwstr>
  </property>
</Properties>
</file>