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D47270"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2E371E36">
      <w:pPr>
        <w:jc w:val="center"/>
        <w:rPr>
          <w:b/>
          <w:sz w:val="28"/>
          <w:u w:val="single"/>
        </w:rPr>
      </w:pPr>
    </w:p>
    <w:p w14:paraId="138ECA32">
      <w:pPr>
        <w:jc w:val="center"/>
        <w:rPr>
          <w:b/>
          <w:sz w:val="28"/>
          <w:u w:val="single"/>
        </w:rPr>
      </w:pPr>
    </w:p>
    <w:tbl>
      <w:tblPr>
        <w:tblStyle w:val="3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8"/>
      </w:tblGrid>
      <w:tr w14:paraId="5D464D74">
        <w:trPr>
          <w:jc w:val="center"/>
        </w:trPr>
        <w:tc>
          <w:tcPr>
            <w:tcW w:w="6698" w:type="dxa"/>
          </w:tcPr>
          <w:p w14:paraId="67EFAC10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课程名称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 机器学习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</w:t>
            </w:r>
          </w:p>
          <w:p w14:paraId="70A8E216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项目名称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LDA算法  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</w:t>
            </w:r>
          </w:p>
          <w:p w14:paraId="19F66500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学    院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计算机与软件学院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    </w:t>
            </w:r>
          </w:p>
          <w:p w14:paraId="1C8D5FFC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专    业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人工智能卓越班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    </w:t>
            </w:r>
          </w:p>
          <w:p w14:paraId="76A7F5C0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指导教师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魏军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</w:t>
            </w:r>
          </w:p>
          <w:p w14:paraId="248BB13A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报 告 人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邓瑞霖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</w:t>
            </w: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 学号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2024150040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</w:t>
            </w:r>
          </w:p>
          <w:p w14:paraId="1E1AB5E5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实验时间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2026年4月7日～2026年4月21日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                 </w:t>
            </w:r>
          </w:p>
          <w:p w14:paraId="01C0D209">
            <w:pPr>
              <w:spacing w:before="312" w:beforeLines="100" w:after="312" w:afterLines="100"/>
              <w:rPr>
                <w:rFonts w:hint="eastAsia" w:eastAsiaTheme="minorEastAsia"/>
                <w:b/>
                <w:sz w:val="44"/>
                <w:lang w:val="en-US" w:eastAsia="zh-CN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提交时间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2026年4月8日星期三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    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</w:t>
            </w:r>
          </w:p>
        </w:tc>
      </w:tr>
    </w:tbl>
    <w:p w14:paraId="6D163F18">
      <w:pPr>
        <w:jc w:val="center"/>
        <w:rPr>
          <w:b/>
          <w:sz w:val="28"/>
          <w:u w:val="single"/>
        </w:rPr>
      </w:pPr>
    </w:p>
    <w:p w14:paraId="097F7867">
      <w:pPr>
        <w:jc w:val="center"/>
        <w:rPr>
          <w:b/>
          <w:sz w:val="28"/>
          <w:u w:val="single"/>
        </w:rPr>
      </w:pPr>
    </w:p>
    <w:p w14:paraId="7A3AC47B">
      <w:pPr>
        <w:jc w:val="center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教务处制</w:t>
      </w:r>
    </w:p>
    <w:p w14:paraId="3B90A44F">
      <w:pPr>
        <w:jc w:val="center"/>
        <w:rPr>
          <w:b/>
          <w:sz w:val="28"/>
          <w:u w:val="single"/>
        </w:rPr>
      </w:pPr>
    </w:p>
    <w:p w14:paraId="36FC4DD5">
      <w:pPr>
        <w:jc w:val="center"/>
        <w:rPr>
          <w:b/>
          <w:sz w:val="28"/>
          <w:u w:val="single"/>
        </w:rPr>
      </w:pPr>
    </w:p>
    <w:p w14:paraId="0842A3C6">
      <w:pPr>
        <w:pStyle w:val="2"/>
      </w:pPr>
      <w:r>
        <w:rPr>
          <w:rFonts w:hint="eastAsia"/>
        </w:rPr>
        <w:t>一、实验目的</w:t>
      </w:r>
    </w:p>
    <w:p w14:paraId="50665E37">
      <w:pPr>
        <w:pStyle w:val="8"/>
        <w:numPr>
          <w:ilvl w:val="0"/>
          <w:numId w:val="1"/>
        </w:numPr>
        <w:spacing w:line="360" w:lineRule="auto"/>
        <w:ind w:left="442" w:hanging="442" w:firstLineChars="0"/>
        <w:rPr>
          <w:rFonts w:hint="eastAsia" w:ascii="宋体" w:hAnsi="宋体"/>
          <w:bCs/>
          <w:sz w:val="18"/>
          <w:szCs w:val="18"/>
        </w:rPr>
      </w:pPr>
      <w:r>
        <w:rPr>
          <w:rFonts w:hint="eastAsia" w:ascii="宋体" w:hAnsi="宋体"/>
          <w:bCs/>
          <w:sz w:val="20"/>
          <w:szCs w:val="20"/>
        </w:rPr>
        <w:t>理解线性判别分析（LDA）的核心思想：“投影后类内方差最小，类间方差最大”</w:t>
      </w:r>
    </w:p>
    <w:p w14:paraId="15C8FFD9">
      <w:pPr>
        <w:pStyle w:val="8"/>
        <w:numPr>
          <w:ilvl w:val="0"/>
          <w:numId w:val="1"/>
        </w:numPr>
        <w:spacing w:line="360" w:lineRule="auto"/>
        <w:ind w:left="442" w:hanging="442" w:firstLineChars="0"/>
        <w:rPr>
          <w:rFonts w:hint="eastAsia" w:ascii="宋体" w:hAnsi="宋体"/>
          <w:bCs/>
          <w:sz w:val="18"/>
          <w:szCs w:val="18"/>
        </w:rPr>
      </w:pPr>
      <w:r>
        <w:rPr>
          <w:rFonts w:hint="eastAsia" w:ascii="宋体" w:hAnsi="宋体"/>
          <w:bCs/>
          <w:sz w:val="20"/>
          <w:szCs w:val="20"/>
        </w:rPr>
        <w:t>掌握LDA的数学推导过程（计算类内散度矩阵S</w:t>
      </w:r>
      <w:r>
        <w:rPr>
          <w:rFonts w:hint="eastAsia" w:ascii="宋体" w:hAnsi="宋体"/>
          <w:bCs/>
          <w:sz w:val="20"/>
          <w:szCs w:val="20"/>
          <w:vertAlign w:val="subscript"/>
        </w:rPr>
        <w:t>w</w:t>
      </w:r>
      <w:r>
        <w:rPr>
          <w:rFonts w:hint="eastAsia" w:ascii="宋体" w:hAnsi="宋体"/>
          <w:bCs/>
          <w:sz w:val="20"/>
          <w:szCs w:val="20"/>
        </w:rPr>
        <w:t>，类间散度矩阵S</w:t>
      </w:r>
      <w:r>
        <w:rPr>
          <w:rFonts w:hint="eastAsia" w:ascii="宋体" w:hAnsi="宋体"/>
          <w:bCs/>
          <w:sz w:val="20"/>
          <w:szCs w:val="20"/>
          <w:vertAlign w:val="subscript"/>
        </w:rPr>
        <w:t>b</w:t>
      </w:r>
      <w:r>
        <w:rPr>
          <w:rFonts w:hint="eastAsia" w:ascii="宋体" w:hAnsi="宋体"/>
          <w:bCs/>
          <w:sz w:val="20"/>
          <w:szCs w:val="20"/>
        </w:rPr>
        <w:t>及广义特征值分解）</w:t>
      </w:r>
    </w:p>
    <w:p w14:paraId="2567C48B">
      <w:pPr>
        <w:pStyle w:val="8"/>
        <w:numPr>
          <w:ilvl w:val="0"/>
          <w:numId w:val="1"/>
        </w:numPr>
        <w:spacing w:line="360" w:lineRule="auto"/>
        <w:ind w:left="442" w:hanging="442" w:firstLineChars="0"/>
        <w:rPr>
          <w:rFonts w:hint="eastAsia" w:ascii="宋体" w:hAnsi="宋体"/>
          <w:bCs/>
          <w:sz w:val="18"/>
          <w:szCs w:val="18"/>
        </w:rPr>
      </w:pPr>
      <w:r>
        <w:rPr>
          <w:rFonts w:hint="eastAsia" w:ascii="宋体" w:hAnsi="宋体"/>
          <w:bCs/>
          <w:sz w:val="20"/>
          <w:szCs w:val="20"/>
        </w:rPr>
        <w:t>熟练使用scikit-learn中的LDA算法进行有监督的数据降维与特征提取以及掌握LDA作为分类器的使用方法</w:t>
      </w:r>
    </w:p>
    <w:p w14:paraId="36218168">
      <w:pPr>
        <w:pStyle w:val="8"/>
        <w:numPr>
          <w:ilvl w:val="0"/>
          <w:numId w:val="1"/>
        </w:numPr>
        <w:spacing w:line="360" w:lineRule="auto"/>
        <w:ind w:left="442" w:hanging="442" w:firstLineChars="0"/>
        <w:rPr>
          <w:rFonts w:hint="eastAsia" w:ascii="宋体" w:hAnsi="宋体"/>
          <w:bCs/>
          <w:sz w:val="18"/>
          <w:szCs w:val="18"/>
        </w:rPr>
      </w:pPr>
      <w:r>
        <w:rPr>
          <w:rFonts w:hint="eastAsia" w:ascii="宋体" w:hAnsi="宋体"/>
          <w:bCs/>
          <w:sz w:val="20"/>
          <w:szCs w:val="20"/>
        </w:rPr>
        <w:t>深刻理解并对比PCA（无监督）与LDA（有监督）在降维目标和可视化效果上的本质差异</w:t>
      </w:r>
    </w:p>
    <w:p w14:paraId="758DBD77">
      <w:pPr>
        <w:pStyle w:val="2"/>
      </w:pPr>
      <w:r>
        <w:rPr>
          <w:rFonts w:hint="eastAsia"/>
        </w:rPr>
        <w:t>二、实验内容</w:t>
      </w:r>
    </w:p>
    <w:p w14:paraId="7C80EB45">
      <w:pPr>
        <w:pStyle w:val="9"/>
        <w:numPr>
          <w:ilvl w:val="0"/>
          <w:numId w:val="2"/>
        </w:numPr>
        <w:snapToGrid w:val="0"/>
        <w:spacing w:line="360" w:lineRule="auto"/>
        <w:rPr>
          <w:rFonts w:hint="eastAsia" w:ascii="宋体" w:hAnsi="宋体"/>
          <w:sz w:val="20"/>
          <w:szCs w:val="20"/>
        </w:rPr>
      </w:pPr>
      <w:r>
        <w:rPr>
          <w:rFonts w:hint="eastAsia" w:ascii="宋体" w:hAnsi="宋体"/>
          <w:sz w:val="20"/>
          <w:szCs w:val="20"/>
        </w:rPr>
        <w:t>参考“实验教程.docx”，自己练习并熟悉LDA的使用</w:t>
      </w:r>
    </w:p>
    <w:p w14:paraId="7852AB47">
      <w:pPr>
        <w:pStyle w:val="9"/>
        <w:numPr>
          <w:ilvl w:val="0"/>
          <w:numId w:val="2"/>
        </w:numPr>
        <w:snapToGrid w:val="0"/>
        <w:spacing w:line="360" w:lineRule="auto"/>
        <w:rPr>
          <w:rFonts w:hint="eastAsia" w:ascii="宋体" w:hAnsi="宋体"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完成“实验教程.docx”给出的练习题与思考题，将操作过程和操作结果截图记录下来，写在下面的实验记录中。</w:t>
      </w:r>
    </w:p>
    <w:p w14:paraId="0D657C63">
      <w:pPr>
        <w:rPr>
          <w:b/>
          <w:szCs w:val="21"/>
        </w:rPr>
      </w:pPr>
    </w:p>
    <w:p w14:paraId="76D19C33">
      <w:pPr>
        <w:pStyle w:val="2"/>
      </w:pPr>
      <w:r>
        <w:rPr>
          <w:rFonts w:hint="eastAsia"/>
        </w:rPr>
        <w:t>三、注意事项</w:t>
      </w:r>
    </w:p>
    <w:p w14:paraId="4EA1E816">
      <w:pPr>
        <w:pStyle w:val="8"/>
        <w:numPr>
          <w:ilvl w:val="0"/>
          <w:numId w:val="3"/>
        </w:numPr>
        <w:spacing w:line="360" w:lineRule="auto"/>
        <w:ind w:left="442" w:hanging="442" w:firstLineChars="0"/>
        <w:rPr>
          <w:rFonts w:hint="eastAsia" w:ascii="宋体" w:hAnsi="宋体"/>
          <w:bCs/>
          <w:color w:val="EE0000"/>
          <w:sz w:val="20"/>
          <w:szCs w:val="20"/>
        </w:rPr>
      </w:pPr>
      <w:bookmarkStart w:id="0" w:name="OLE_LINK1"/>
      <w:r>
        <w:rPr>
          <w:rFonts w:hint="eastAsia" w:ascii="宋体" w:hAnsi="宋体"/>
          <w:bCs/>
          <w:sz w:val="20"/>
          <w:szCs w:val="20"/>
        </w:rPr>
        <w:t>独立完成实验内容和报告，禁止抄袭，若发现抄袭，</w:t>
      </w:r>
      <w:r>
        <w:rPr>
          <w:rFonts w:ascii="宋体" w:hAnsi="宋体"/>
          <w:bCs/>
          <w:color w:val="EE0000"/>
          <w:sz w:val="20"/>
          <w:szCs w:val="20"/>
        </w:rPr>
        <w:t>抄袭</w:t>
      </w:r>
      <w:r>
        <w:rPr>
          <w:rFonts w:hint="eastAsia" w:ascii="宋体" w:hAnsi="宋体"/>
          <w:bCs/>
          <w:color w:val="EE0000"/>
          <w:sz w:val="20"/>
          <w:szCs w:val="20"/>
        </w:rPr>
        <w:t>以及被抄袭</w:t>
      </w:r>
      <w:r>
        <w:rPr>
          <w:rFonts w:ascii="宋体" w:hAnsi="宋体"/>
          <w:bCs/>
          <w:color w:val="EE0000"/>
          <w:sz w:val="20"/>
          <w:szCs w:val="20"/>
        </w:rPr>
        <w:t>的</w:t>
      </w:r>
      <w:r>
        <w:rPr>
          <w:rFonts w:hint="eastAsia" w:ascii="宋体" w:hAnsi="宋体"/>
          <w:bCs/>
          <w:color w:val="EE0000"/>
          <w:sz w:val="20"/>
          <w:szCs w:val="20"/>
        </w:rPr>
        <w:t>报告均</w:t>
      </w:r>
      <w:r>
        <w:rPr>
          <w:rFonts w:ascii="宋体" w:hAnsi="宋体"/>
          <w:bCs/>
          <w:color w:val="EE0000"/>
          <w:sz w:val="20"/>
          <w:szCs w:val="20"/>
        </w:rPr>
        <w:t>会被判为零分</w:t>
      </w:r>
    </w:p>
    <w:p w14:paraId="34518356">
      <w:pPr>
        <w:pStyle w:val="8"/>
        <w:numPr>
          <w:ilvl w:val="0"/>
          <w:numId w:val="3"/>
        </w:numPr>
        <w:spacing w:line="360" w:lineRule="auto"/>
        <w:ind w:left="442" w:hanging="442" w:firstLineChars="0"/>
        <w:rPr>
          <w:rFonts w:hint="eastAsia" w:ascii="宋体" w:hAnsi="宋体"/>
          <w:bCs/>
          <w:color w:val="EE0000"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实验报告的总篇幅控制在</w:t>
      </w:r>
      <w:r>
        <w:rPr>
          <w:rFonts w:hint="eastAsia" w:ascii="宋体" w:hAnsi="宋体"/>
          <w:bCs/>
          <w:color w:val="EE0000"/>
          <w:sz w:val="20"/>
          <w:szCs w:val="20"/>
        </w:rPr>
        <w:t>不少于7页</w:t>
      </w:r>
    </w:p>
    <w:p w14:paraId="362850EF">
      <w:pPr>
        <w:pStyle w:val="8"/>
        <w:numPr>
          <w:ilvl w:val="0"/>
          <w:numId w:val="3"/>
        </w:numPr>
        <w:spacing w:line="360" w:lineRule="auto"/>
        <w:ind w:left="442" w:hanging="442" w:firstLineChars="0"/>
        <w:rPr>
          <w:rFonts w:hint="eastAsia" w:ascii="宋体" w:hAnsi="宋体"/>
          <w:bCs/>
          <w:color w:val="EE0000"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将</w:t>
      </w:r>
      <w:r>
        <w:rPr>
          <w:rFonts w:ascii="宋体" w:hAnsi="宋体"/>
          <w:bCs/>
          <w:sz w:val="20"/>
          <w:szCs w:val="20"/>
        </w:rPr>
        <w:t>实验报告</w:t>
      </w:r>
      <w:r>
        <w:rPr>
          <w:rFonts w:hint="eastAsia" w:ascii="宋体" w:hAnsi="宋体"/>
          <w:bCs/>
          <w:sz w:val="20"/>
          <w:szCs w:val="20"/>
        </w:rPr>
        <w:t>和可视化的结果图压缩到一个zip文件中</w:t>
      </w:r>
    </w:p>
    <w:p w14:paraId="43B5C0BC">
      <w:pPr>
        <w:pStyle w:val="8"/>
        <w:numPr>
          <w:ilvl w:val="0"/>
          <w:numId w:val="3"/>
        </w:numPr>
        <w:spacing w:line="360" w:lineRule="auto"/>
        <w:ind w:left="442" w:hanging="442" w:firstLineChars="0"/>
        <w:rPr>
          <w:rFonts w:hint="eastAsia" w:ascii="宋体" w:hAnsi="宋体"/>
          <w:bCs/>
          <w:color w:val="EE0000"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命名规则，压缩包命名“</w:t>
      </w:r>
      <w:r>
        <w:rPr>
          <w:rFonts w:hint="eastAsia" w:ascii="宋体" w:hAnsi="宋体"/>
          <w:bCs/>
          <w:color w:val="EE0000"/>
          <w:sz w:val="20"/>
          <w:szCs w:val="20"/>
        </w:rPr>
        <w:t>学号+姓名+LDA算法.zip</w:t>
      </w:r>
      <w:r>
        <w:rPr>
          <w:rFonts w:ascii="宋体" w:hAnsi="宋体"/>
          <w:bCs/>
          <w:sz w:val="20"/>
          <w:szCs w:val="20"/>
        </w:rPr>
        <w:t>”</w:t>
      </w:r>
      <w:r>
        <w:rPr>
          <w:rFonts w:hint="eastAsia" w:ascii="宋体" w:hAnsi="宋体"/>
          <w:bCs/>
          <w:sz w:val="20"/>
          <w:szCs w:val="20"/>
        </w:rPr>
        <w:t>，压缩包内每个文档命名如下，方便老师知道每个结果图分别对应哪一部分：</w:t>
      </w:r>
      <w:r>
        <w:rPr>
          <w:rFonts w:ascii="宋体" w:hAnsi="宋体"/>
          <w:bCs/>
          <w:sz w:val="20"/>
          <w:szCs w:val="20"/>
        </w:rPr>
        <w:br w:type="textWrapping"/>
      </w:r>
      <w:r>
        <w:rPr>
          <w:rFonts w:hint="eastAsia" w:ascii="宋体" w:hAnsi="宋体"/>
          <w:bCs/>
          <w:sz w:val="20"/>
          <w:szCs w:val="20"/>
        </w:rPr>
        <w:t xml:space="preserve">“学号+姓名+实验报告.docx”, </w:t>
      </w:r>
      <w:r>
        <w:rPr>
          <w:rFonts w:ascii="宋体" w:hAnsi="宋体"/>
          <w:bCs/>
          <w:sz w:val="20"/>
          <w:szCs w:val="20"/>
        </w:rPr>
        <w:br w:type="textWrapping"/>
      </w:r>
      <w:r>
        <w:rPr>
          <w:rFonts w:hint="eastAsia" w:ascii="宋体" w:hAnsi="宋体"/>
          <w:bCs/>
          <w:sz w:val="20"/>
          <w:szCs w:val="20"/>
        </w:rPr>
        <w:t>“学号+姓名+【题目简写</w:t>
      </w:r>
      <w:bookmarkStart w:id="3" w:name="_GoBack"/>
      <w:bookmarkEnd w:id="3"/>
      <w:r>
        <w:rPr>
          <w:rFonts w:hint="eastAsia" w:ascii="宋体" w:hAnsi="宋体"/>
          <w:bCs/>
          <w:sz w:val="20"/>
          <w:szCs w:val="20"/>
        </w:rPr>
        <w:t>】.png”，</w:t>
      </w:r>
      <w:r>
        <w:rPr>
          <w:rFonts w:ascii="宋体" w:hAnsi="宋体"/>
          <w:bCs/>
          <w:sz w:val="20"/>
          <w:szCs w:val="20"/>
        </w:rPr>
        <w:br w:type="textWrapping"/>
      </w:r>
      <w:r>
        <w:rPr>
          <w:rFonts w:hint="eastAsia" w:ascii="宋体" w:hAnsi="宋体"/>
          <w:bCs/>
          <w:sz w:val="20"/>
          <w:szCs w:val="20"/>
        </w:rPr>
        <w:t xml:space="preserve">          </w:t>
      </w:r>
      <w:r>
        <w:rPr>
          <w:rFonts w:ascii="宋体" w:hAnsi="宋体"/>
          <w:bCs/>
          <w:sz w:val="20"/>
          <w:szCs w:val="20"/>
        </w:rPr>
        <w:t>…</w:t>
      </w:r>
      <w:r>
        <w:rPr>
          <w:rFonts w:ascii="宋体" w:hAnsi="宋体"/>
          <w:bCs/>
          <w:sz w:val="20"/>
          <w:szCs w:val="20"/>
        </w:rPr>
        <w:br w:type="textWrapping"/>
      </w:r>
      <w:r>
        <w:rPr>
          <w:rFonts w:hint="eastAsia" w:ascii="宋体" w:hAnsi="宋体"/>
          <w:bCs/>
          <w:sz w:val="20"/>
          <w:szCs w:val="20"/>
        </w:rPr>
        <w:t>“学号+姓名+【题目简写】.png”</w:t>
      </w:r>
    </w:p>
    <w:p w14:paraId="7C838E8B">
      <w:pPr>
        <w:pStyle w:val="8"/>
        <w:numPr>
          <w:ilvl w:val="0"/>
          <w:numId w:val="3"/>
        </w:numPr>
        <w:spacing w:line="360" w:lineRule="auto"/>
        <w:ind w:left="442" w:hanging="442" w:firstLineChars="0"/>
        <w:rPr>
          <w:rFonts w:hint="eastAsia" w:ascii="宋体" w:hAnsi="宋体"/>
          <w:bCs/>
          <w:color w:val="EE0000"/>
          <w:sz w:val="20"/>
          <w:szCs w:val="20"/>
        </w:rPr>
      </w:pPr>
      <w:r>
        <w:rPr>
          <w:rFonts w:hint="eastAsia" w:ascii="宋体" w:hAnsi="宋体"/>
          <w:bCs/>
          <w:sz w:val="20"/>
          <w:szCs w:val="20"/>
        </w:rPr>
        <w:t>本次实验共</w:t>
      </w:r>
      <w:r>
        <w:rPr>
          <w:rFonts w:hint="eastAsia" w:ascii="宋体" w:hAnsi="宋体"/>
          <w:bCs/>
          <w:color w:val="EE0000"/>
          <w:sz w:val="20"/>
          <w:szCs w:val="20"/>
        </w:rPr>
        <w:t>4个学时</w:t>
      </w:r>
      <w:r>
        <w:rPr>
          <w:rFonts w:hint="eastAsia" w:ascii="宋体" w:hAnsi="宋体"/>
          <w:bCs/>
          <w:sz w:val="20"/>
          <w:szCs w:val="20"/>
        </w:rPr>
        <w:t>，分两次实验课完成，实验报告提交</w:t>
      </w:r>
      <w:r>
        <w:rPr>
          <w:rFonts w:ascii="宋体" w:hAnsi="宋体"/>
          <w:bCs/>
          <w:sz w:val="20"/>
          <w:szCs w:val="20"/>
        </w:rPr>
        <w:t>截止日期</w:t>
      </w:r>
      <w:r>
        <w:rPr>
          <w:rFonts w:hint="eastAsia" w:ascii="宋体" w:hAnsi="宋体"/>
          <w:bCs/>
          <w:sz w:val="20"/>
          <w:szCs w:val="20"/>
        </w:rPr>
        <w:t>：</w:t>
      </w:r>
      <w:r>
        <w:rPr>
          <w:rFonts w:hint="eastAsia" w:ascii="宋体" w:hAnsi="宋体"/>
          <w:bCs/>
          <w:color w:val="EE0000"/>
          <w:sz w:val="20"/>
          <w:szCs w:val="20"/>
        </w:rPr>
        <w:t>2026年04</w:t>
      </w:r>
      <w:r>
        <w:rPr>
          <w:rFonts w:ascii="宋体" w:hAnsi="宋体"/>
          <w:bCs/>
          <w:color w:val="EE0000"/>
          <w:sz w:val="20"/>
          <w:szCs w:val="20"/>
        </w:rPr>
        <w:t>月</w:t>
      </w:r>
      <w:r>
        <w:rPr>
          <w:rFonts w:hint="eastAsia" w:ascii="宋体" w:hAnsi="宋体"/>
          <w:bCs/>
          <w:color w:val="EE0000"/>
          <w:sz w:val="20"/>
          <w:szCs w:val="20"/>
        </w:rPr>
        <w:t>21</w:t>
      </w:r>
      <w:r>
        <w:rPr>
          <w:rFonts w:ascii="宋体" w:hAnsi="宋体"/>
          <w:bCs/>
          <w:color w:val="EE0000"/>
          <w:sz w:val="20"/>
          <w:szCs w:val="20"/>
        </w:rPr>
        <w:t>日</w:t>
      </w:r>
      <w:r>
        <w:rPr>
          <w:rFonts w:hint="eastAsia" w:ascii="宋体" w:hAnsi="宋体"/>
          <w:bCs/>
          <w:color w:val="EE0000"/>
          <w:sz w:val="20"/>
          <w:szCs w:val="20"/>
        </w:rPr>
        <w:t>晚上23:59</w:t>
      </w:r>
      <w:bookmarkEnd w:id="0"/>
    </w:p>
    <w:p w14:paraId="10504508">
      <w:pPr>
        <w:pStyle w:val="2"/>
        <w:rPr>
          <w:bCs w:val="0"/>
          <w:color w:val="FF0000"/>
          <w:kern w:val="2"/>
          <w:sz w:val="21"/>
          <w:szCs w:val="21"/>
        </w:rPr>
      </w:pPr>
      <w:r>
        <w:rPr>
          <w:rFonts w:hint="eastAsia"/>
        </w:rPr>
        <w:t>四、实验记录</w:t>
      </w:r>
    </w:p>
    <w:p w14:paraId="67398147">
      <w:pPr>
        <w:rPr>
          <w:sz w:val="18"/>
          <w:szCs w:val="21"/>
        </w:rPr>
      </w:pPr>
    </w:p>
    <w:p w14:paraId="2ED56811">
      <w:pPr>
        <w:rPr>
          <w:sz w:val="18"/>
          <w:szCs w:val="21"/>
        </w:rPr>
      </w:pPr>
    </w:p>
    <w:p w14:paraId="0B53601D">
      <w:pPr>
        <w:rPr>
          <w:sz w:val="21"/>
          <w:szCs w:val="21"/>
        </w:rPr>
      </w:pPr>
    </w:p>
    <w:p w14:paraId="236E072B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  <w:lang w:val="en-US"/>
        </w:rPr>
        <w:t>4.1 基于Numpy手写LDA分类与降维</w:t>
      </w:r>
    </w:p>
    <w:p w14:paraId="1E2F4117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4.1.1 手写LDA分类（多特征多分类任务）</w:t>
      </w:r>
    </w:p>
    <w:p w14:paraId="0573DA47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生成测试数据并划分数据集：</w:t>
      </w:r>
    </w:p>
    <w:p w14:paraId="32783758">
      <w:pPr>
        <w:rPr>
          <w:rFonts w:hint="default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5039995" cy="323215"/>
            <wp:effectExtent l="0" t="0" r="14605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2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D307E">
      <w:pPr>
        <w:rPr>
          <w:rFonts w:hint="eastAsia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/>
        </w:rPr>
        <w:t>计算均值与先验概率</w:t>
      </w:r>
      <w:r>
        <w:rPr>
          <w:rFonts w:hint="eastAsia"/>
          <w:sz w:val="21"/>
          <w:szCs w:val="21"/>
          <w:lang w:val="en-US" w:eastAsia="zh-CN"/>
        </w:rPr>
        <w:t>：</w:t>
      </w:r>
    </w:p>
    <w:p w14:paraId="0A2667E0">
      <w:pPr>
        <w:rPr>
          <w:rFonts w:hint="eastAsia" w:hAnsi="Cambria Math"/>
          <w:i w:val="0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分别计算训练集中3个类别样本在各特征上的均值向量</w:t>
      </w:r>
      <m:oMath>
        <m:sSub>
          <m:sSubPr>
            <m:ctrlPr>
              <w:rPr>
                <w:rFonts w:ascii="Cambria Math" w:hAnsi="Cambria Math"/>
                <w:i/>
                <w:sz w:val="21"/>
                <w:szCs w:val="21"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  <w:lang w:val="en-US"/>
              </w:rPr>
              <m:t>μ</m:t>
            </m:r>
            <m:ctrlPr>
              <w:rPr>
                <w:rFonts w:ascii="Cambria Math" w:hAnsi="Cambria Math"/>
                <w:i/>
                <w:sz w:val="21"/>
                <w:szCs w:val="21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szCs w:val="21"/>
                <w:lang w:val="en-US" w:eastAsia="zh-CN"/>
              </w:rPr>
              <m:t>0</m:t>
            </m:r>
            <m:ctrlPr>
              <w:rPr>
                <w:rFonts w:ascii="Cambria Math" w:hAnsi="Cambria Math"/>
                <w:i/>
                <w:sz w:val="21"/>
                <w:szCs w:val="21"/>
                <w:lang w:val="en-US"/>
              </w:rPr>
            </m:ctrlPr>
          </m:sub>
        </m:sSub>
      </m:oMath>
      <w:r>
        <w:rPr>
          <w:rFonts w:hint="eastAsia" w:hAnsi="Cambria Math"/>
          <w:i w:val="0"/>
          <w:sz w:val="21"/>
          <w:szCs w:val="21"/>
          <w:lang w:val="en-US" w:eastAsia="zh-CN"/>
        </w:rPr>
        <w:t>，</w:t>
      </w:r>
      <m:oMath>
        <m:sSub>
          <m:sSubPr>
            <m:ctrlPr>
              <w:rPr>
                <w:rFonts w:ascii="Cambria Math" w:hAnsi="Cambria Math"/>
                <w:i/>
                <w:sz w:val="21"/>
                <w:szCs w:val="21"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  <w:lang w:val="en-US"/>
              </w:rPr>
              <m:t>μ</m:t>
            </m:r>
            <m:ctrlPr>
              <w:rPr>
                <w:rFonts w:ascii="Cambria Math" w:hAnsi="Cambria Math"/>
                <w:i/>
                <w:sz w:val="21"/>
                <w:szCs w:val="21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szCs w:val="21"/>
                <w:lang w:val="en-US" w:eastAsia="zh-CN"/>
              </w:rPr>
              <m:t>1</m:t>
            </m:r>
            <m:ctrlPr>
              <w:rPr>
                <w:rFonts w:ascii="Cambria Math" w:hAnsi="Cambria Math"/>
                <w:i/>
                <w:sz w:val="21"/>
                <w:szCs w:val="21"/>
                <w:lang w:val="en-US"/>
              </w:rPr>
            </m:ctrlPr>
          </m:sub>
        </m:sSub>
      </m:oMath>
      <w:r>
        <w:rPr>
          <w:rFonts w:hint="eastAsia" w:hAnsi="Cambria Math"/>
          <w:i w:val="0"/>
          <w:sz w:val="21"/>
          <w:szCs w:val="21"/>
          <w:lang w:val="en-US" w:eastAsia="zh-CN"/>
        </w:rPr>
        <w:t>，</w:t>
      </w:r>
      <m:oMath>
        <m:sSub>
          <m:sSubPr>
            <m:ctrlPr>
              <w:rPr>
                <w:rFonts w:ascii="Cambria Math" w:hAnsi="Cambria Math"/>
                <w:i/>
                <w:sz w:val="21"/>
                <w:szCs w:val="21"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  <w:lang w:val="en-US"/>
              </w:rPr>
              <m:t>μ</m:t>
            </m:r>
            <m:ctrlPr>
              <w:rPr>
                <w:rFonts w:ascii="Cambria Math" w:hAnsi="Cambria Math"/>
                <w:i/>
                <w:sz w:val="21"/>
                <w:szCs w:val="21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szCs w:val="21"/>
                <w:lang w:val="en-US" w:eastAsia="zh-CN"/>
              </w:rPr>
              <m:t>2</m:t>
            </m:r>
            <m:ctrlPr>
              <w:rPr>
                <w:rFonts w:ascii="Cambria Math" w:hAnsi="Cambria Math"/>
                <w:i/>
                <w:sz w:val="21"/>
                <w:szCs w:val="21"/>
                <w:lang w:val="en-US"/>
              </w:rPr>
            </m:ctrlPr>
          </m:sub>
        </m:sSub>
      </m:oMath>
    </w:p>
    <w:p w14:paraId="46512CB7">
      <w:r>
        <w:drawing>
          <wp:inline distT="0" distB="0" distL="114300" distR="114300">
            <wp:extent cx="5039995" cy="1055370"/>
            <wp:effectExtent l="0" t="0" r="1460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05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29A20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代码输出结果为：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A36E562">
        <w:tc>
          <w:tcPr>
            <w:tcW w:w="8522" w:type="dxa"/>
          </w:tcPr>
          <w:p w14:paraId="63F01F0F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3个类别样本在各特征上的均值向量: [ 1.02201886  1.02020756  0.09373605  0.02640713 -1.01031544] [-1.04500174 -0.12655648 -0.0320826   1.06987899  0.12166527] [ 6.75237803e-02  1.02542983e-03 -8.38520432e-01  9.88165346e-01</w:t>
            </w:r>
          </w:p>
          <w:p w14:paraId="1A8C879E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-1.03393796e+00]</w:t>
            </w:r>
          </w:p>
        </w:tc>
      </w:tr>
    </w:tbl>
    <w:p w14:paraId="46C18448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计算训练集中所有样本的总体均值以及每个类别的先验概率，即判断每个类别的占比数</w:t>
      </w:r>
    </w:p>
    <w:p w14:paraId="6CEE1796">
      <w:r>
        <w:drawing>
          <wp:inline distT="0" distB="0" distL="114300" distR="114300">
            <wp:extent cx="5039995" cy="2047240"/>
            <wp:effectExtent l="0" t="0" r="14605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548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代码输出结果：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624621C5">
        <w:tc>
          <w:tcPr>
            <w:tcW w:w="8522" w:type="dxa"/>
          </w:tcPr>
          <w:p w14:paraId="3367A0F8"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训练集中所有样本的总体均值: [ 0.00781995  0.28983864 -0.2673965   0.70276371 -0.64202257]</w:t>
            </w:r>
          </w:p>
          <w:p w14:paraId="337AFE1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3个类别在训练集中的先验概率: 0.325 0.3325 0.3425</w:t>
            </w:r>
          </w:p>
        </w:tc>
      </w:tr>
    </w:tbl>
    <w:p w14:paraId="1B55AC8F">
      <w:pPr>
        <w:rPr>
          <w:rFonts w:hint="eastAsia"/>
          <w:sz w:val="21"/>
          <w:szCs w:val="21"/>
          <w:lang w:val="en-US" w:eastAsia="zh-CN"/>
        </w:rPr>
      </w:pPr>
    </w:p>
    <w:p w14:paraId="06482B59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计算散度矩阵：</w:t>
      </w:r>
    </w:p>
    <w:p w14:paraId="52E4A761">
      <w:pPr>
        <w:rPr>
          <w:rFonts w:hint="default" w:hAnsi="DejaVu Math TeX Gyre"/>
          <w:i w:val="0"/>
          <w:sz w:val="21"/>
          <w:szCs w:val="21"/>
        </w:rPr>
      </w:pPr>
      <w:r>
        <w:rPr>
          <w:rFonts w:hint="eastAsia" w:hAnsi="DejaVu Math TeX Gyre"/>
          <w:i w:val="0"/>
          <w:sz w:val="21"/>
          <w:szCs w:val="21"/>
          <w:lang w:val="en-US" w:eastAsia="zh-CN"/>
        </w:rPr>
        <w:t>类内散度矩阵：</w:t>
      </w:r>
      <m:oMath>
        <m:sSub>
          <m:sSubP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S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w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  <w:szCs w:val="21"/>
          </w:rPr>
          <m:t>=</m:t>
        </m:r>
        <m:nary>
          <m:naryPr>
            <m:chr m:val="∑"/>
            <m:limLoc m:val="undOvr"/>
            <m:ctrlPr>
              <w:rPr>
                <w:rFonts w:hint="default" w:ascii="DejaVu Math TeX Gyre" w:hAnsi="DejaVu Math TeX Gyre"/>
                <w:i/>
                <w:sz w:val="21"/>
                <w:szCs w:val="21"/>
              </w:rPr>
            </m:ctrlPr>
          </m:naryPr>
          <m:sub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k=1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sub>
          <m:sup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C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sup>
          <m:e>
            <m:nary>
              <m:naryPr>
                <m:chr m:val="∑"/>
                <m:limLoc m:val="undOvr"/>
                <m:supHide m:val="1"/>
                <m:ctrlPr>
                  <w:rPr>
                    <w:rFonts w:hint="default" w:ascii="DejaVu Math TeX Gyre" w:hAnsi="DejaVu Math TeX Gyre"/>
                    <w:i/>
                    <w:sz w:val="21"/>
                    <w:szCs w:val="21"/>
                  </w:rPr>
                </m:ctrlPr>
              </m:naryPr>
              <m:sub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  <w:szCs w:val="21"/>
                      </w:rPr>
                      <m:t>x</m:t>
                    </m:r>
                    <m:ctrlPr>
                      <w:rPr>
                        <w:rFonts w:ascii="DejaVu Math TeX Gyre" w:hAnsi="DejaVu Math TeX Gyre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  <w:szCs w:val="21"/>
                      </w:rPr>
                      <m:t>i</m:t>
                    </m:r>
                    <m:ctrlPr>
                      <w:rPr>
                        <w:rFonts w:ascii="DejaVu Math TeX Gyre" w:hAnsi="DejaVu Math TeX Gyre"/>
                        <w:sz w:val="21"/>
                        <w:szCs w:val="21"/>
                      </w:rPr>
                    </m:ctrlPr>
                  </m:sub>
                </m:sSub>
                <m:r>
                  <m:rPr/>
                  <w:rPr>
                    <w:rFonts w:hint="default" w:ascii="DejaVu Math TeX Gyre" w:hAnsi="DejaVu Math TeX Gyre"/>
                    <w:sz w:val="21"/>
                    <w:szCs w:val="21"/>
                  </w:rPr>
                  <m:t>∈D</m:t>
                </m:r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sub>
              <m:sup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sup>
              <m:e>
                <m:f>
                  <m:fPr>
                    <m:ctrlPr>
                      <w:rPr>
                        <w:rFonts w:hint="default" w:ascii="DejaVu Math TeX Gyre" w:hAnsi="DejaVu Math TeX Gyre"/>
                        <w:i/>
                        <w:sz w:val="21"/>
                        <w:szCs w:val="21"/>
                      </w:rPr>
                    </m:ctrlPr>
                  </m:fPr>
                  <m:num>
                    <m:r>
                      <m:rPr/>
                      <w:rPr>
                        <w:rFonts w:hint="default" w:ascii="DejaVu Math TeX Gyre" w:hAnsi="DejaVu Math TeX Gyre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  <w:szCs w:val="2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DejaVu Math TeX Gyre" w:hAnsi="DejaVu Math TeX Gyre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szCs w:val="21"/>
                          </w:rPr>
                          <m:t>n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/>
                          <w:rPr>
                            <w:rFonts w:hint="default" w:ascii="DejaVu Math TeX Gyre" w:hAnsi="DejaVu Math TeX Gyre"/>
                            <w:sz w:val="21"/>
                            <w:szCs w:val="21"/>
                          </w:rPr>
                          <m:t>k</m:t>
                        </m:r>
                        <m:ctrlPr>
                          <w:rPr>
                            <w:rFonts w:ascii="DejaVu Math TeX Gyre" w:hAnsi="DejaVu Math TeX Gyre"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hint="default" w:ascii="DejaVu Math TeX Gyre" w:hAnsi="DejaVu Math TeX Gyre"/>
                        <w:sz w:val="21"/>
                        <w:szCs w:val="21"/>
                      </w:rPr>
                    </m:ctrlPr>
                  </m:den>
                </m:f>
                <m:ctrlPr>
                  <w:rPr>
                    <w:rFonts w:hint="default" w:ascii="DejaVu Math TeX Gyre" w:hAnsi="DejaVu Math TeX Gyre"/>
                    <w:i/>
                    <w:sz w:val="21"/>
                    <w:szCs w:val="21"/>
                  </w:rPr>
                </m:ctrlPr>
              </m:e>
            </m:nary>
            <m:ctrlPr>
              <w:rPr>
                <w:rFonts w:hint="default" w:ascii="DejaVu Math TeX Gyre" w:hAnsi="DejaVu Math TeX Gyre"/>
                <w:i/>
                <w:sz w:val="21"/>
                <w:szCs w:val="21"/>
              </w:rPr>
            </m:ctrlPr>
          </m:e>
        </m:nary>
        <m:r>
          <m:rPr/>
          <w:rPr>
            <w:rFonts w:hint="default" w:ascii="DejaVu Math TeX Gyre" w:hAnsi="DejaVu Math TeX Gyre"/>
            <w:sz w:val="21"/>
            <w:szCs w:val="21"/>
          </w:rPr>
          <m:t>(</m:t>
        </m:r>
        <m:sSub>
          <m:sSubP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x</m:t>
            </m:r>
            <m:ctrlPr>
              <w:rPr>
                <w:rFonts w:hint="default" w:ascii="DejaVu Math TeX Gyre" w:hAnsi="DejaVu Math TeX Gyre"/>
                <w:i/>
                <w:sz w:val="21"/>
                <w:szCs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i</m:t>
            </m:r>
            <m:ctrlPr>
              <w:rPr>
                <w:rFonts w:hint="default" w:ascii="DejaVu Math TeX Gyre" w:hAnsi="DejaVu Math TeX Gyre"/>
                <w:i/>
                <w:sz w:val="21"/>
                <w:szCs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  <w:szCs w:val="21"/>
          </w:rPr>
          <m:t>−</m:t>
        </m:r>
        <m:sSub>
          <m:sSubP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μ</m:t>
            </m:r>
            <m:ctrlPr>
              <w:rPr>
                <w:rFonts w:hint="default" w:ascii="DejaVu Math TeX Gyre" w:hAnsi="DejaVu Math TeX Gyre"/>
                <w:i/>
                <w:sz w:val="21"/>
                <w:szCs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k</m:t>
            </m:r>
            <m:ctrlPr>
              <w:rPr>
                <w:rFonts w:hint="default" w:ascii="DejaVu Math TeX Gyre" w:hAnsi="DejaVu Math TeX Gyre"/>
                <w:i/>
                <w:sz w:val="21"/>
                <w:szCs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  <w:szCs w:val="21"/>
          </w:rPr>
          <m:t>)(</m:t>
        </m:r>
        <m:sSub>
          <m:sSubP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x</m:t>
            </m:r>
            <m:ctrlPr>
              <w:rPr>
                <w:rFonts w:hint="default" w:ascii="DejaVu Math TeX Gyre" w:hAnsi="DejaVu Math TeX Gyre"/>
                <w:i/>
                <w:sz w:val="21"/>
                <w:szCs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i</m:t>
            </m:r>
            <m:ctrlPr>
              <w:rPr>
                <w:rFonts w:hint="default" w:ascii="DejaVu Math TeX Gyre" w:hAnsi="DejaVu Math TeX Gyre"/>
                <w:i/>
                <w:sz w:val="21"/>
                <w:szCs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  <w:szCs w:val="21"/>
          </w:rPr>
          <m:t>−</m:t>
        </m:r>
        <m:sSub>
          <m:sSubP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μ</m:t>
            </m:r>
            <m:ctrlPr>
              <w:rPr>
                <w:rFonts w:hint="default" w:ascii="DejaVu Math TeX Gyre" w:hAnsi="DejaVu Math TeX Gyre"/>
                <w:i/>
                <w:sz w:val="21"/>
                <w:szCs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k</m:t>
            </m:r>
            <m:ctrlPr>
              <w:rPr>
                <w:rFonts w:hint="default" w:ascii="DejaVu Math TeX Gyre" w:hAnsi="DejaVu Math TeX Gyre"/>
                <w:i/>
                <w:sz w:val="21"/>
                <w:szCs w:val="21"/>
              </w:rPr>
            </m:ctrlPr>
          </m:sub>
        </m:sSub>
        <m:sSup>
          <m:sSupP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SupPr>
          <m:e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)</m:t>
            </m:r>
            <m:ctrlPr>
              <w:rPr>
                <w:rFonts w:hint="default" w:ascii="DejaVu Math TeX Gyre" w:hAnsi="DejaVu Math TeX Gyre"/>
                <w:i/>
                <w:sz w:val="21"/>
                <w:szCs w:val="21"/>
              </w:rPr>
            </m:ctrlPr>
          </m:e>
          <m:sup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T</m:t>
            </m:r>
            <m:ctrlPr>
              <w:rPr>
                <w:rFonts w:hint="default" w:ascii="DejaVu Math TeX Gyre" w:hAnsi="DejaVu Math TeX Gyre"/>
                <w:i/>
                <w:sz w:val="21"/>
                <w:szCs w:val="21"/>
              </w:rPr>
            </m:ctrlPr>
          </m:sup>
        </m:sSup>
      </m:oMath>
    </w:p>
    <w:p w14:paraId="2B869293">
      <w:pPr>
        <w:rPr>
          <w:rFonts w:hint="default"/>
          <w:sz w:val="21"/>
          <w:szCs w:val="21"/>
          <w:lang w:val="en-US" w:eastAsia="zh-CN"/>
        </w:rPr>
      </w:pPr>
      <w:r>
        <w:rPr>
          <w:rFonts w:hint="eastAsia" w:hAnsi="DejaVu Math TeX Gyre"/>
          <w:i w:val="0"/>
          <w:sz w:val="21"/>
          <w:szCs w:val="21"/>
          <w:lang w:val="en-US" w:eastAsia="zh-CN"/>
        </w:rPr>
        <w:t>类间散度矩阵：</w:t>
      </w:r>
      <m:oMath>
        <m:sSub>
          <m:sSubP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S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b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  <w:szCs w:val="21"/>
          </w:rPr>
          <m:t>=</m:t>
        </m:r>
        <m:nary>
          <m:naryPr>
            <m:chr m:val="∑"/>
            <m:limLoc m:val="undOvr"/>
            <m:ctrlPr>
              <w:rPr>
                <w:rFonts w:hint="default" w:ascii="DejaVu Math TeX Gyre" w:hAnsi="DejaVu Math TeX Gyre"/>
                <w:i/>
                <w:sz w:val="21"/>
                <w:szCs w:val="21"/>
              </w:rPr>
            </m:ctrlPr>
          </m:naryPr>
          <m:sub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k=1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sub>
          <m:sup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C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sup>
          <m:e>
            <m:sSub>
              <m:sSubPr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/>
                    <w:sz w:val="21"/>
                    <w:szCs w:val="21"/>
                  </w:rPr>
                  <m:t>N</m:t>
                </m:r>
                <m:ctrlPr>
                  <w:rPr>
                    <w:rFonts w:ascii="DejaVu Math TeX Gyre" w:hAnsi="DejaVu Math TeX Gyre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sz w:val="21"/>
                    <w:szCs w:val="21"/>
                  </w:rPr>
                  <m:t>k</m:t>
                </m:r>
                <m:ctrlPr>
                  <w:rPr>
                    <w:rFonts w:ascii="DejaVu Math TeX Gyre" w:hAnsi="DejaVu Math TeX Gyre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e>
        </m:nary>
        <m:r>
          <m:rPr/>
          <w:rPr>
            <w:rFonts w:hint="default" w:ascii="DejaVu Math TeX Gyre" w:hAnsi="DejaVu Math TeX Gyre"/>
            <w:sz w:val="21"/>
            <w:szCs w:val="21"/>
          </w:rPr>
          <m:t>(</m:t>
        </m:r>
        <m:sSub>
          <m:sSubP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μ</m:t>
            </m: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k</m:t>
            </m: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  <w:szCs w:val="21"/>
          </w:rPr>
          <m:t>−μ)(</m:t>
        </m:r>
        <m:sSub>
          <m:sSubP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μ</m:t>
            </m: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k</m:t>
            </m: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  <w:szCs w:val="21"/>
          </w:rPr>
          <m:t>−μ</m:t>
        </m:r>
        <m:sSup>
          <m:sSupP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SupPr>
          <m:e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)</m:t>
            </m: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e>
          <m:sup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T</m:t>
            </m: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up>
        </m:sSup>
      </m:oMath>
    </w:p>
    <w:p w14:paraId="34F8F24F">
      <w:pPr>
        <w:rPr>
          <w:sz w:val="18"/>
          <w:szCs w:val="21"/>
        </w:rPr>
      </w:pPr>
      <w:r>
        <w:drawing>
          <wp:inline distT="0" distB="0" distL="114300" distR="114300">
            <wp:extent cx="5039995" cy="2259330"/>
            <wp:effectExtent l="0" t="0" r="14605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25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42F55F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计算投影与决策函数：</w:t>
      </w:r>
    </w:p>
    <w:p w14:paraId="595864E1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(1)使用 np.linalg.inv 和 np.linalg.eig 求解矩阵</w:t>
      </w:r>
      <m:oMath>
        <m:sSubSup>
          <m:sSubSupP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SubSupPr>
          <m:e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S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w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sub>
          <m:sup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−1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sup>
        </m:sSubSup>
      </m:oMath>
      <w:r>
        <w:rPr>
          <w:rFonts w:hint="default"/>
          <w:sz w:val="21"/>
          <w:szCs w:val="21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S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b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sub>
        </m:sSub>
      </m:oMath>
      <w:r>
        <w:rPr>
          <w:rFonts w:hint="default"/>
          <w:sz w:val="21"/>
          <w:szCs w:val="21"/>
          <w:lang w:val="en-US" w:eastAsia="zh-CN"/>
        </w:rPr>
        <w:t xml:space="preserve">的特征值和特征向量。 </w:t>
      </w:r>
    </w:p>
    <w:p w14:paraId="67562A7C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(2)提取前 k 个最大特征值对应的特征向量（对于3分类问题， k 最大为2），组成投影矩阵W （形状为 5 × 2）。 </w:t>
      </w:r>
    </w:p>
    <w:p w14:paraId="580B0E45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(3)将训练集各类的均值向量乘以矩阵 W，得到降维投影后的各类中心点坐标。</w:t>
      </w:r>
    </w:p>
    <w:p w14:paraId="42B6C398">
      <w:r>
        <w:drawing>
          <wp:inline distT="0" distB="0" distL="114300" distR="114300">
            <wp:extent cx="5039995" cy="3234055"/>
            <wp:effectExtent l="0" t="0" r="14605" b="171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463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代码输出结果：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26E9C567">
        <w:tc>
          <w:tcPr>
            <w:tcW w:w="8522" w:type="dxa"/>
          </w:tcPr>
          <w:p w14:paraId="220C3D03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3个类别均值向量在投影空间的坐标: [1.49679076 0.39572928] [-1.2331458   0.44431809] [0.20137236 1.55761607]</w:t>
            </w:r>
          </w:p>
        </w:tc>
      </w:tr>
    </w:tbl>
    <w:p w14:paraId="47AE5A19">
      <w:pPr>
        <w:rPr>
          <w:rFonts w:hint="default"/>
          <w:lang w:val="en-US" w:eastAsia="zh-CN"/>
        </w:rPr>
      </w:pPr>
    </w:p>
    <w:p w14:paraId="661AE1BE">
      <w:pPr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进行测试集预测与评估：</w:t>
      </w:r>
    </w:p>
    <w:p w14:paraId="39D78642">
      <w:pPr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(1)将测试集 X_test 乘以投影矩阵 W ，映射到同样的2维低维空间中。</w:t>
      </w:r>
    </w:p>
    <w:p w14:paraId="75BBB58B">
      <w:pPr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 xml:space="preserve">(2)分类决策规则： 计算测试集中每个样本的投影坐标到3个投影中心点的欧氏距离，将其归类为距离最近的那个类别。 </w:t>
      </w:r>
    </w:p>
    <w:p w14:paraId="73E62A8D">
      <w:pPr>
        <w:rPr>
          <w:rFonts w:hint="default"/>
          <w:sz w:val="21"/>
          <w:szCs w:val="21"/>
          <w:lang w:val="en-US"/>
        </w:rPr>
      </w:pPr>
      <w:r>
        <w:rPr>
          <w:rFonts w:hint="default"/>
          <w:sz w:val="21"/>
          <w:szCs w:val="21"/>
          <w:lang w:val="en-US"/>
        </w:rPr>
        <w:t>(3)将预测结果与 y_test 进行比对，计算并打印手写 LDA 分类器的准确率.</w:t>
      </w:r>
    </w:p>
    <w:p w14:paraId="6F4BB6B2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其中，欧式距离公式：</w:t>
      </w:r>
    </w:p>
    <w:p w14:paraId="7D7E4F4A">
      <w:pPr>
        <w:rPr>
          <w:rFonts w:hint="default"/>
          <w:sz w:val="21"/>
          <w:szCs w:val="21"/>
          <w:lang w:val="en-US" w:eastAsia="zh-CN"/>
        </w:rPr>
      </w:pPr>
      <m:oMathPara>
        <m:oMath>
          <m:r>
            <m:rPr/>
            <w:rPr>
              <w:rFonts w:hint="default" w:ascii="DejaVu Math TeX Gyre" w:hAnsi="DejaVu Math TeX Gyre"/>
              <w:sz w:val="21"/>
            </w:rPr>
            <m:t>d=‖x−</m:t>
          </m:r>
          <m:sSub>
            <m:sSubPr>
              <m:ctrlPr>
                <w:rPr>
                  <w:rFonts w:hint="default" w:ascii="DejaVu Math TeX Gyre" w:hAnsi="DejaVu Math TeX Gyre"/>
                  <w:sz w:val="21"/>
                </w:rPr>
              </m:ctrlPr>
            </m:sSubPr>
            <m:e>
              <m:r>
                <m:rPr/>
                <w:rPr>
                  <w:rFonts w:hint="default" w:ascii="DejaVu Math TeX Gyre" w:hAnsi="DejaVu Math TeX Gyre"/>
                  <w:sz w:val="21"/>
                </w:rPr>
                <m:t>x</m:t>
              </m:r>
              <m:ctrlPr>
                <w:rPr>
                  <w:rFonts w:ascii="DejaVu Math TeX Gyre" w:hAnsi="DejaVu Math TeX Gyre"/>
                  <w:sz w:val="21"/>
                </w:rPr>
              </m:ctrlPr>
            </m:e>
            <m:sub>
              <m:r>
                <m:rPr/>
                <w:rPr>
                  <w:rFonts w:hint="default" w:ascii="DejaVu Math TeX Gyre" w:hAnsi="DejaVu Math TeX Gyre"/>
                  <w:sz w:val="21"/>
                </w:rPr>
                <m:t>i</m:t>
              </m:r>
              <m:ctrlPr>
                <w:rPr>
                  <w:rFonts w:ascii="DejaVu Math TeX Gyre" w:hAnsi="DejaVu Math TeX Gyre"/>
                  <w:sz w:val="21"/>
                </w:rPr>
              </m:ctrlPr>
            </m:sub>
          </m:sSub>
          <m:r>
            <m:rPr/>
            <w:rPr>
              <w:rFonts w:hint="default" w:ascii="DejaVu Math TeX Gyre" w:hAnsi="DejaVu Math TeX Gyre"/>
              <w:sz w:val="21"/>
            </w:rPr>
            <m:t>‖</m:t>
          </m:r>
        </m:oMath>
      </m:oMathPara>
    </w:p>
    <w:p w14:paraId="01BE7F7F">
      <w:r>
        <w:drawing>
          <wp:inline distT="0" distB="0" distL="114300" distR="114300">
            <wp:extent cx="5039995" cy="3651250"/>
            <wp:effectExtent l="0" t="0" r="14605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65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204282">
      <w:pPr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输出结果</w:t>
      </w:r>
      <w:r>
        <w:rPr>
          <w:rFonts w:hint="default"/>
          <w:sz w:val="21"/>
          <w:szCs w:val="21"/>
          <w:lang w:val="en-US" w:eastAsia="zh-CN"/>
        </w:rPr>
        <w:t>: 测试集预测准确率: 0.645</w:t>
      </w:r>
    </w:p>
    <w:p w14:paraId="6D5AAEDF">
      <w:pPr>
        <w:rPr>
          <w:sz w:val="21"/>
          <w:szCs w:val="21"/>
        </w:rPr>
      </w:pPr>
    </w:p>
    <w:p w14:paraId="7F932FAD">
      <w:pPr>
        <w:rPr>
          <w:rFonts w:hint="eastAsia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/>
        </w:rPr>
        <w:t xml:space="preserve">4.1.2 </w:t>
      </w:r>
      <w:r>
        <w:rPr>
          <w:rFonts w:hint="eastAsia"/>
          <w:sz w:val="21"/>
          <w:szCs w:val="21"/>
          <w:lang w:val="en-US" w:eastAsia="zh-CN"/>
        </w:rPr>
        <w:t>手写LDA降维</w:t>
      </w:r>
    </w:p>
    <w:p w14:paraId="5B0A4DA2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生成测试数据</w:t>
      </w:r>
    </w:p>
    <w:p w14:paraId="600CA675">
      <w:pPr>
        <w:rPr>
          <w:rFonts w:hint="default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5039995" cy="311150"/>
            <wp:effectExtent l="0" t="0" r="14605" b="190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1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54233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计算类别0和类别1样本在各特征上的均值向量</w:t>
      </w:r>
      <m:oMath>
        <m:sSub>
          <m:sSubPr>
            <m:ctrlPr>
              <w:rPr>
                <w:rFonts w:ascii="Cambria Math" w:hAnsi="Cambria Math"/>
                <w:i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</w:rPr>
              <m:t>μ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szCs w:val="21"/>
                <w:lang w:val="en-US" w:eastAsia="zh-CN"/>
              </w:rPr>
              <m:t>0</m:t>
            </m:r>
            <m:ctrlPr>
              <w:rPr>
                <w:rFonts w:ascii="Cambria Math" w:hAnsi="Cambria Math"/>
                <w:i/>
                <w:sz w:val="21"/>
                <w:szCs w:val="21"/>
              </w:rPr>
            </m:ctrlPr>
          </m:sub>
        </m:sSub>
      </m:oMath>
      <w:r>
        <w:rPr>
          <w:rFonts w:hint="eastAsia" w:hAnsi="Cambria Math"/>
          <w:i w:val="0"/>
          <w:sz w:val="21"/>
          <w:szCs w:val="21"/>
          <w:lang w:val="en-US" w:eastAsia="zh-CN"/>
        </w:rPr>
        <w:t>和</w:t>
      </w:r>
      <m:oMath>
        <m:sSub>
          <m:sSubPr>
            <m:ctrlPr>
              <w:rPr>
                <w:rFonts w:ascii="Cambria Math" w:hAnsi="Cambria Math"/>
                <w:i/>
                <w:sz w:val="21"/>
                <w:szCs w:val="21"/>
                <w:lang w:val="en-US"/>
              </w:rPr>
            </m:ctrlPr>
          </m:sSubPr>
          <m:e>
            <m:r>
              <m:rPr/>
              <w:rPr>
                <w:rFonts w:ascii="Cambria Math" w:hAnsi="Cambria Math"/>
                <w:sz w:val="21"/>
                <w:szCs w:val="21"/>
                <w:lang w:val="en-US"/>
              </w:rPr>
              <m:t>μ</m:t>
            </m:r>
            <m:ctrlPr>
              <w:rPr>
                <w:rFonts w:ascii="Cambria Math" w:hAnsi="Cambria Math"/>
                <w:i/>
                <w:sz w:val="21"/>
                <w:szCs w:val="21"/>
                <w:lang w:val="en-US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  <w:szCs w:val="21"/>
                <w:lang w:val="en-US" w:eastAsia="zh-CN"/>
              </w:rPr>
              <m:t>1</m:t>
            </m:r>
            <m:ctrlPr>
              <w:rPr>
                <w:rFonts w:ascii="Cambria Math" w:hAnsi="Cambria Math"/>
                <w:i/>
                <w:sz w:val="21"/>
                <w:szCs w:val="21"/>
                <w:lang w:val="en-US"/>
              </w:rPr>
            </m:ctrlPr>
          </m:sub>
        </m:sSub>
      </m:oMath>
      <w:r>
        <w:rPr>
          <w:rFonts w:hint="eastAsia"/>
          <w:sz w:val="21"/>
          <w:szCs w:val="21"/>
        </w:rPr>
        <w:t>，以及所有样本的总体均值</w:t>
      </w:r>
      <m:oMath>
        <m:r>
          <m:rPr/>
          <w:rPr>
            <w:rFonts w:ascii="Cambria Math" w:hAnsi="Cambria Math"/>
            <w:sz w:val="21"/>
            <w:szCs w:val="21"/>
          </w:rPr>
          <m:t>μ</m:t>
        </m:r>
      </m:oMath>
      <w:r>
        <w:rPr>
          <w:rFonts w:hint="eastAsia"/>
          <w:sz w:val="21"/>
          <w:szCs w:val="21"/>
        </w:rPr>
        <w:t>。</w:t>
      </w:r>
    </w:p>
    <w:p w14:paraId="1E36EC96"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5039995" cy="1404620"/>
            <wp:effectExtent l="0" t="0" r="14605" b="177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0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221C9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代码输出结果：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B74C49A">
        <w:tc>
          <w:tcPr>
            <w:tcW w:w="8522" w:type="dxa"/>
          </w:tcPr>
          <w:p w14:paraId="1D399510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类别0的均值向量: [-1.3705672   1.45567852]</w:t>
            </w:r>
          </w:p>
          <w:p w14:paraId="3437F71D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类别1的均值向量: [1.62514914 1.54041745]</w:t>
            </w:r>
          </w:p>
          <w:p w14:paraId="694374BC">
            <w:pP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总体均值向量: [0.12729097 1.49804798]</w:t>
            </w:r>
          </w:p>
        </w:tc>
      </w:tr>
    </w:tbl>
    <w:p w14:paraId="2846E8D8">
      <w:pPr>
        <w:rPr>
          <w:rFonts w:hint="default"/>
          <w:sz w:val="21"/>
          <w:szCs w:val="21"/>
          <w:lang w:val="en-US" w:eastAsia="zh-CN"/>
        </w:rPr>
      </w:pPr>
    </w:p>
    <w:p w14:paraId="02608AA2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计算散度矩阵</w:t>
      </w:r>
    </w:p>
    <w:p w14:paraId="759A297F">
      <w:pPr>
        <w:rPr>
          <w:rFonts w:hint="default" w:hAnsi="DejaVu Math TeX Gyre"/>
          <w:i w:val="0"/>
          <w:sz w:val="21"/>
          <w:szCs w:val="21"/>
        </w:rPr>
      </w:pPr>
      <w:r>
        <w:rPr>
          <w:rFonts w:hint="eastAsia"/>
          <w:sz w:val="21"/>
          <w:szCs w:val="21"/>
          <w:lang w:val="en-US" w:eastAsia="zh-CN"/>
        </w:rPr>
        <w:t>类内散度矩阵</w:t>
      </w:r>
      <w:r>
        <w:rPr>
          <w:rFonts w:hint="default"/>
          <w:sz w:val="21"/>
          <w:szCs w:val="21"/>
          <w:lang w:val="en-US" w:eastAsia="zh-CN"/>
        </w:rPr>
        <w:t>:</w:t>
      </w:r>
      <w:r>
        <w:rPr>
          <w:rFonts w:hint="eastAsia"/>
          <w:sz w:val="21"/>
          <w:szCs w:val="21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S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w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  <w:szCs w:val="21"/>
          </w:rPr>
          <m:t>=</m:t>
        </m:r>
        <m:sSub>
          <m:sSubP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S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1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  <w:szCs w:val="21"/>
          </w:rPr>
          <m:t>+</m:t>
        </m:r>
        <m:sSub>
          <m:sSubP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S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2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  <w:szCs w:val="21"/>
          </w:rPr>
          <m:t>=</m:t>
        </m:r>
        <m:f>
          <m:fPr>
            <m:ctrlPr>
              <w:rPr>
                <w:rFonts w:hint="default" w:ascii="DejaVu Math TeX Gyre" w:hAnsi="DejaVu Math TeX Gyre"/>
                <w:i/>
                <w:sz w:val="21"/>
                <w:szCs w:val="21"/>
              </w:rPr>
            </m:ctrlPr>
          </m:fPr>
          <m:num>
            <m:nary>
              <m:naryPr>
                <m:chr m:val="∑"/>
                <m:limLoc m:val="undOvr"/>
                <m:supHide m:val="1"/>
                <m:ctrlPr>
                  <w:rPr>
                    <w:rFonts w:hint="default" w:ascii="DejaVu Math TeX Gyre" w:hAnsi="DejaVu Math TeX Gyre"/>
                    <w:i/>
                    <w:sz w:val="21"/>
                    <w:szCs w:val="21"/>
                  </w:rPr>
                </m:ctrlPr>
              </m:naryPr>
              <m:sub>
                <m:r>
                  <m:rPr/>
                  <w:rPr>
                    <w:rFonts w:hint="default" w:ascii="DejaVu Math TeX Gyre" w:hAnsi="DejaVu Math TeX Gyre"/>
                    <w:sz w:val="21"/>
                    <w:szCs w:val="21"/>
                  </w:rPr>
                  <m:t>x∈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  <w:szCs w:val="21"/>
                      </w:rPr>
                      <m:t>C</m:t>
                    </m:r>
                    <m:ctrlPr>
                      <w:rPr>
                        <w:rFonts w:ascii="DejaVu Math TeX Gyre" w:hAnsi="DejaVu Math TeX Gyre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  <w:szCs w:val="21"/>
                      </w:rPr>
                      <m:t>1</m:t>
                    </m:r>
                    <m:ctrlPr>
                      <w:rPr>
                        <w:rFonts w:ascii="DejaVu Math TeX Gyre" w:hAnsi="DejaVu Math TeX Gyre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sub>
              <m:sup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sup>
              <m:e>
                <m:r>
                  <m:rPr/>
                  <w:rPr>
                    <w:rFonts w:hint="default" w:ascii="DejaVu Math TeX Gyre" w:hAnsi="DejaVu Math TeX Gyre"/>
                    <w:sz w:val="21"/>
                    <w:szCs w:val="21"/>
                  </w:rPr>
                  <m:t>(</m:t>
                </m:r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e>
            </m:nary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x−</m:t>
            </m:r>
            <m:sSub>
              <m:sSubPr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/>
                    <w:sz w:val="21"/>
                    <w:szCs w:val="21"/>
                  </w:rPr>
                  <m:t>μ</m:t>
                </m:r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sz w:val="21"/>
                    <w:szCs w:val="21"/>
                  </w:rPr>
                  <m:t>1</m:t>
                </m:r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sub>
            </m:sSub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)(x−</m:t>
            </m:r>
            <m:sSub>
              <m:sSubPr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/>
                    <w:sz w:val="21"/>
                    <w:szCs w:val="21"/>
                  </w:rPr>
                  <m:t>μ</m:t>
                </m:r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sz w:val="21"/>
                    <w:szCs w:val="21"/>
                  </w:rPr>
                  <m:t>1</m:t>
                </m:r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sub>
            </m:sSub>
            <m:sSup>
              <m:sSupPr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default" w:ascii="DejaVu Math TeX Gyre" w:hAnsi="DejaVu Math TeX Gyre"/>
                    <w:sz w:val="21"/>
                    <w:szCs w:val="21"/>
                  </w:rPr>
                  <m:t>)</m:t>
                </m:r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default" w:ascii="DejaVu Math TeX Gyre" w:hAnsi="DejaVu Math TeX Gyre"/>
                    <w:sz w:val="21"/>
                    <w:szCs w:val="21"/>
                  </w:rPr>
                  <m:t>T</m:t>
                </m:r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/>
                    <w:sz w:val="21"/>
                    <w:szCs w:val="21"/>
                  </w:rPr>
                  <m:t>n</m:t>
                </m:r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sz w:val="21"/>
                    <w:szCs w:val="21"/>
                  </w:rPr>
                  <m:t>1</m:t>
                </m:r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den>
        </m:f>
        <m:r>
          <m:rPr/>
          <w:rPr>
            <w:rFonts w:hint="default" w:ascii="DejaVu Math TeX Gyre" w:hAnsi="DejaVu Math TeX Gyre"/>
            <w:sz w:val="21"/>
            <w:szCs w:val="21"/>
          </w:rPr>
          <m:t>+</m:t>
        </m:r>
        <m:f>
          <m:fPr>
            <m:ctrlPr>
              <w:rPr>
                <w:rFonts w:hint="default" w:ascii="DejaVu Math TeX Gyre" w:hAnsi="DejaVu Math TeX Gyre"/>
                <w:i/>
                <w:sz w:val="21"/>
                <w:szCs w:val="21"/>
              </w:rPr>
            </m:ctrlPr>
          </m:fPr>
          <m:num>
            <m:nary>
              <m:naryPr>
                <m:chr m:val="∑"/>
                <m:limLoc m:val="undOvr"/>
                <m:supHide m:val="1"/>
                <m:ctrlPr>
                  <w:rPr>
                    <w:rFonts w:hint="default" w:ascii="DejaVu Math TeX Gyre" w:hAnsi="DejaVu Math TeX Gyre"/>
                    <w:i/>
                    <w:sz w:val="21"/>
                    <w:szCs w:val="21"/>
                  </w:rPr>
                </m:ctrlPr>
              </m:naryPr>
              <m:sub>
                <m:r>
                  <m:rPr/>
                  <w:rPr>
                    <w:rFonts w:hint="default" w:ascii="DejaVu Math TeX Gyre" w:hAnsi="DejaVu Math TeX Gyre"/>
                    <w:sz w:val="21"/>
                    <w:szCs w:val="21"/>
                  </w:rPr>
                  <m:t>x∈</m:t>
                </m:r>
                <m:sSub>
                  <m:sSubPr>
                    <m:ctrlPr>
                      <w:rPr>
                        <w:rFonts w:hint="default" w:ascii="DejaVu Math TeX Gyre" w:hAnsi="DejaVu Math TeX Gyre"/>
                        <w:sz w:val="21"/>
                        <w:szCs w:val="21"/>
                      </w:rPr>
                    </m:ctrlPr>
                  </m:sSubPr>
                  <m:e>
                    <m:r>
                      <m:rPr/>
                      <w:rPr>
                        <w:rFonts w:hint="default" w:ascii="DejaVu Math TeX Gyre" w:hAnsi="DejaVu Math TeX Gyre"/>
                        <w:sz w:val="21"/>
                        <w:szCs w:val="21"/>
                      </w:rPr>
                      <m:t>C</m:t>
                    </m:r>
                    <m:ctrlPr>
                      <w:rPr>
                        <w:rFonts w:ascii="DejaVu Math TeX Gyre" w:hAnsi="DejaVu Math TeX Gyre"/>
                        <w:sz w:val="21"/>
                        <w:szCs w:val="21"/>
                      </w:rPr>
                    </m:ctrlPr>
                  </m:e>
                  <m:sub>
                    <m:r>
                      <m:rPr/>
                      <w:rPr>
                        <w:rFonts w:hint="default" w:ascii="DejaVu Math TeX Gyre" w:hAnsi="DejaVu Math TeX Gyre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ascii="DejaVu Math TeX Gyre" w:hAnsi="DejaVu Math TeX Gyre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sub>
              <m:sup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sup>
              <m:e>
                <m:r>
                  <m:rPr/>
                  <w:rPr>
                    <w:rFonts w:hint="default" w:ascii="DejaVu Math TeX Gyre" w:hAnsi="DejaVu Math TeX Gyre"/>
                    <w:sz w:val="21"/>
                    <w:szCs w:val="21"/>
                  </w:rPr>
                  <m:t>(</m:t>
                </m:r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e>
            </m:nary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x−</m:t>
            </m:r>
            <m:sSub>
              <m:sSubPr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/>
                    <w:sz w:val="21"/>
                    <w:szCs w:val="21"/>
                  </w:rPr>
                  <m:t>μ</m:t>
                </m:r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sz w:val="21"/>
                    <w:szCs w:val="21"/>
                  </w:rPr>
                  <m:t>2</m:t>
                </m:r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sub>
            </m:sSub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)(x−</m:t>
            </m:r>
            <m:sSub>
              <m:sSubPr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/>
                    <w:sz w:val="21"/>
                    <w:szCs w:val="21"/>
                  </w:rPr>
                  <m:t>μ</m:t>
                </m:r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sz w:val="21"/>
                    <w:szCs w:val="21"/>
                  </w:rPr>
                  <m:t>2</m:t>
                </m:r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sub>
            </m:sSub>
            <m:sSup>
              <m:sSupPr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default" w:ascii="DejaVu Math TeX Gyre" w:hAnsi="DejaVu Math TeX Gyre"/>
                    <w:sz w:val="21"/>
                    <w:szCs w:val="21"/>
                  </w:rPr>
                  <m:t>)</m:t>
                </m:r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default" w:ascii="DejaVu Math TeX Gyre" w:hAnsi="DejaVu Math TeX Gyre"/>
                    <w:sz w:val="21"/>
                    <w:szCs w:val="21"/>
                  </w:rPr>
                  <m:t>T</m:t>
                </m:r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/>
                    <w:sz w:val="21"/>
                    <w:szCs w:val="21"/>
                  </w:rPr>
                  <m:t>n</m:t>
                </m:r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sz w:val="21"/>
                    <w:szCs w:val="21"/>
                  </w:rPr>
                  <m:t>2</m:t>
                </m:r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den>
        </m:f>
      </m:oMath>
    </w:p>
    <w:p w14:paraId="300EBB85">
      <w:pPr>
        <w:rPr>
          <w:rFonts w:hint="default" w:hAnsi="DejaVu Math TeX Gyre"/>
          <w:i w:val="0"/>
          <w:sz w:val="21"/>
          <w:szCs w:val="21"/>
          <w:lang w:val="en-US" w:eastAsia="zh-CN"/>
        </w:rPr>
      </w:pPr>
      <w:r>
        <w:rPr>
          <w:rFonts w:hint="eastAsia" w:hAnsi="DejaVu Math TeX Gyre"/>
          <w:i w:val="0"/>
          <w:sz w:val="21"/>
          <w:szCs w:val="21"/>
          <w:lang w:val="en-US" w:eastAsia="zh-CN"/>
        </w:rPr>
        <w:t>类间散度矩阵</w:t>
      </w:r>
      <w:r>
        <w:rPr>
          <w:rFonts w:hint="default" w:hAnsi="DejaVu Math TeX Gyre"/>
          <w:i w:val="0"/>
          <w:sz w:val="21"/>
          <w:szCs w:val="21"/>
          <w:lang w:val="en-US" w:eastAsia="zh-CN"/>
        </w:rPr>
        <w:t xml:space="preserve">: </w:t>
      </w:r>
      <m:oMath>
        <m:sSub>
          <m:sSubP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S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b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  <w:szCs w:val="21"/>
          </w:rPr>
          <m:t>=(</m:t>
        </m:r>
        <m:sSub>
          <m:sSubP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μ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1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  <w:szCs w:val="21"/>
          </w:rPr>
          <m:t>−</m:t>
        </m:r>
        <m:sSub>
          <m:sSubP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μ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2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  <w:szCs w:val="21"/>
          </w:rPr>
          <m:t>)(</m:t>
        </m:r>
        <m:sSub>
          <m:sSubP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μ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1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  <w:szCs w:val="21"/>
          </w:rPr>
          <m:t>−</m:t>
        </m:r>
        <m:sSub>
          <m:sSubP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μ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2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sub>
        </m:sSub>
        <m:sSup>
          <m:sSupP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SupPr>
          <m:e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)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e>
          <m:sup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T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sup>
        </m:sSup>
      </m:oMath>
    </w:p>
    <w:p w14:paraId="0385E28A">
      <w:pPr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5039995" cy="1370330"/>
            <wp:effectExtent l="0" t="0" r="14605" b="127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37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78263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特征值分解与投影：</w:t>
      </w:r>
    </w:p>
    <w:p w14:paraId="0E202318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求解矩阵Sw-1 Sb的特征值和特征向量。 </w:t>
      </w:r>
    </w:p>
    <w:p w14:paraId="7B64816E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提取最大特征值对应的特征向量作为投影方向w。 </w:t>
      </w:r>
    </w:p>
    <w:p w14:paraId="26890DCF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计算一维投影坐标</w:t>
      </w:r>
      <w:r>
        <w:rPr>
          <w:rFonts w:hint="eastAsia"/>
          <w:sz w:val="21"/>
          <w:szCs w:val="21"/>
          <w:lang w:val="en-US" w:eastAsia="zh-CN"/>
        </w:rPr>
        <w:t>：</w:t>
      </w:r>
      <w:r>
        <w:rPr>
          <w:rFonts w:hint="eastAsia"/>
          <w:lang w:val="en-US" w:eastAsia="zh-CN"/>
        </w:rPr>
        <w:t>Y = X</w:t>
      </w:r>
      <w:r>
        <w:rPr>
          <w:rFonts w:hint="eastAsia"/>
          <w:vertAlign w:val="subscript"/>
          <w:lang w:val="en-US" w:eastAsia="zh-CN"/>
        </w:rPr>
        <w:t>dummy·</w:t>
      </w:r>
      <w:r>
        <w:rPr>
          <w:rFonts w:hint="eastAsia"/>
          <w:lang w:val="en-US" w:eastAsia="zh-CN"/>
        </w:rPr>
        <w:t>w</w:t>
      </w:r>
    </w:p>
    <w:p w14:paraId="42CDB598">
      <w:r>
        <w:drawing>
          <wp:inline distT="0" distB="0" distL="114300" distR="114300">
            <wp:extent cx="5039995" cy="2608580"/>
            <wp:effectExtent l="0" t="0" r="14605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608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01E8DFB4">
        <w:tc>
          <w:tcPr>
            <w:tcW w:w="8522" w:type="dxa"/>
          </w:tcPr>
          <w:p w14:paraId="57A61C9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特征值: [ 2.18819848e+02  3.86388366e+01  5.23398970e-15  2.54384643e-15</w:t>
            </w:r>
          </w:p>
          <w:p w14:paraId="77E238C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-2.52149739e-14]</w:t>
            </w:r>
          </w:p>
          <w:p w14:paraId="4E7F1507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>特征向量:</w:t>
            </w:r>
          </w:p>
          <w:p w14:paraId="68245420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[[ 0.84077423  0.18731761 -0.22431929 -0.10455223  0.65989337]</w:t>
            </w:r>
          </w:p>
          <w:p w14:paraId="60A8EBED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[ 0.20309465 -0.12999963 -0.49171979 -0.07090231 -0.2775106 ]</w:t>
            </w:r>
          </w:p>
          <w:p w14:paraId="7EE6C913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[ 0.05225093 -0.66104292 -0.07755341 -0.57670071 -0.04467835]</w:t>
            </w:r>
          </w:p>
          <w:p w14:paraId="68CE17D6">
            <w:pPr>
              <w:rPr>
                <w:rFonts w:hint="eastAsia"/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[-0.2571407   0.60615406 -0.82275818 -0.72942165  0.33256174]</w:t>
            </w:r>
          </w:p>
          <w:p w14:paraId="31B2E3D8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 xml:space="preserve"> [-0.42778471 -0.37896137 -0.15794601  0.34554602  0.61231947]]</w:t>
            </w:r>
          </w:p>
        </w:tc>
      </w:tr>
    </w:tbl>
    <w:p w14:paraId="685AC6D6"/>
    <w:p w14:paraId="03084625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可视化结果：</w:t>
      </w:r>
    </w:p>
    <w:p w14:paraId="3FB9DCA2">
      <w:pPr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绘制手写 LDA 的一维投影散点图</w:t>
      </w:r>
      <w:r>
        <w:rPr>
          <w:rFonts w:hint="eastAsia"/>
          <w:sz w:val="21"/>
          <w:szCs w:val="21"/>
          <w:lang w:eastAsia="zh-CN"/>
        </w:rPr>
        <w:fldChar w:fldCharType="begin"/>
      </w:r>
      <w:r>
        <w:rPr>
          <w:rFonts w:hint="eastAsia"/>
          <w:sz w:val="21"/>
          <w:szCs w:val="21"/>
          <w:lang w:eastAsia="zh-CN"/>
        </w:rPr>
        <w:instrText xml:space="preserve"> HYPERLINK \l "图一" </w:instrText>
      </w:r>
      <w:r>
        <w:rPr>
          <w:rFonts w:hint="eastAsia"/>
          <w:sz w:val="21"/>
          <w:szCs w:val="21"/>
          <w:lang w:eastAsia="zh-CN"/>
        </w:rPr>
        <w:fldChar w:fldCharType="separate"/>
      </w:r>
      <w:r>
        <w:rPr>
          <w:rStyle w:val="7"/>
          <w:rFonts w:hint="eastAsia"/>
          <w:sz w:val="21"/>
          <w:szCs w:val="21"/>
          <w:lang w:eastAsia="zh-CN"/>
        </w:rPr>
        <w:t>（</w:t>
      </w:r>
      <w:r>
        <w:rPr>
          <w:rStyle w:val="7"/>
          <w:rFonts w:hint="eastAsia"/>
          <w:sz w:val="21"/>
          <w:szCs w:val="21"/>
          <w:lang w:val="en-US" w:eastAsia="zh-CN"/>
        </w:rPr>
        <w:t>如图一）</w:t>
      </w:r>
      <w:r>
        <w:rPr>
          <w:rFonts w:hint="eastAsia"/>
          <w:sz w:val="21"/>
          <w:szCs w:val="21"/>
          <w:lang w:eastAsia="zh-CN"/>
        </w:rPr>
        <w:fldChar w:fldCharType="end"/>
      </w:r>
    </w:p>
    <w:p w14:paraId="47A2ADC8">
      <w:pPr>
        <w:jc w:val="center"/>
        <w:rPr>
          <w:rFonts w:hint="default"/>
          <w:lang w:val="en-US" w:eastAsia="zh-CN"/>
        </w:rPr>
      </w:pPr>
      <w:bookmarkStart w:id="1" w:name="图一"/>
      <w:r>
        <w:rPr>
          <w:rFonts w:hint="default"/>
          <w:lang w:val="en-US" w:eastAsia="zh-CN"/>
        </w:rPr>
        <w:drawing>
          <wp:inline distT="0" distB="0" distL="114300" distR="114300">
            <wp:extent cx="3599815" cy="2699385"/>
            <wp:effectExtent l="0" t="0" r="6985" b="18415"/>
            <wp:docPr id="17" name="图片 17" descr="2024150040邓瑞霖LDA降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2024150040邓瑞霖LDA降维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69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DE4C">
      <w:pPr>
        <w:jc w:val="center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图一 LDA降维散点图</w:t>
      </w:r>
    </w:p>
    <w:p w14:paraId="61F3FC67">
      <w:p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由图可以看出，类别0和类别1总体可以区分、局部可以重叠，说明LDA降维到1D的时候还可以明显区分两个类别</w:t>
      </w:r>
    </w:p>
    <w:bookmarkEnd w:id="1"/>
    <w:p w14:paraId="3116E352">
      <w:pPr>
        <w:jc w:val="both"/>
        <w:rPr>
          <w:rFonts w:hint="eastAsia"/>
          <w:sz w:val="18"/>
          <w:szCs w:val="18"/>
          <w:lang w:val="en-US" w:eastAsia="zh-CN"/>
        </w:rPr>
      </w:pPr>
    </w:p>
    <w:p w14:paraId="3936018C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4.2</w:t>
      </w:r>
      <w:r>
        <w:rPr>
          <w:rFonts w:hint="default"/>
          <w:sz w:val="24"/>
          <w:szCs w:val="24"/>
          <w:lang w:val="en-US" w:eastAsia="zh-CN"/>
        </w:rPr>
        <w:t xml:space="preserve"> </w:t>
      </w:r>
      <w:r>
        <w:rPr>
          <w:rFonts w:hint="eastAsia"/>
          <w:sz w:val="24"/>
          <w:szCs w:val="24"/>
          <w:lang w:val="en-US" w:eastAsia="zh-CN"/>
        </w:rPr>
        <w:t>PCA与LDA在降维可视化上的比较</w:t>
      </w:r>
    </w:p>
    <w:p w14:paraId="61A5C9BD"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加载数据集并进行标准化：</w:t>
      </w:r>
    </w:p>
    <w:p w14:paraId="3F378251">
      <w:p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从 sklearn.datasets 导入 load_wine。获取特征X（13维）和标签y。使用StandarScaler进行数据标准化</w:t>
      </w:r>
    </w:p>
    <w:p w14:paraId="21BB72F6">
      <w:pPr>
        <w:jc w:val="both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5039995" cy="2099945"/>
            <wp:effectExtent l="0" t="0" r="14605" b="8255"/>
            <wp:docPr id="20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09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ACD5E">
      <w:p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PCA 降维：导入 PCA，将数据无监督降至 2 维，得到 X_pca。 </w:t>
      </w:r>
    </w:p>
    <w:p w14:paraId="2642CAAD">
      <w:pPr>
        <w:jc w:val="both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LDA 降维：导入 LinearDiscriminantAnalysis，将数据有监督降至 2 维，得到 X_lda。</w:t>
      </w:r>
    </w:p>
    <w:p w14:paraId="30328133">
      <w:pPr>
        <w:jc w:val="both"/>
        <w:rPr>
          <w:rFonts w:hint="eastAsia"/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4895850" cy="1671955"/>
            <wp:effectExtent l="0" t="0" r="6350" b="4445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671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</w:p>
    <w:p w14:paraId="75092477">
      <w:pPr>
        <w:jc w:val="both"/>
        <w:rPr>
          <w:sz w:val="21"/>
          <w:szCs w:val="21"/>
        </w:rPr>
      </w:pPr>
      <w:r>
        <w:rPr>
          <w:rFonts w:hint="eastAsia"/>
          <w:sz w:val="21"/>
          <w:szCs w:val="21"/>
        </w:rPr>
        <w:t>可视化对比</w:t>
      </w:r>
      <w:r>
        <w:rPr>
          <w:rFonts w:hint="eastAsia"/>
          <w:sz w:val="21"/>
          <w:szCs w:val="21"/>
          <w:lang w:eastAsia="zh-CN"/>
        </w:rPr>
        <w:fldChar w:fldCharType="begin"/>
      </w:r>
      <w:r>
        <w:rPr>
          <w:rFonts w:hint="eastAsia"/>
          <w:sz w:val="21"/>
          <w:szCs w:val="21"/>
          <w:lang w:eastAsia="zh-CN"/>
        </w:rPr>
        <w:instrText xml:space="preserve"> HYPERLINK \l "图二" </w:instrText>
      </w:r>
      <w:r>
        <w:rPr>
          <w:rFonts w:hint="eastAsia"/>
          <w:sz w:val="21"/>
          <w:szCs w:val="21"/>
          <w:lang w:eastAsia="zh-CN"/>
        </w:rPr>
        <w:fldChar w:fldCharType="separate"/>
      </w:r>
      <w:r>
        <w:rPr>
          <w:rStyle w:val="7"/>
          <w:rFonts w:hint="eastAsia"/>
          <w:sz w:val="21"/>
          <w:szCs w:val="21"/>
          <w:lang w:eastAsia="zh-CN"/>
        </w:rPr>
        <w:t>（</w:t>
      </w:r>
      <w:r>
        <w:rPr>
          <w:rStyle w:val="7"/>
          <w:rFonts w:hint="eastAsia"/>
          <w:sz w:val="21"/>
          <w:szCs w:val="21"/>
          <w:lang w:val="en-US" w:eastAsia="zh-CN"/>
        </w:rPr>
        <w:t>如图二）</w:t>
      </w:r>
      <w:r>
        <w:rPr>
          <w:rFonts w:hint="eastAsia"/>
          <w:sz w:val="21"/>
          <w:szCs w:val="21"/>
          <w:lang w:eastAsia="zh-CN"/>
        </w:rPr>
        <w:fldChar w:fldCharType="end"/>
      </w:r>
      <w:r>
        <w:rPr>
          <w:rFonts w:hint="eastAsia"/>
          <w:sz w:val="21"/>
          <w:szCs w:val="21"/>
          <w:lang w:val="en-US" w:eastAsia="zh-CN"/>
        </w:rPr>
        <w:t>，其中三个类别分别用蓝、黄、绿进行表示</w:t>
      </w:r>
    </w:p>
    <w:p w14:paraId="5D3A0BC8">
      <w:pPr>
        <w:jc w:val="center"/>
        <w:rPr>
          <w:rFonts w:hint="eastAsia" w:eastAsiaTheme="minorEastAsia"/>
          <w:lang w:val="en-US" w:eastAsia="zh-CN"/>
        </w:rPr>
      </w:pPr>
      <w:bookmarkStart w:id="2" w:name="图二"/>
      <w:r>
        <w:rPr>
          <w:rFonts w:hint="eastAsia" w:eastAsiaTheme="minorEastAsia"/>
          <w:lang w:val="en-US" w:eastAsia="zh-CN"/>
        </w:rPr>
        <w:drawing>
          <wp:inline distT="0" distB="0" distL="114300" distR="114300">
            <wp:extent cx="5274310" cy="1883410"/>
            <wp:effectExtent l="0" t="0" r="8890" b="21590"/>
            <wp:docPr id="19" name="图片 19" descr="2024150040邓瑞霖PCAvsL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2024150040邓瑞霖PCAvsLDA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C470">
      <w:pPr>
        <w:jc w:val="center"/>
        <w:rPr>
          <w:rFonts w:hint="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  <w:lang w:val="en-US" w:eastAsia="zh-CN"/>
        </w:rPr>
        <w:t>图二 PCA与LDA降维散点图，其中左图为PCA降维散点图，右图为LDA降维散点图</w:t>
      </w:r>
    </w:p>
    <w:p w14:paraId="4FC9FCFC"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由图可得分类任务里，LDA通常比PCA更有判别力。</w:t>
      </w:r>
    </w:p>
    <w:p w14:paraId="68A9604D">
      <w:pPr>
        <w:jc w:val="both"/>
        <w:rPr>
          <w:rFonts w:hint="eastAsia"/>
          <w:sz w:val="21"/>
          <w:szCs w:val="21"/>
          <w:lang w:val="en-US" w:eastAsia="zh-CN"/>
        </w:rPr>
      </w:pPr>
    </w:p>
    <w:p w14:paraId="050FA950"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(1)哪一种方法在二维平面上让三类样本分得更开？请结合图像说明。</w:t>
      </w:r>
    </w:p>
    <w:p w14:paraId="7D3DAEAE"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由图得，LDA在二维平面上让三类样本分得更开</w:t>
      </w:r>
      <w:r>
        <w:rPr>
          <w:rFonts w:hint="default"/>
          <w:sz w:val="21"/>
          <w:szCs w:val="21"/>
          <w:lang w:val="en-US" w:eastAsia="zh-CN"/>
        </w:rPr>
        <w:t>。原因是 LDA 在降维时显式优化“类间距离大、类内离散小”，而 PCA</w:t>
      </w:r>
      <w:r>
        <w:rPr>
          <w:rFonts w:hint="eastAsia"/>
          <w:sz w:val="21"/>
          <w:szCs w:val="21"/>
          <w:lang w:val="en-US" w:eastAsia="zh-CN"/>
        </w:rPr>
        <w:t>保留的是信息量（方差），不是分类边界，所以“方差大”不一定“更好分”。</w:t>
      </w:r>
    </w:p>
    <w:p w14:paraId="76040A2C">
      <w:p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。</w:t>
      </w:r>
    </w:p>
    <w:p w14:paraId="634F3D8D">
      <w:p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(2)为什么“整体方差大”不一定等于“类别更容易区分”？</w:t>
      </w:r>
    </w:p>
    <w:p w14:paraId="7334C7EF">
      <w:p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如果某个方向方差很大，但主要来自同一类内部波动，或者多类在该方向上重叠，那么分类并不会更容易。分类更依赖于“可判别信息”，而不仅是“变化幅度”。</w:t>
      </w:r>
    </w:p>
    <w:p w14:paraId="68E25386">
      <w:pPr>
        <w:jc w:val="both"/>
        <w:rPr>
          <w:rFonts w:hint="default"/>
          <w:sz w:val="21"/>
          <w:szCs w:val="21"/>
          <w:lang w:val="en-US" w:eastAsia="zh-CN"/>
        </w:rPr>
      </w:pPr>
    </w:p>
    <w:p w14:paraId="5E780ECC">
      <w:p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(3)当数据标签已知、任务目标是区分类别时，你更倾向于优先尝试哪种方法？为什么？</w:t>
      </w:r>
    </w:p>
    <w:p w14:paraId="122A4600">
      <w:p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我会优先尝试 LDA。因为这是监督降维，目标函数与分类目标一致，通常在低维空间里能得到更好的类别分离效果。</w:t>
      </w:r>
    </w:p>
    <w:p w14:paraId="3E02605D">
      <w:pPr>
        <w:jc w:val="both"/>
        <w:rPr>
          <w:rFonts w:hint="default"/>
          <w:sz w:val="18"/>
          <w:szCs w:val="18"/>
          <w:lang w:val="en-US" w:eastAsia="zh-CN"/>
        </w:rPr>
      </w:pPr>
    </w:p>
    <w:p w14:paraId="54E125E8">
      <w:p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4.3 使用Olivetti人脸数据进行识别分类</w:t>
      </w:r>
    </w:p>
    <w:p w14:paraId="04981316">
      <w:p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加载数据： 导入 fetch_olivetti_faces 数据集（400张图，40个人，4096维）。划分训练集（70%）和测试集（30%）。</w:t>
      </w:r>
    </w:p>
    <w:p w14:paraId="42E55FF1">
      <w:pPr>
        <w:jc w:val="both"/>
        <w:rPr>
          <w:rFonts w:hint="default"/>
          <w:sz w:val="21"/>
          <w:szCs w:val="21"/>
          <w:lang w:val="en-US" w:eastAsia="zh-CN"/>
        </w:rPr>
      </w:pPr>
      <w:r>
        <w:rPr>
          <w:sz w:val="21"/>
          <w:szCs w:val="21"/>
        </w:rPr>
        <w:drawing>
          <wp:inline distT="0" distB="0" distL="114300" distR="114300">
            <wp:extent cx="5039995" cy="1629410"/>
            <wp:effectExtent l="0" t="0" r="14605" b="21590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629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sz w:val="21"/>
          <w:szCs w:val="21"/>
          <w:lang w:val="en-US" w:eastAsia="zh-CN"/>
        </w:rPr>
        <w:t xml:space="preserve"> </w:t>
      </w:r>
    </w:p>
    <w:p w14:paraId="7FA5704B">
      <w:p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LDA 识别与降维</w:t>
      </w:r>
      <w:r>
        <w:rPr>
          <w:rFonts w:hint="eastAsia"/>
          <w:sz w:val="21"/>
          <w:szCs w:val="21"/>
          <w:lang w:val="en-US" w:eastAsia="zh-CN"/>
        </w:rPr>
        <w:t>：</w:t>
      </w:r>
    </w:p>
    <w:p w14:paraId="3AEC1CF0">
      <w:p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实例化与拟合： 导入并实例化 LinearDiscriminantAnalysis。传入训练集特征 Xtrain 和标签ytrain进行 fit拟合。 </w:t>
      </w:r>
    </w:p>
    <w:p w14:paraId="38393304">
      <w:p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观察降维维度： 调用 lda.transform(X_train) 将训练集映射到低维空间。打印出降维后数据的特征列（维度数量），验证 LDA 的降维上限。 </w:t>
      </w:r>
    </w:p>
    <w:p w14:paraId="38CD0B29">
      <w:p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直接预测： 调用 lda.predict(X_test) 对测试集进行预测，计算并记录分类的准确率（Accuracy）</w:t>
      </w:r>
    </w:p>
    <w:p w14:paraId="0FC4A93D">
      <w:pPr>
        <w:jc w:val="both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LDA的降维理论上限为：</w:t>
      </w:r>
      <m:oMath>
        <m:r>
          <m:rPr>
            <m:sty m:val="p"/>
          </m:rPr>
          <w:rPr>
            <w:rFonts w:hint="default" w:ascii="DejaVu Math TeX Gyre" w:hAnsi="DejaVu Math TeX Gyre"/>
            <w:sz w:val="21"/>
            <w:szCs w:val="21"/>
          </w:rPr>
          <m:t>dim</m:t>
        </m:r>
        <m:r>
          <m:rPr/>
          <w:rPr>
            <w:rFonts w:hint="default" w:ascii="DejaVu Math TeX Gyre" w:hAnsi="DejaVu Math TeX Gyre"/>
            <w:sz w:val="21"/>
            <w:szCs w:val="21"/>
          </w:rPr>
          <m:t>(LDA</m:t>
        </m:r>
        <m:r>
          <m:rPr>
            <m:sty m:val="p"/>
          </m:rPr>
          <w:rPr>
            <w:rFonts w:hint="default" w:ascii="DejaVu Math TeX Gyre" w:hAnsi="DejaVu Math TeX Gyre"/>
            <w:sz w:val="21"/>
            <w:szCs w:val="21"/>
          </w:rPr>
          <m:t>子空间</m:t>
        </m:r>
        <m:r>
          <m:rPr/>
          <w:rPr>
            <w:rFonts w:hint="default" w:ascii="DejaVu Math TeX Gyre" w:hAnsi="DejaVu Math TeX Gyre"/>
            <w:sz w:val="21"/>
            <w:szCs w:val="21"/>
          </w:rPr>
          <m:t>)=min(d,C−1)</m:t>
        </m:r>
      </m:oMath>
      <w:r>
        <m:rPr/>
        <w:rPr>
          <w:rFonts w:hint="eastAsia" w:hAnsi="DejaVu Math TeX Gyre"/>
          <w:i w:val="0"/>
          <w:sz w:val="21"/>
          <w:szCs w:val="21"/>
          <w:lang w:val="en-US" w:eastAsia="zh-CN"/>
        </w:rPr>
        <w:t>在Olivetti数据集中，由于类别数为40，故理论上限为39</w:t>
      </w:r>
      <w:r>
        <m:rPr/>
        <w:rPr>
          <w:rFonts w:hint="default" w:hAnsi="DejaVu Math TeX Gyre"/>
          <w:i w:val="0"/>
          <w:sz w:val="21"/>
          <w:szCs w:val="21"/>
          <w:lang w:val="en-US" w:eastAsia="zh-CN"/>
        </w:rPr>
        <w:t>.</w:t>
      </w:r>
    </w:p>
    <w:p w14:paraId="232E4122">
      <w:pPr>
        <w:jc w:val="both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114300" distR="114300">
            <wp:extent cx="5039995" cy="2185035"/>
            <wp:effectExtent l="0" t="0" r="14605" b="24765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1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110AF"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代码输出：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7ECD688F">
        <w:tc>
          <w:tcPr>
            <w:tcW w:w="8522" w:type="dxa"/>
          </w:tcPr>
          <w:p w14:paraId="734975B6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LDA 降维信息:</w:t>
            </w:r>
          </w:p>
          <w:p w14:paraId="31C40F40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X_train 经过 LDA 后形状: (280, 39)</w:t>
            </w:r>
          </w:p>
          <w:p w14:paraId="15EC8069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降维后特征列数: 39</w:t>
            </w:r>
          </w:p>
          <w:p w14:paraId="161F76F6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 xml:space="preserve">  理论上限 min(n_features, n_classes - 1) = min(4096, 40 - 1) = 39</w:t>
            </w:r>
          </w:p>
        </w:tc>
      </w:tr>
    </w:tbl>
    <w:p w14:paraId="7C97DE24"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测试集在LDA上的准确率为0.9750</w:t>
      </w:r>
    </w:p>
    <w:p w14:paraId="649BD1CE">
      <w:pPr>
        <w:jc w:val="both"/>
        <w:rPr>
          <w:rFonts w:hint="default"/>
          <w:sz w:val="21"/>
          <w:szCs w:val="21"/>
          <w:lang w:val="en-US" w:eastAsia="zh-CN"/>
        </w:rPr>
      </w:pPr>
    </w:p>
    <w:p w14:paraId="0552A6B7"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LDA+SVM识别：</w:t>
      </w:r>
    </w:p>
    <w:p w14:paraId="6B81C011">
      <w:p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将 LDA transform 降维后得到的 39 维低维特征送入 SVM 进行训练。 </w:t>
      </w:r>
    </w:p>
    <w:p w14:paraId="4DB31E2A">
      <w:p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 xml:space="preserve">将测试集Xtest也通过 LDA 降维至 39 维，然后使用 SVM 进行预测。 </w:t>
      </w:r>
      <w:bookmarkEnd w:id="2"/>
    </w:p>
    <w:p w14:paraId="0B4844EA">
      <w:pPr>
        <w:jc w:val="both"/>
        <w:rPr>
          <w:sz w:val="21"/>
          <w:szCs w:val="21"/>
        </w:rPr>
      </w:pPr>
      <w:r>
        <w:drawing>
          <wp:inline distT="0" distB="0" distL="114300" distR="114300">
            <wp:extent cx="5039995" cy="1838325"/>
            <wp:effectExtent l="0" t="0" r="14605" b="15875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F078E">
      <w:pPr>
        <w:jc w:val="both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代码输出：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8522"/>
      </w:tblGrid>
      <w:tr w14:paraId="4B4D7136">
        <w:tc>
          <w:tcPr>
            <w:tcW w:w="8522" w:type="dxa"/>
          </w:tcPr>
          <w:p w14:paraId="1F263487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LDA 自带分类器在测试集上的准确率: 0.9750</w:t>
            </w:r>
          </w:p>
          <w:p w14:paraId="175F869E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LDA + 线性 SVM 在测试集上的准确率: 0.9667</w:t>
            </w:r>
          </w:p>
          <w:p w14:paraId="2E51ADD9">
            <w:pPr>
              <w:jc w:val="both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  <w:t>两者准确率差值 (SVM - LDA): -0.0083</w:t>
            </w:r>
          </w:p>
        </w:tc>
      </w:tr>
    </w:tbl>
    <w:p w14:paraId="1BA7C2EE">
      <w:pPr>
        <w:jc w:val="both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两者准确率的差值相差0.0083，准确率差别不大</w:t>
      </w:r>
    </w:p>
    <w:p w14:paraId="04D82CB9">
      <w:pPr>
        <w:jc w:val="both"/>
        <w:rPr>
          <w:rFonts w:hint="default"/>
          <w:lang w:val="en-US"/>
        </w:rPr>
      </w:pPr>
    </w:p>
    <w:p w14:paraId="3FEE77CD">
      <w:pPr>
        <w:jc w:val="both"/>
      </w:pPr>
      <w:r>
        <w:rPr>
          <w:rFonts w:hint="eastAsia"/>
        </w:rPr>
        <w:t>五、实验总结</w:t>
      </w:r>
    </w:p>
    <w:p w14:paraId="25B6199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①　维度限制探讨： 在练习 3 的人脸数据集中，原始数据高达 4096 维，为什么调用 scikit-learn 的 LDA 时，无论怎么设置参数，降维后的数据最大维度始终不会超过 39 维？请结合所学的 LDA 理论知识解释这个数学限制（提示：与类别数量C有关）。</w:t>
      </w:r>
    </w:p>
    <w:p w14:paraId="43A5DCC8">
      <w:pPr>
        <w:rPr>
          <w:rFonts w:hint="default"/>
          <w:sz w:val="21"/>
          <w:szCs w:val="21"/>
          <w:lang w:val="en-US"/>
        </w:rPr>
      </w:pPr>
    </w:p>
    <w:p w14:paraId="18FF9833">
      <w:pPr>
        <w:rPr>
          <w:rFonts w:hint="default" w:hAnsi="DejaVu Math TeX Gyre"/>
          <w:i w:val="0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因为</w:t>
      </w:r>
      <m:oMath>
        <m:r>
          <m:rPr>
            <m:sty m:val="p"/>
          </m:rPr>
          <w:rPr>
            <w:rFonts w:hint="default" w:ascii="DejaVu Math TeX Gyre" w:hAnsi="DejaVu Math TeX Gyre"/>
            <w:sz w:val="21"/>
            <w:szCs w:val="21"/>
          </w:rPr>
          <m:t>dim</m:t>
        </m:r>
        <m:r>
          <m:rPr/>
          <w:rPr>
            <w:rFonts w:hint="default" w:ascii="DejaVu Math TeX Gyre" w:hAnsi="DejaVu Math TeX Gyre"/>
            <w:sz w:val="21"/>
            <w:szCs w:val="21"/>
          </w:rPr>
          <m:t>(LDA</m:t>
        </m:r>
        <m:r>
          <m:rPr>
            <m:sty m:val="p"/>
          </m:rPr>
          <w:rPr>
            <w:rFonts w:hint="default" w:ascii="DejaVu Math TeX Gyre" w:hAnsi="DejaVu Math TeX Gyre"/>
            <w:sz w:val="21"/>
            <w:szCs w:val="21"/>
          </w:rPr>
          <m:t>子空间</m:t>
        </m:r>
        <m:r>
          <m:rPr/>
          <w:rPr>
            <w:rFonts w:hint="default" w:ascii="DejaVu Math TeX Gyre" w:hAnsi="DejaVu Math TeX Gyre"/>
            <w:sz w:val="21"/>
            <w:szCs w:val="21"/>
          </w:rPr>
          <m:t>)=min(d,C−1)</m:t>
        </m:r>
      </m:oMath>
      <w:r>
        <m:rPr/>
        <w:rPr>
          <w:rFonts w:hint="eastAsia" w:hAnsi="DejaVu Math TeX Gyre"/>
          <w:i w:val="0"/>
          <w:sz w:val="21"/>
          <w:szCs w:val="21"/>
          <w:lang w:eastAsia="zh-CN"/>
        </w:rPr>
        <w:t>，</w:t>
      </w:r>
      <w:r>
        <m:rPr/>
        <w:rPr>
          <w:rFonts w:hint="eastAsia" w:hAnsi="DejaVu Math TeX Gyre"/>
          <w:i w:val="0"/>
          <w:sz w:val="21"/>
          <w:szCs w:val="21"/>
          <w:lang w:val="en-US" w:eastAsia="zh-CN"/>
        </w:rPr>
        <w:t>其中d为原始特征数，C为类别数，LDA依赖类间散度矩阵</w:t>
      </w:r>
      <m:oMath>
        <m:sSub>
          <m:sSubP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S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b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sub>
        </m:sSub>
      </m:oMath>
      <w:r>
        <w:rPr>
          <w:rFonts w:hint="default" w:hAnsi="DejaVu Math TeX Gyre"/>
          <w:i w:val="0"/>
          <w:sz w:val="21"/>
          <w:szCs w:val="21"/>
          <w:lang w:val="en-US"/>
        </w:rPr>
        <w:t>,</w:t>
      </w:r>
      <w:r>
        <w:rPr>
          <w:rFonts w:hint="eastAsia" w:hAnsi="DejaVu Math TeX Gyre"/>
          <w:i w:val="0"/>
          <w:sz w:val="21"/>
          <w:szCs w:val="21"/>
          <w:lang w:val="en-US" w:eastAsia="zh-CN"/>
        </w:rPr>
        <w:t>而</w:t>
      </w:r>
      <m:oMath>
        <m:sSub>
          <m:sSubP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S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b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sub>
        </m:sSub>
      </m:oMath>
      <w:r>
        <w:rPr>
          <w:rFonts w:hint="eastAsia" w:hAnsi="DejaVu Math TeX Gyre"/>
          <w:i w:val="0"/>
          <w:sz w:val="21"/>
          <w:szCs w:val="21"/>
          <w:lang w:val="en-US" w:eastAsia="zh-CN"/>
        </w:rPr>
        <w:t>由各类别均值与总体均值构成：</w:t>
      </w:r>
      <m:oMath>
        <m:sSub>
          <m:sSubP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S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b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  <w:szCs w:val="21"/>
          </w:rPr>
          <m:t>=</m:t>
        </m:r>
        <m:nary>
          <m:naryPr>
            <m:chr m:val="∑"/>
            <m:limLoc m:val="undOvr"/>
            <m:ctrlPr>
              <w:rPr>
                <w:rFonts w:hint="default" w:ascii="DejaVu Math TeX Gyre" w:hAnsi="DejaVu Math TeX Gyre"/>
                <w:i/>
                <w:sz w:val="21"/>
                <w:szCs w:val="21"/>
              </w:rPr>
            </m:ctrlPr>
          </m:naryPr>
          <m:sub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k=1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sub>
          <m:sup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C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sup>
          <m:e>
            <m:sSub>
              <m:sSubPr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/>
                    <w:sz w:val="21"/>
                    <w:szCs w:val="21"/>
                  </w:rPr>
                  <m:t>N</m:t>
                </m:r>
                <m:ctrlPr>
                  <w:rPr>
                    <w:rFonts w:ascii="DejaVu Math TeX Gyre" w:hAnsi="DejaVu Math TeX Gyre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sz w:val="21"/>
                    <w:szCs w:val="21"/>
                  </w:rPr>
                  <m:t>k</m:t>
                </m:r>
                <m:ctrlPr>
                  <w:rPr>
                    <w:rFonts w:ascii="DejaVu Math TeX Gyre" w:hAnsi="DejaVu Math TeX Gyre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e>
        </m:nary>
        <m:r>
          <m:rPr/>
          <w:rPr>
            <w:rFonts w:hint="default" w:ascii="DejaVu Math TeX Gyre" w:hAnsi="DejaVu Math TeX Gyre"/>
            <w:sz w:val="21"/>
            <w:szCs w:val="21"/>
          </w:rPr>
          <m:t>(</m:t>
        </m:r>
        <m:sSub>
          <m:sSubP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μ</m:t>
            </m: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k</m:t>
            </m: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  <w:szCs w:val="21"/>
          </w:rPr>
          <m:t>−μ)(</m:t>
        </m:r>
        <m:sSub>
          <m:sSubP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μ</m:t>
            </m: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k</m:t>
            </m: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  <w:szCs w:val="21"/>
          </w:rPr>
          <m:t>−μ</m:t>
        </m:r>
        <m:sSup>
          <m:sSupP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SupPr>
          <m:e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)</m:t>
            </m: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e>
          <m:sup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T</m:t>
            </m: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up>
        </m:sSup>
      </m:oMath>
      <w:r>
        <w:rPr>
          <w:rFonts w:hint="eastAsia" w:hAnsi="DejaVu Math TeX Gyre"/>
          <w:i w:val="0"/>
          <w:sz w:val="21"/>
          <w:szCs w:val="21"/>
          <w:lang w:val="en-US" w:eastAsia="zh-CN"/>
        </w:rPr>
        <w:t>这些均值偏移向量并不是完全独立的，他们满足线性约束（加权和为0），因此最多只有C-1个线性独立方向，因此</w:t>
      </w:r>
      <m:oMath>
        <m:r>
          <m:rPr/>
          <w:rPr>
            <w:rFonts w:hint="default" w:ascii="DejaVu Math TeX Gyre" w:hAnsi="DejaVu Math TeX Gyre"/>
            <w:sz w:val="21"/>
            <w:szCs w:val="21"/>
          </w:rPr>
          <m:t>rank(</m:t>
        </m:r>
        <m:sSub>
          <m:sSubP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S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b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  <w:szCs w:val="21"/>
          </w:rPr>
          <m:t>)≤C−1</m:t>
        </m:r>
      </m:oMath>
    </w:p>
    <w:p w14:paraId="2C5E6605">
      <w:pPr>
        <w:rPr>
          <w:rFonts w:hint="default" w:hAnsi="DejaVu Math TeX Gyre"/>
          <w:i w:val="0"/>
          <w:sz w:val="21"/>
          <w:szCs w:val="21"/>
          <w:lang w:val="en-US" w:eastAsia="zh-CN"/>
        </w:rPr>
      </w:pPr>
    </w:p>
    <w:p w14:paraId="5EC4140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②　目标函数差异： 简述 PCA 和 LDA 在数学优化目标上的本质区别。为什么在这个优化目标下，PCA 是一种“无监督”方法，而 LDA 是“有监督”方法？ </w:t>
      </w:r>
    </w:p>
    <w:p w14:paraId="5344955E">
      <w:pPr>
        <w:rPr>
          <w:rFonts w:hint="eastAsia"/>
          <w:sz w:val="21"/>
          <w:szCs w:val="21"/>
        </w:rPr>
      </w:pPr>
    </w:p>
    <w:p w14:paraId="737232D5">
      <w:pPr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PCA和LDA在数学优化目标上的本质区别是：PCA找投影方向使样本在低维空间的总体方差最大，找投影方向使类别间尽量分开、类内尽量紧凑，即最大化“类间散度 / 类内散度”</w:t>
      </w:r>
    </w:p>
    <w:p w14:paraId="0AC313C1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PCA 无监督：目标函数只用特征X 的统计结构（总体方差），不需要标签 y</w:t>
      </w:r>
    </w:p>
    <w:p w14:paraId="3C56A096">
      <w:pPr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t>LDA 有监督：</w:t>
      </w:r>
      <m:oMath>
        <m:sSub>
          <m:sSubP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S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w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  <w:szCs w:val="21"/>
          </w:rPr>
          <m:t>,</m:t>
        </m:r>
        <m:sSub>
          <m:sSubP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S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b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sub>
        </m:sSub>
      </m:oMath>
      <w:r>
        <w:rPr>
          <w:rFonts w:hint="default"/>
          <w:sz w:val="21"/>
          <w:szCs w:val="21"/>
          <w:lang w:val="en-US" w:eastAsia="zh-CN"/>
        </w:rPr>
        <w:t>的计算必须知道每个样本属于哪一类，直接依赖标签 y，优化目标本身就是为分类服务</w:t>
      </w:r>
    </w:p>
    <w:p w14:paraId="1A22DA84">
      <w:pPr>
        <w:rPr>
          <w:rFonts w:hint="default"/>
          <w:sz w:val="21"/>
          <w:szCs w:val="21"/>
          <w:lang w:val="en-US" w:eastAsia="zh-CN"/>
        </w:rPr>
      </w:pPr>
    </w:p>
    <w:p w14:paraId="547F534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③　失败场景分析： 假设有两个类别的数据，它们的均值向量和几乎完全重合，但方差分布完全不同（例如两个同心圆环，或者一个是紧密的点，另一个是将其包围的环）。在这种情况下，LDA 还能有效降维并区分这两个类别吗？为什么？</w:t>
      </w:r>
    </w:p>
    <w:p w14:paraId="5A039D0C">
      <w:pPr>
        <w:rPr>
          <w:rFonts w:hint="eastAsia"/>
          <w:sz w:val="21"/>
          <w:szCs w:val="21"/>
        </w:rPr>
      </w:pPr>
    </w:p>
    <w:p w14:paraId="0F954E52">
      <w:pPr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</w:rPr>
        <w:t>LDA 在这种场景下会失效或效果很差。</w:t>
      </w:r>
      <w:r>
        <w:rPr>
          <w:rFonts w:hint="eastAsia"/>
          <w:sz w:val="21"/>
          <w:szCs w:val="21"/>
          <w:lang w:val="en-US" w:eastAsia="zh-CN"/>
        </w:rPr>
        <w:t>因为LDA的判断核心是“类间均值差”，如果两个类别均值几乎重合</w:t>
      </w:r>
      <m:oMath>
        <m:sSub>
          <m:sSubP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μ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1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sub>
        </m:sSub>
        <m:r>
          <m:rPr/>
          <w:rPr>
            <w:rFonts w:hint="default" w:ascii="DejaVu Math TeX Gyre" w:hAnsi="DejaVu Math TeX Gyre"/>
            <w:sz w:val="21"/>
            <w:szCs w:val="21"/>
          </w:rPr>
          <m:t>≈</m:t>
        </m:r>
        <m:sSub>
          <m:sSubP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μ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1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sub>
        </m:sSub>
      </m:oMath>
      <w:r>
        <w:rPr>
          <w:rFonts w:hint="eastAsia" w:hAnsi="DejaVu Math TeX Gyre"/>
          <w:i w:val="0"/>
          <w:sz w:val="21"/>
          <w:szCs w:val="21"/>
          <w:lang w:eastAsia="zh-CN"/>
        </w:rPr>
        <w:t>，</w:t>
      </w:r>
      <w:r>
        <w:rPr>
          <w:rFonts w:hint="eastAsia" w:hAnsi="DejaVu Math TeX Gyre"/>
          <w:i w:val="0"/>
          <w:sz w:val="21"/>
          <w:szCs w:val="21"/>
          <w:lang w:val="en-US" w:eastAsia="zh-CN"/>
        </w:rPr>
        <w:t>那么类间散度</w:t>
      </w:r>
      <m:oMath>
        <m:sSub>
          <m:sSubP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sSubPr>
          <m:e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S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e>
          <m:sub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b</m:t>
            </m:r>
            <m:ctrlPr>
              <w:rPr>
                <w:rFonts w:ascii="DejaVu Math TeX Gyre" w:hAnsi="DejaVu Math TeX Gyre"/>
                <w:sz w:val="21"/>
                <w:szCs w:val="21"/>
              </w:rPr>
            </m:ctrlPr>
          </m:sub>
        </m:sSub>
      </m:oMath>
      <w:r>
        <w:rPr>
          <w:rFonts w:hint="eastAsia" w:hAnsi="DejaVu Math TeX Gyre"/>
          <w:i w:val="0"/>
          <w:sz w:val="21"/>
          <w:szCs w:val="21"/>
          <w:lang w:val="en-US" w:eastAsia="zh-CN"/>
        </w:rPr>
        <w:t>会非常小，此时优化目标</w:t>
      </w:r>
      <m:oMath>
        <m:r>
          <m:rPr>
            <m:sty m:val="p"/>
          </m:rPr>
          <w:rPr>
            <w:rFonts w:hint="default" w:ascii="DejaVu Math TeX Gyre" w:hAnsi="DejaVu Math TeX Gyre"/>
            <w:sz w:val="21"/>
            <w:szCs w:val="21"/>
          </w:rPr>
          <m:t>max</m:t>
        </m:r>
        <m:f>
          <m:fPr>
            <m:ctrlPr>
              <w:rPr>
                <w:rFonts w:hint="default" w:ascii="DejaVu Math TeX Gyre" w:hAnsi="DejaVu Math TeX Gyre"/>
                <w:i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default" w:ascii="DejaVu Math TeX Gyre" w:hAnsi="DejaVu Math TeX Gyre"/>
                    <w:sz w:val="21"/>
                    <w:szCs w:val="21"/>
                  </w:rPr>
                  <m:t>w</m:t>
                </m:r>
                <m:ctrlPr>
                  <w:rPr>
                    <w:rFonts w:ascii="DejaVu Math TeX Gyre" w:hAnsi="DejaVu Math TeX Gyre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default" w:ascii="DejaVu Math TeX Gyre" w:hAnsi="DejaVu Math TeX Gyre"/>
                    <w:sz w:val="21"/>
                    <w:szCs w:val="21"/>
                  </w:rPr>
                  <m:t>T</m:t>
                </m:r>
                <m:ctrlPr>
                  <w:rPr>
                    <w:rFonts w:ascii="DejaVu Math TeX Gyre" w:hAnsi="DejaVu Math TeX Gyre"/>
                    <w:sz w:val="21"/>
                    <w:szCs w:val="21"/>
                  </w:rPr>
                </m:ctrlPr>
              </m:sup>
            </m:sSup>
            <m:sSub>
              <m:sSubPr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/>
                    <w:sz w:val="21"/>
                    <w:szCs w:val="21"/>
                  </w:rPr>
                  <m:t>S</m:t>
                </m:r>
                <m:ctrlPr>
                  <w:rPr>
                    <w:rFonts w:ascii="DejaVu Math TeX Gyre" w:hAnsi="DejaVu Math TeX Gyre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sz w:val="21"/>
                    <w:szCs w:val="21"/>
                  </w:rPr>
                  <m:t>b</m:t>
                </m:r>
                <m:ctrlPr>
                  <w:rPr>
                    <w:rFonts w:ascii="DejaVu Math TeX Gyre" w:hAnsi="DejaVu Math TeX Gyre"/>
                    <w:sz w:val="21"/>
                    <w:szCs w:val="21"/>
                  </w:rPr>
                </m:ctrlPr>
              </m:sub>
            </m:sSub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w</m:t>
            </m: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default" w:ascii="DejaVu Math TeX Gyre" w:hAnsi="DejaVu Math TeX Gyre"/>
                    <w:sz w:val="21"/>
                    <w:szCs w:val="21"/>
                  </w:rPr>
                  <m:t>w</m:t>
                </m:r>
                <m:ctrlPr>
                  <w:rPr>
                    <w:rFonts w:ascii="DejaVu Math TeX Gyre" w:hAnsi="DejaVu Math TeX Gyre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default" w:ascii="DejaVu Math TeX Gyre" w:hAnsi="DejaVu Math TeX Gyre"/>
                    <w:sz w:val="21"/>
                    <w:szCs w:val="21"/>
                  </w:rPr>
                  <m:t>T</m:t>
                </m:r>
                <m:ctrlPr>
                  <w:rPr>
                    <w:rFonts w:ascii="DejaVu Math TeX Gyre" w:hAnsi="DejaVu Math TeX Gyre"/>
                    <w:sz w:val="21"/>
                    <w:szCs w:val="21"/>
                  </w:rPr>
                </m:ctrlPr>
              </m:sup>
            </m:sSup>
            <m:sSub>
              <m:sSubPr>
                <m:ctrlPr>
                  <w:rPr>
                    <w:rFonts w:hint="default" w:ascii="DejaVu Math TeX Gyre" w:hAnsi="DejaVu Math TeX Gyre"/>
                    <w:sz w:val="21"/>
                    <w:szCs w:val="21"/>
                  </w:rPr>
                </m:ctrlPr>
              </m:sSubPr>
              <m:e>
                <m:r>
                  <m:rPr/>
                  <w:rPr>
                    <w:rFonts w:hint="default" w:ascii="DejaVu Math TeX Gyre" w:hAnsi="DejaVu Math TeX Gyre"/>
                    <w:sz w:val="21"/>
                    <w:szCs w:val="21"/>
                  </w:rPr>
                  <m:t>S</m:t>
                </m:r>
                <m:ctrlPr>
                  <w:rPr>
                    <w:rFonts w:ascii="DejaVu Math TeX Gyre" w:hAnsi="DejaVu Math TeX Gyre"/>
                    <w:sz w:val="21"/>
                    <w:szCs w:val="21"/>
                  </w:rPr>
                </m:ctrlPr>
              </m:e>
              <m:sub>
                <m:r>
                  <m:rPr/>
                  <w:rPr>
                    <w:rFonts w:hint="default" w:ascii="DejaVu Math TeX Gyre" w:hAnsi="DejaVu Math TeX Gyre"/>
                    <w:sz w:val="21"/>
                    <w:szCs w:val="21"/>
                  </w:rPr>
                  <m:t>w</m:t>
                </m:r>
                <m:ctrlPr>
                  <w:rPr>
                    <w:rFonts w:ascii="DejaVu Math TeX Gyre" w:hAnsi="DejaVu Math TeX Gyre"/>
                    <w:sz w:val="21"/>
                    <w:szCs w:val="21"/>
                  </w:rPr>
                </m:ctrlPr>
              </m:sub>
            </m:sSub>
            <m:r>
              <m:rPr/>
              <w:rPr>
                <w:rFonts w:hint="default" w:ascii="DejaVu Math TeX Gyre" w:hAnsi="DejaVu Math TeX Gyre"/>
                <w:sz w:val="21"/>
                <w:szCs w:val="21"/>
              </w:rPr>
              <m:t>w</m:t>
            </m:r>
            <m:ctrlPr>
              <w:rPr>
                <w:rFonts w:hint="default" w:ascii="DejaVu Math TeX Gyre" w:hAnsi="DejaVu Math TeX Gyre"/>
                <w:sz w:val="21"/>
                <w:szCs w:val="21"/>
              </w:rPr>
            </m:ctrlPr>
          </m:den>
        </m:f>
      </m:oMath>
      <w:r>
        <w:rPr>
          <w:rFonts w:hint="eastAsia" w:hAnsi="DejaVu Math TeX Gyre"/>
          <w:i w:val="0"/>
          <w:sz w:val="21"/>
          <w:szCs w:val="21"/>
          <w:lang w:val="en-US" w:eastAsia="zh-CN"/>
        </w:rPr>
        <w:t>的分子几乎没有可用信号，LDA找不到有意义的线性判别方向</w:t>
      </w:r>
    </w:p>
    <w:p w14:paraId="6DEA604D">
      <w:pPr>
        <w:rPr>
          <w:sz w:val="21"/>
          <w:szCs w:val="21"/>
        </w:rPr>
      </w:pPr>
    </w:p>
    <w:p w14:paraId="3D338461">
      <w:pPr>
        <w:rPr>
          <w:sz w:val="21"/>
          <w:szCs w:val="21"/>
        </w:rPr>
      </w:pPr>
    </w:p>
    <w:p w14:paraId="7C6A4581">
      <w:pPr>
        <w:rPr>
          <w:sz w:val="21"/>
          <w:szCs w:val="21"/>
        </w:rPr>
      </w:pPr>
    </w:p>
    <w:p w14:paraId="13F95A4E">
      <w:pPr>
        <w:rPr>
          <w:sz w:val="21"/>
          <w:szCs w:val="21"/>
        </w:rPr>
      </w:pPr>
    </w:p>
    <w:p w14:paraId="600A204D">
      <w:pPr>
        <w:rPr>
          <w:sz w:val="18"/>
          <w:szCs w:val="18"/>
        </w:rPr>
      </w:pPr>
    </w:p>
    <w:p w14:paraId="7F860C20">
      <w:pPr>
        <w:rPr>
          <w:sz w:val="18"/>
          <w:szCs w:val="18"/>
        </w:rPr>
      </w:pPr>
    </w:p>
    <w:p w14:paraId="548C25E1">
      <w:pPr>
        <w:rPr>
          <w:sz w:val="18"/>
          <w:szCs w:val="18"/>
        </w:rPr>
      </w:pPr>
    </w:p>
    <w:p w14:paraId="1F960521">
      <w:pPr>
        <w:rPr>
          <w:sz w:val="18"/>
          <w:szCs w:val="18"/>
        </w:rPr>
      </w:pPr>
    </w:p>
    <w:p w14:paraId="594F750A">
      <w:pPr>
        <w:rPr>
          <w:sz w:val="18"/>
          <w:szCs w:val="18"/>
        </w:rPr>
      </w:pPr>
    </w:p>
    <w:p w14:paraId="5849E75C">
      <w:pPr>
        <w:rPr>
          <w:sz w:val="18"/>
          <w:szCs w:val="18"/>
        </w:rPr>
      </w:pPr>
    </w:p>
    <w:p w14:paraId="263D8F63">
      <w:pPr>
        <w:rPr>
          <w:sz w:val="18"/>
          <w:szCs w:val="18"/>
        </w:rPr>
      </w:pPr>
    </w:p>
    <w:p w14:paraId="22B29013">
      <w:pPr>
        <w:rPr>
          <w:sz w:val="18"/>
          <w:szCs w:val="18"/>
        </w:rPr>
      </w:pPr>
    </w:p>
    <w:p w14:paraId="374DEAD7">
      <w:pPr>
        <w:rPr>
          <w:sz w:val="18"/>
          <w:szCs w:val="18"/>
        </w:rPr>
      </w:pPr>
    </w:p>
    <w:p w14:paraId="43370DF3">
      <w:pPr>
        <w:rPr>
          <w:sz w:val="18"/>
          <w:szCs w:val="18"/>
        </w:rPr>
      </w:pPr>
    </w:p>
    <w:p w14:paraId="321F06EF">
      <w:pPr>
        <w:rPr>
          <w:sz w:val="18"/>
          <w:szCs w:val="18"/>
        </w:rPr>
      </w:pPr>
    </w:p>
    <w:p w14:paraId="6B59C8A0">
      <w:pPr>
        <w:rPr>
          <w:sz w:val="18"/>
          <w:szCs w:val="18"/>
        </w:rPr>
      </w:pPr>
    </w:p>
    <w:p w14:paraId="6E729F1A">
      <w:pPr>
        <w:rPr>
          <w:sz w:val="18"/>
          <w:szCs w:val="18"/>
        </w:rPr>
      </w:pPr>
    </w:p>
    <w:p w14:paraId="3E4EA7C0">
      <w:pPr>
        <w:rPr>
          <w:sz w:val="18"/>
          <w:szCs w:val="18"/>
        </w:rPr>
      </w:pPr>
    </w:p>
    <w:p w14:paraId="210FAE8B">
      <w:pPr>
        <w:rPr>
          <w:sz w:val="18"/>
          <w:szCs w:val="18"/>
        </w:rPr>
      </w:pPr>
    </w:p>
    <w:p w14:paraId="0CB73617">
      <w:pPr>
        <w:rPr>
          <w:sz w:val="18"/>
          <w:szCs w:val="18"/>
        </w:rPr>
      </w:pPr>
    </w:p>
    <w:p w14:paraId="6158F05B">
      <w:pPr>
        <w:rPr>
          <w:sz w:val="18"/>
          <w:szCs w:val="18"/>
        </w:rPr>
      </w:pPr>
    </w:p>
    <w:p w14:paraId="0C34AE78">
      <w:pPr>
        <w:rPr>
          <w:sz w:val="18"/>
          <w:szCs w:val="18"/>
        </w:rPr>
      </w:pPr>
    </w:p>
    <w:p w14:paraId="4F7A6FC7">
      <w:pPr>
        <w:rPr>
          <w:sz w:val="18"/>
          <w:szCs w:val="18"/>
        </w:rPr>
      </w:pPr>
    </w:p>
    <w:p w14:paraId="6DEBED77">
      <w:pPr>
        <w:rPr>
          <w:sz w:val="18"/>
          <w:szCs w:val="18"/>
        </w:rPr>
      </w:pPr>
    </w:p>
    <w:p w14:paraId="69D13D4A">
      <w:pPr>
        <w:rPr>
          <w:sz w:val="18"/>
          <w:szCs w:val="18"/>
        </w:rPr>
      </w:pPr>
    </w:p>
    <w:p w14:paraId="15A0FF4B">
      <w:pPr>
        <w:rPr>
          <w:sz w:val="18"/>
          <w:szCs w:val="18"/>
        </w:rPr>
      </w:pPr>
    </w:p>
    <w:tbl>
      <w:tblPr>
        <w:tblStyle w:val="3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5EE3582B">
        <w:trPr>
          <w:trHeight w:val="6496" w:hRule="atLeast"/>
        </w:trPr>
        <w:tc>
          <w:tcPr>
            <w:tcW w:w="8160" w:type="dxa"/>
          </w:tcPr>
          <w:p w14:paraId="71A7D8B8">
            <w:r>
              <w:rPr>
                <w:rFonts w:hint="eastAsia"/>
              </w:rPr>
              <w:t>指导教师批阅意见：</w:t>
            </w:r>
          </w:p>
          <w:p w14:paraId="4F31FCF5"/>
          <w:p w14:paraId="4BC2356B"/>
          <w:p w14:paraId="748831B8"/>
          <w:p w14:paraId="27E8569B"/>
          <w:p w14:paraId="174F4E67"/>
          <w:p w14:paraId="587F93F1"/>
          <w:p w14:paraId="315B6C2E"/>
          <w:p w14:paraId="1B51DC35"/>
          <w:p w14:paraId="2E799946"/>
          <w:p w14:paraId="09F9D8DE"/>
          <w:p w14:paraId="41D41176"/>
          <w:p w14:paraId="7FAEAC1D"/>
          <w:p w14:paraId="6B0DC2FA"/>
          <w:p w14:paraId="09FDE723">
            <w:r>
              <w:rPr>
                <w:rFonts w:hint="eastAsia"/>
              </w:rPr>
              <w:t>成绩评定：</w:t>
            </w:r>
          </w:p>
          <w:p w14:paraId="6C98D5FF"/>
          <w:p w14:paraId="3E567EE3"/>
          <w:p w14:paraId="174EAFFF"/>
          <w:p w14:paraId="78E77711"/>
          <w:p w14:paraId="59D59254"/>
          <w:p w14:paraId="5C88F134"/>
          <w:p w14:paraId="40C281D5"/>
          <w:p w14:paraId="00FBAB10">
            <w:r>
              <w:rPr>
                <w:rFonts w:hint="eastAsia"/>
              </w:rPr>
              <w:t xml:space="preserve">                                          指导教师签字：</w:t>
            </w:r>
          </w:p>
          <w:p w14:paraId="51DE40C1"/>
          <w:p w14:paraId="566711F1">
            <w:r>
              <w:rPr>
                <w:rFonts w:hint="eastAsia"/>
              </w:rPr>
              <w:t xml:space="preserve">                                                    年    月    日</w:t>
            </w:r>
          </w:p>
          <w:p w14:paraId="4B282A16"/>
        </w:tc>
      </w:tr>
      <w:tr w14:paraId="661D5BC3">
        <w:trPr>
          <w:trHeight w:val="1236" w:hRule="atLeast"/>
        </w:trPr>
        <w:tc>
          <w:tcPr>
            <w:tcW w:w="8160" w:type="dxa"/>
          </w:tcPr>
          <w:p w14:paraId="52BA6314">
            <w:r>
              <w:rPr>
                <w:rFonts w:hint="eastAsia"/>
              </w:rPr>
              <w:t>备注：</w:t>
            </w:r>
          </w:p>
          <w:p w14:paraId="5377E0F6"/>
          <w:p w14:paraId="38FE3062"/>
          <w:p w14:paraId="0A92F27A"/>
          <w:p w14:paraId="426CE1C0"/>
        </w:tc>
      </w:tr>
    </w:tbl>
    <w:p w14:paraId="05439053"/>
    <w:p w14:paraId="1C2CC3F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ambria Math">
    <w:altName w:val="Kingsoft Math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Kingsoft Math">
    <w:panose1 w:val="02040503050406030204"/>
    <w:charset w:val="00"/>
    <w:family w:val="auto"/>
    <w:pitch w:val="default"/>
    <w:sig w:usb0="80000087" w:usb1="00002068" w:usb2="00000000" w:usb3="00000000" w:csb0="2000019F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MS Mincho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aTeX_Math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aTeX_Size2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aTeX_Caligraphi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7248D6"/>
    <w:multiLevelType w:val="multilevel"/>
    <w:tmpl w:val="047248D6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1">
    <w:nsid w:val="17E97709"/>
    <w:multiLevelType w:val="multilevel"/>
    <w:tmpl w:val="17E97709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abstractNum w:abstractNumId="2">
    <w:nsid w:val="35B52C95"/>
    <w:multiLevelType w:val="multilevel"/>
    <w:tmpl w:val="35B52C95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73E6"/>
    <w:rsid w:val="00003749"/>
    <w:rsid w:val="002D7076"/>
    <w:rsid w:val="00352D59"/>
    <w:rsid w:val="00385072"/>
    <w:rsid w:val="00401963"/>
    <w:rsid w:val="00585032"/>
    <w:rsid w:val="005B60EF"/>
    <w:rsid w:val="008D7952"/>
    <w:rsid w:val="0090666F"/>
    <w:rsid w:val="00A673E6"/>
    <w:rsid w:val="00D13FEA"/>
    <w:rsid w:val="00DD1EA9"/>
    <w:rsid w:val="00EF1164"/>
    <w:rsid w:val="0AF3628F"/>
    <w:rsid w:val="15F335E7"/>
    <w:rsid w:val="1BFEDA88"/>
    <w:rsid w:val="1D547061"/>
    <w:rsid w:val="23A10B26"/>
    <w:rsid w:val="299627B0"/>
    <w:rsid w:val="2CE965C4"/>
    <w:rsid w:val="2FBE480E"/>
    <w:rsid w:val="35213875"/>
    <w:rsid w:val="3BF7038D"/>
    <w:rsid w:val="3ED9B2C3"/>
    <w:rsid w:val="405E59BC"/>
    <w:rsid w:val="419C7DA8"/>
    <w:rsid w:val="45140D01"/>
    <w:rsid w:val="47D91D8D"/>
    <w:rsid w:val="48684EBF"/>
    <w:rsid w:val="4AE95026"/>
    <w:rsid w:val="50C032C4"/>
    <w:rsid w:val="55517407"/>
    <w:rsid w:val="57D5239D"/>
    <w:rsid w:val="57E70F33"/>
    <w:rsid w:val="58E16CF4"/>
    <w:rsid w:val="5A113609"/>
    <w:rsid w:val="5FF90DC7"/>
    <w:rsid w:val="6EAD34A8"/>
    <w:rsid w:val="6F1EA231"/>
    <w:rsid w:val="6F5FBC20"/>
    <w:rsid w:val="6F734C07"/>
    <w:rsid w:val="6FFF3DB9"/>
    <w:rsid w:val="70A00DEB"/>
    <w:rsid w:val="733A72D5"/>
    <w:rsid w:val="76FF9BB3"/>
    <w:rsid w:val="7AB34E3C"/>
    <w:rsid w:val="7B220D7A"/>
    <w:rsid w:val="7DDF49CD"/>
    <w:rsid w:val="7EFFCC3A"/>
    <w:rsid w:val="7F5F39AA"/>
    <w:rsid w:val="7F7D3829"/>
    <w:rsid w:val="7FBE6E18"/>
    <w:rsid w:val="7FBFD374"/>
    <w:rsid w:val="7FBFD6E5"/>
    <w:rsid w:val="7FFB279F"/>
    <w:rsid w:val="9FFF981D"/>
    <w:rsid w:val="BEDDEEF7"/>
    <w:rsid w:val="BEFFE8F7"/>
    <w:rsid w:val="BF97F4EC"/>
    <w:rsid w:val="CE698F5E"/>
    <w:rsid w:val="EFFD3113"/>
    <w:rsid w:val="F37FE3D2"/>
    <w:rsid w:val="F39DE2A5"/>
    <w:rsid w:val="F3C725D8"/>
    <w:rsid w:val="F6A59516"/>
    <w:rsid w:val="F7D69A09"/>
    <w:rsid w:val="FE9F2B26"/>
    <w:rsid w:val="FFCEC4BF"/>
    <w:rsid w:val="FFD7569E"/>
    <w:rsid w:val="FFEFD9B3"/>
    <w:rsid w:val="FFFF4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" w:after="120"/>
      <w:jc w:val="left"/>
      <w:outlineLvl w:val="0"/>
    </w:pPr>
    <w:rPr>
      <w:b/>
      <w:bCs/>
      <w:kern w:val="44"/>
      <w:sz w:val="28"/>
      <w:szCs w:val="28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paragraph" w:styleId="8">
    <w:name w:val="List Paragraph"/>
    <w:basedOn w:val="1"/>
    <w:qFormat/>
    <w:uiPriority w:val="34"/>
    <w:pPr>
      <w:ind w:firstLine="420" w:firstLineChars="200"/>
    </w:pPr>
  </w:style>
  <w:style w:type="paragraph" w:customStyle="1" w:styleId="9">
    <w:name w:val="正文文字"/>
    <w:basedOn w:val="1"/>
    <w:qFormat/>
    <w:uiPriority w:val="0"/>
    <w:pPr>
      <w:widowControl/>
      <w:ind w:firstLine="420"/>
    </w:pPr>
    <w:rPr>
      <w:kern w:val="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173</Words>
  <Characters>992</Characters>
  <Lines>8</Lines>
  <Paragraphs>2</Paragraphs>
  <TotalTime>1</TotalTime>
  <ScaleCrop>false</ScaleCrop>
  <LinksUpToDate>false</LinksUpToDate>
  <CharactersWithSpaces>1163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2026-03-13T14:18:00Z</dcterms:created>
  <dc:creator>Lenovo</dc:creator>
  <cp:lastModifiedBy>WPS_1647091957</cp:lastModifiedBy>
  <dcterms:modified xsi:type="dcterms:W3CDTF">2026-04-08T13:49:55Z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2052-12.1.22553.22553</vt:lpwstr>
  </property>
  <property fmtid="{D5CDD505-2E9C-101B-9397-08002B2CF9AE}" pid="3" name="KSOTemplateDocerSaveRecord">
    <vt:lpwstr>eyJoZGlkIjoiOGEyYTQ2YWY2MmQxZDE5NThmMDBiZjI1ZWM3NWRlNzgiLCJ1c2VySWQiOiI5MTIxMTUxODgifQ==</vt:lpwstr>
  </property>
  <property fmtid="{D5CDD505-2E9C-101B-9397-08002B2CF9AE}" pid="4" name="ICV">
    <vt:lpwstr>EC08A0D5FA1A2A7383ECD56984E0F767_43</vt:lpwstr>
  </property>
</Properties>
</file>