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27F6B">
      <w:pPr>
        <w:jc w:val="center"/>
        <w:rPr>
          <w:rFonts w:hint="eastAsia"/>
          <w:sz w:val="44"/>
          <w:szCs w:val="44"/>
        </w:rPr>
      </w:pPr>
      <w:bookmarkStart w:id="2" w:name="_GoBack"/>
      <w:bookmarkEnd w:id="2"/>
      <w:r>
        <w:rPr>
          <w:rFonts w:hint="eastAsia"/>
          <w:sz w:val="44"/>
          <w:szCs w:val="44"/>
        </w:rPr>
        <w:t>深圳大学考试答题纸</w:t>
      </w:r>
    </w:p>
    <w:p w14:paraId="3D6917D7">
      <w:pPr>
        <w:jc w:val="center"/>
        <w:rPr>
          <w:sz w:val="24"/>
        </w:rPr>
      </w:pPr>
      <w:r>
        <w:rPr>
          <w:rFonts w:hint="eastAsia"/>
          <w:sz w:val="24"/>
        </w:rPr>
        <w:t>(以论文、报告等形式考核专用)</w:t>
      </w:r>
      <w:r>
        <w:rPr>
          <w:sz w:val="24"/>
        </w:rPr>
        <w:br w:type="textWrapping"/>
      </w:r>
      <w:r>
        <w:rPr>
          <w:rFonts w:hint="eastAsia"/>
          <w:sz w:val="24"/>
        </w:rPr>
        <w:t>二○二五～二○二六学年度第二学期</w:t>
      </w:r>
    </w:p>
    <w:p w14:paraId="713EF8F9">
      <w:pPr>
        <w:jc w:val="center"/>
        <w:rPr>
          <w:sz w:val="24"/>
        </w:rPr>
      </w:pPr>
    </w:p>
    <w:p w14:paraId="1816E1E5">
      <w:pPr>
        <w:jc w:val="left"/>
        <w:rPr>
          <w:rFonts w:ascii="宋体" w:hAnsi="宋体"/>
          <w:sz w:val="20"/>
          <w:szCs w:val="20"/>
          <w:u w:val="single"/>
        </w:rPr>
      </w:pPr>
      <w:r>
        <w:rPr>
          <w:rFonts w:ascii="宋体" w:hAnsi="宋体"/>
          <w:sz w:val="20"/>
          <w:szCs w:val="20"/>
        </w:rPr>
        <w:t>课程编号</w:t>
      </w:r>
      <w:r>
        <w:rPr>
          <w:rFonts w:ascii="宋体" w:hAnsi="宋体"/>
          <w:sz w:val="20"/>
          <w:szCs w:val="20"/>
        </w:rPr>
        <w:tab/>
      </w:r>
      <w:r>
        <w:rPr>
          <w:rFonts w:hint="eastAsia" w:ascii="宋体" w:hAnsi="宋体"/>
          <w:sz w:val="20"/>
          <w:szCs w:val="20"/>
          <w:u w:val="single"/>
        </w:rPr>
        <w:t>1501990047</w:t>
      </w:r>
      <w:r>
        <w:rPr>
          <w:rFonts w:ascii="宋体" w:hAnsi="宋体"/>
          <w:sz w:val="20"/>
          <w:szCs w:val="20"/>
        </w:rPr>
        <w:tab/>
      </w:r>
      <w:r>
        <w:rPr>
          <w:rFonts w:ascii="宋体" w:hAnsi="宋体"/>
          <w:sz w:val="20"/>
          <w:szCs w:val="20"/>
        </w:rPr>
        <w:t>课序号</w:t>
      </w:r>
      <w:r>
        <w:rPr>
          <w:rFonts w:ascii="宋体" w:hAnsi="宋体"/>
          <w:sz w:val="20"/>
          <w:szCs w:val="20"/>
        </w:rPr>
        <w:tab/>
      </w:r>
      <w:r>
        <w:rPr>
          <w:rFonts w:ascii="宋体" w:hAnsi="宋体"/>
          <w:sz w:val="20"/>
          <w:szCs w:val="20"/>
          <w:u w:val="single"/>
        </w:rPr>
        <w:t>0</w:t>
      </w:r>
      <w:r>
        <w:rPr>
          <w:rFonts w:hint="eastAsia" w:ascii="宋体" w:hAnsi="宋体"/>
          <w:sz w:val="20"/>
          <w:szCs w:val="20"/>
          <w:u w:val="single"/>
          <w:lang w:val="en-US" w:eastAsia="zh-CN"/>
        </w:rPr>
        <w:t>1</w:t>
      </w:r>
      <w:r>
        <w:rPr>
          <w:rFonts w:ascii="宋体" w:hAnsi="宋体"/>
          <w:sz w:val="20"/>
          <w:szCs w:val="20"/>
        </w:rPr>
        <w:tab/>
      </w:r>
      <w:r>
        <w:rPr>
          <w:rFonts w:ascii="宋体" w:hAnsi="宋体"/>
          <w:sz w:val="20"/>
          <w:szCs w:val="20"/>
        </w:rPr>
        <w:t>课程名称</w:t>
      </w:r>
      <w:r>
        <w:rPr>
          <w:rFonts w:ascii="宋体" w:hAnsi="宋体"/>
          <w:sz w:val="20"/>
          <w:szCs w:val="20"/>
        </w:rPr>
        <w:tab/>
      </w:r>
      <w:r>
        <w:rPr>
          <w:rFonts w:hint="eastAsia" w:ascii="宋体" w:hAnsi="宋体"/>
          <w:strike w:val="0"/>
          <w:dstrike w:val="0"/>
          <w:sz w:val="20"/>
          <w:szCs w:val="20"/>
          <w:u w:val="single"/>
          <w:lang w:val="en-US" w:eastAsia="zh-CN"/>
        </w:rPr>
        <w:t>人工智能</w:t>
      </w:r>
      <w:r>
        <w:rPr>
          <w:rFonts w:ascii="宋体" w:hAnsi="宋体"/>
          <w:sz w:val="20"/>
          <w:szCs w:val="20"/>
          <w:u w:val="single"/>
        </w:rPr>
        <w:t>伦理</w:t>
      </w:r>
      <w:r>
        <w:rPr>
          <w:rFonts w:ascii="宋体" w:hAnsi="宋体"/>
          <w:sz w:val="20"/>
          <w:szCs w:val="20"/>
        </w:rPr>
        <w:tab/>
      </w:r>
      <w:r>
        <w:rPr>
          <w:rFonts w:ascii="宋体" w:hAnsi="宋体"/>
          <w:sz w:val="20"/>
          <w:szCs w:val="20"/>
        </w:rPr>
        <w:t>主讲教师</w:t>
      </w:r>
      <w:r>
        <w:rPr>
          <w:rFonts w:ascii="宋体" w:hAnsi="宋体"/>
          <w:sz w:val="20"/>
          <w:szCs w:val="20"/>
          <w:u w:val="single"/>
        </w:rPr>
        <w:tab/>
      </w:r>
      <w:r>
        <w:rPr>
          <w:rFonts w:ascii="宋体" w:hAnsi="宋体"/>
          <w:sz w:val="20"/>
          <w:szCs w:val="20"/>
          <w:u w:val="single"/>
        </w:rPr>
        <w:t>ZHANG LIANGJIE</w:t>
      </w:r>
      <w:r>
        <w:rPr>
          <w:rFonts w:ascii="宋体" w:hAnsi="宋体"/>
          <w:sz w:val="20"/>
          <w:szCs w:val="20"/>
        </w:rPr>
        <w:tab/>
      </w:r>
      <w:r>
        <w:rPr>
          <w:rFonts w:hint="eastAsia" w:ascii="宋体" w:hAnsi="宋体"/>
          <w:sz w:val="20"/>
          <w:szCs w:val="20"/>
        </w:rPr>
        <w:t xml:space="preserve"> </w:t>
      </w:r>
      <w:r>
        <w:rPr>
          <w:rFonts w:ascii="宋体" w:hAnsi="宋体"/>
          <w:sz w:val="20"/>
          <w:szCs w:val="20"/>
        </w:rPr>
        <w:t>评分</w:t>
      </w:r>
      <w:r>
        <w:rPr>
          <w:rFonts w:hint="eastAsia" w:ascii="宋体" w:hAnsi="宋体"/>
          <w:sz w:val="20"/>
          <w:szCs w:val="20"/>
        </w:rPr>
        <w:t xml:space="preserve"> </w:t>
      </w:r>
      <w:r>
        <w:rPr>
          <w:rFonts w:ascii="宋体" w:hAnsi="宋体"/>
          <w:sz w:val="20"/>
          <w:szCs w:val="20"/>
          <w:u w:val="single"/>
        </w:rPr>
        <w:tab/>
      </w:r>
    </w:p>
    <w:p w14:paraId="2EBDA937">
      <w:pPr>
        <w:jc w:val="left"/>
        <w:rPr>
          <w:rFonts w:ascii="宋体" w:hAnsi="宋体"/>
          <w:sz w:val="20"/>
          <w:szCs w:val="20"/>
        </w:rPr>
      </w:pPr>
    </w:p>
    <w:p w14:paraId="57D6235B">
      <w:pPr>
        <w:jc w:val="left"/>
        <w:rPr>
          <w:rFonts w:hint="eastAsia" w:ascii="宋体" w:hAnsi="宋体"/>
          <w:sz w:val="20"/>
          <w:szCs w:val="20"/>
        </w:rPr>
      </w:pPr>
      <w:r>
        <w:rPr>
          <w:rFonts w:ascii="宋体" w:hAnsi="宋体"/>
          <w:sz w:val="20"/>
          <w:szCs w:val="20"/>
        </w:rPr>
        <w:t>座位号：</w:t>
      </w:r>
      <w:r>
        <w:rPr>
          <w:rFonts w:hint="eastAsia" w:ascii="宋体" w:hAnsi="宋体"/>
          <w:sz w:val="20"/>
          <w:szCs w:val="20"/>
          <w:u w:val="single"/>
        </w:rPr>
        <w:t xml:space="preserve"> </w:t>
      </w:r>
      <w:r>
        <w:rPr>
          <w:rFonts w:hint="eastAsia" w:ascii="宋体" w:hAnsi="宋体"/>
          <w:sz w:val="20"/>
          <w:szCs w:val="20"/>
          <w:u w:val="single"/>
          <w:lang w:val="en-US" w:eastAsia="zh-CN"/>
        </w:rPr>
        <w:t>03</w:t>
      </w:r>
      <w:r>
        <w:rPr>
          <w:rFonts w:hint="eastAsia" w:ascii="宋体" w:hAnsi="宋体"/>
          <w:sz w:val="20"/>
          <w:szCs w:val="20"/>
          <w:u w:val="single"/>
        </w:rPr>
        <w:t xml:space="preserve">    </w:t>
      </w:r>
      <w:r>
        <w:rPr>
          <w:rFonts w:ascii="宋体" w:hAnsi="宋体"/>
          <w:sz w:val="20"/>
          <w:szCs w:val="20"/>
        </w:rPr>
        <w:t xml:space="preserve"> 学号：</w:t>
      </w:r>
      <w:r>
        <w:rPr>
          <w:rFonts w:hint="eastAsia" w:ascii="宋体" w:hAnsi="宋体"/>
          <w:sz w:val="20"/>
          <w:szCs w:val="20"/>
          <w:u w:val="single"/>
        </w:rPr>
        <w:t xml:space="preserve"> </w:t>
      </w:r>
      <w:r>
        <w:rPr>
          <w:rFonts w:hint="eastAsia" w:ascii="宋体" w:hAnsi="宋体"/>
          <w:sz w:val="20"/>
          <w:szCs w:val="20"/>
          <w:u w:val="single"/>
          <w:lang w:val="en-US" w:eastAsia="zh-CN"/>
        </w:rPr>
        <w:t>2024150040</w:t>
      </w:r>
      <w:r>
        <w:rPr>
          <w:rFonts w:hint="eastAsia" w:ascii="宋体" w:hAnsi="宋体"/>
          <w:sz w:val="20"/>
          <w:szCs w:val="20"/>
          <w:u w:val="single"/>
        </w:rPr>
        <w:t xml:space="preserve">  </w:t>
      </w:r>
      <w:r>
        <w:rPr>
          <w:rFonts w:ascii="宋体" w:hAnsi="宋体"/>
          <w:sz w:val="20"/>
          <w:szCs w:val="20"/>
        </w:rPr>
        <w:t xml:space="preserve"> 姓名：</w:t>
      </w:r>
      <w:r>
        <w:rPr>
          <w:rFonts w:hint="eastAsia" w:ascii="宋体" w:hAnsi="宋体"/>
          <w:sz w:val="20"/>
          <w:szCs w:val="20"/>
          <w:u w:val="single"/>
        </w:rPr>
        <w:t xml:space="preserve"> </w:t>
      </w:r>
      <w:r>
        <w:rPr>
          <w:rFonts w:hint="eastAsia" w:ascii="宋体" w:hAnsi="宋体"/>
          <w:sz w:val="20"/>
          <w:szCs w:val="20"/>
          <w:u w:val="single"/>
          <w:lang w:val="en-US" w:eastAsia="zh-CN"/>
        </w:rPr>
        <w:t>邓瑞霖</w:t>
      </w:r>
      <w:r>
        <w:rPr>
          <w:rFonts w:hint="eastAsia" w:ascii="宋体" w:hAnsi="宋体"/>
          <w:sz w:val="20"/>
          <w:szCs w:val="20"/>
          <w:u w:val="single"/>
        </w:rPr>
        <w:t xml:space="preserve">   </w:t>
      </w:r>
      <w:r>
        <w:rPr>
          <w:rFonts w:ascii="宋体" w:hAnsi="宋体"/>
          <w:sz w:val="20"/>
          <w:szCs w:val="20"/>
        </w:rPr>
        <w:t xml:space="preserve"> 专业年级</w:t>
      </w:r>
      <w:r>
        <w:rPr>
          <w:rFonts w:hint="eastAsia" w:ascii="宋体" w:hAnsi="宋体"/>
          <w:sz w:val="20"/>
          <w:szCs w:val="20"/>
        </w:rPr>
        <w:t>：</w:t>
      </w:r>
      <w:r>
        <w:rPr>
          <w:rFonts w:hint="eastAsia" w:ascii="宋体" w:hAnsi="宋体"/>
          <w:sz w:val="20"/>
          <w:szCs w:val="20"/>
          <w:u w:val="single"/>
        </w:rPr>
        <w:t xml:space="preserve"> </w:t>
      </w:r>
      <w:r>
        <w:rPr>
          <w:rFonts w:hint="eastAsia" w:ascii="宋体" w:hAnsi="宋体"/>
          <w:sz w:val="20"/>
          <w:szCs w:val="20"/>
          <w:u w:val="single"/>
          <w:lang w:val="en-US" w:eastAsia="zh-CN"/>
        </w:rPr>
        <w:t>2024级人工智能卓越班</w:t>
      </w:r>
      <w:r>
        <w:rPr>
          <w:rFonts w:hint="eastAsia" w:ascii="宋体" w:hAnsi="宋体"/>
          <w:sz w:val="20"/>
          <w:szCs w:val="20"/>
          <w:u w:val="single"/>
        </w:rPr>
        <w:t xml:space="preserve">                   </w:t>
      </w:r>
    </w:p>
    <w:p w14:paraId="6309B3C6">
      <w:pPr>
        <w:jc w:val="center"/>
        <w:rPr>
          <w:rFonts w:ascii="宋体" w:hAnsi="宋体"/>
          <w:sz w:val="20"/>
          <w:szCs w:val="20"/>
        </w:rPr>
      </w:pPr>
    </w:p>
    <w:p w14:paraId="5399588B">
      <w:pPr>
        <w:jc w:val="center"/>
        <w:rPr>
          <w:rFonts w:ascii="宋体" w:hAnsi="宋体"/>
          <w:sz w:val="20"/>
          <w:szCs w:val="20"/>
        </w:rPr>
      </w:pPr>
    </w:p>
    <w:p w14:paraId="2DF3EB26">
      <w:pPr>
        <w:jc w:val="center"/>
        <w:rPr>
          <w:rFonts w:hint="eastAsia"/>
          <w:sz w:val="20"/>
          <w:szCs w:val="20"/>
        </w:rPr>
      </w:pPr>
    </w:p>
    <w:tbl>
      <w:tblPr>
        <w:tblStyle w:val="8"/>
        <w:tblW w:w="9392" w:type="dxa"/>
        <w:jc w:val="center"/>
        <w:tblLayout w:type="fixed"/>
        <w:tblCellMar>
          <w:top w:w="0" w:type="dxa"/>
          <w:left w:w="108" w:type="dxa"/>
          <w:bottom w:w="0" w:type="dxa"/>
          <w:right w:w="108" w:type="dxa"/>
        </w:tblCellMar>
      </w:tblPr>
      <w:tblGrid>
        <w:gridCol w:w="1154"/>
        <w:gridCol w:w="6934"/>
        <w:gridCol w:w="1304"/>
      </w:tblGrid>
      <w:tr w14:paraId="4F787B66">
        <w:trPr>
          <w:wBefore w:w="0" w:type="dxa"/>
          <w:wAfter w:w="0" w:type="dxa"/>
          <w:trHeight w:val="236" w:hRule="exact"/>
          <w:jc w:val="center"/>
        </w:trPr>
        <w:tc>
          <w:tcPr>
            <w:tcW w:w="9392" w:type="dxa"/>
            <w:gridSpan w:val="3"/>
            <w:tcBorders>
              <w:bottom w:val="single" w:color="auto" w:sz="4" w:space="0"/>
            </w:tcBorders>
            <w:noWrap w:val="0"/>
            <w:vAlign w:val="bottom"/>
          </w:tcPr>
          <w:p w14:paraId="30B586FB">
            <w:pPr>
              <w:rPr>
                <w:rFonts w:hint="eastAsia" w:eastAsia="楷体_GB2312"/>
                <w:szCs w:val="21"/>
              </w:rPr>
            </w:pPr>
          </w:p>
        </w:tc>
      </w:tr>
      <w:tr w14:paraId="55FF2CB8">
        <w:trPr>
          <w:wBefore w:w="0" w:type="dxa"/>
          <w:wAfter w:w="0" w:type="dxa"/>
          <w:trHeight w:val="5545" w:hRule="atLeast"/>
          <w:jc w:val="center"/>
        </w:trPr>
        <w:tc>
          <w:tcPr>
            <w:tcW w:w="9392" w:type="dxa"/>
            <w:gridSpan w:val="3"/>
            <w:tcBorders>
              <w:top w:val="single" w:color="auto" w:sz="4" w:space="0"/>
              <w:left w:val="single" w:color="auto" w:sz="4" w:space="0"/>
              <w:right w:val="single" w:color="auto" w:sz="4" w:space="0"/>
            </w:tcBorders>
            <w:noWrap w:val="0"/>
            <w:vAlign w:val="top"/>
          </w:tcPr>
          <w:p w14:paraId="225AD7B2">
            <w:pPr>
              <w:rPr>
                <w:rFonts w:hint="eastAsia" w:eastAsia="楷体_GB2312"/>
                <w:szCs w:val="21"/>
              </w:rPr>
            </w:pPr>
            <w:r>
              <w:rPr>
                <w:rFonts w:hint="eastAsia" w:eastAsia="楷体_GB2312"/>
                <w:szCs w:val="21"/>
              </w:rPr>
              <w:t>教师评语：</w:t>
            </w:r>
          </w:p>
        </w:tc>
      </w:tr>
      <w:tr w14:paraId="21A49545">
        <w:trPr>
          <w:wBefore w:w="0" w:type="dxa"/>
          <w:trHeight w:val="1597" w:hRule="atLeast"/>
          <w:jc w:val="center"/>
        </w:trPr>
        <w:tc>
          <w:tcPr>
            <w:tcW w:w="1154" w:type="dxa"/>
            <w:tcBorders>
              <w:top w:val="single" w:color="auto" w:sz="4" w:space="0"/>
            </w:tcBorders>
            <w:noWrap w:val="0"/>
            <w:vAlign w:val="center"/>
          </w:tcPr>
          <w:p w14:paraId="545F2749">
            <w:pPr>
              <w:wordWrap w:val="0"/>
              <w:jc w:val="center"/>
              <w:rPr>
                <w:rFonts w:hint="eastAsia" w:eastAsia="楷体_GB2312"/>
                <w:sz w:val="24"/>
              </w:rPr>
            </w:pPr>
            <w:r>
              <w:rPr>
                <w:rFonts w:hint="eastAsia" w:eastAsia="楷体_GB2312"/>
                <w:sz w:val="24"/>
              </w:rPr>
              <w:t>题目：</w:t>
            </w:r>
          </w:p>
        </w:tc>
        <w:tc>
          <w:tcPr>
            <w:tcW w:w="6934" w:type="dxa"/>
            <w:tcBorders>
              <w:top w:val="single" w:color="auto" w:sz="4" w:space="0"/>
              <w:bottom w:val="single" w:color="auto" w:sz="4" w:space="0"/>
            </w:tcBorders>
            <w:noWrap w:val="0"/>
            <w:vAlign w:val="center"/>
          </w:tcPr>
          <w:p w14:paraId="36DE6CDB">
            <w:pPr>
              <w:jc w:val="center"/>
              <w:rPr>
                <w:rFonts w:hint="eastAsia" w:ascii="黑体" w:eastAsia="黑体"/>
                <w:sz w:val="28"/>
                <w:szCs w:val="28"/>
              </w:rPr>
            </w:pPr>
            <w:r>
              <w:rPr>
                <w:rFonts w:hint="eastAsia" w:ascii="黑体" w:eastAsia="黑体"/>
                <w:sz w:val="28"/>
                <w:szCs w:val="28"/>
              </w:rPr>
              <w:t>AI智能体的伦理风险与治理策略研究</w:t>
            </w:r>
          </w:p>
        </w:tc>
        <w:tc>
          <w:tcPr>
            <w:tcW w:w="1304" w:type="dxa"/>
            <w:tcBorders>
              <w:top w:val="single" w:color="auto" w:sz="4" w:space="0"/>
            </w:tcBorders>
            <w:noWrap w:val="0"/>
            <w:vAlign w:val="center"/>
          </w:tcPr>
          <w:p w14:paraId="674B241D">
            <w:pPr>
              <w:jc w:val="center"/>
              <w:rPr>
                <w:rFonts w:hint="eastAsia" w:eastAsia="楷体_GB2312"/>
                <w:sz w:val="24"/>
              </w:rPr>
            </w:pPr>
          </w:p>
        </w:tc>
      </w:tr>
    </w:tbl>
    <w:p w14:paraId="3772011F">
      <w:pPr>
        <w:pStyle w:val="2"/>
      </w:pPr>
      <w:r>
        <w:rPr>
          <w:rFonts w:ascii="黑体" w:hAnsi="黑体" w:eastAsia="黑体"/>
        </w:rPr>
        <w:t>摘要</w:t>
      </w:r>
    </w:p>
    <w:p w14:paraId="1E0E164A">
      <w:pPr>
        <w:spacing w:before="0" w:after="0" w:line="240" w:lineRule="auto"/>
        <w:ind w:firstLine="420"/>
      </w:pPr>
      <w:r>
        <w:rPr>
          <w:rFonts w:ascii="宋体" w:hAnsi="宋体" w:eastAsia="宋体"/>
          <w:b w:val="0"/>
          <w:i w:val="0"/>
          <w:sz w:val="21"/>
        </w:rPr>
        <w:t>2025年至2026年，人工智能技术正经历从"内容生成工具"向"智能体系统"（AI Agent）的范式跃迁。AI智能体不仅具备语言理解和生成能力，更拥有任务规划、工具调用、自主决策和持续行动等能力，正在深刻重塑教育、医疗、金融、政务、科研等关键社会领域。然而，智能体系统的自主性与行动能力也带来了前所未有的伦理挑战：幻觉导致的错误决策、未经授权的隐私访问、算法偏见的系统性放大、责任归属的模糊化，以及深度伪造与网络攻击等恶意滥用风险。本文从计算机伦理学的理论框架出发，系统分析AI智能体的正面与负面社会影响，探讨监管与创新之间的张力平衡，深入剖析职业责任、隐私保护、知识产权、算法公平和安全风险等核心伦理议题，并结合真实案例提出面向未来的AI智能体伦理治理策略。本文主张构建"分级分类、人机共责、透明可溯、动态迭代"的多层次治理体系，以实现技术创新与伦理约束的动态平衡。</w:t>
      </w:r>
    </w:p>
    <w:p w14:paraId="7E737C12">
      <w:pPr>
        <w:spacing w:before="160" w:after="80"/>
        <w:rPr>
          <w:rFonts w:ascii="宋体" w:hAnsi="宋体" w:eastAsia="宋体"/>
          <w:sz w:val="21"/>
        </w:rPr>
      </w:pPr>
      <w:r>
        <w:rPr>
          <w:rFonts w:ascii="宋体" w:hAnsi="宋体" w:eastAsia="宋体"/>
          <w:b/>
          <w:sz w:val="21"/>
        </w:rPr>
        <w:t>关键词：</w:t>
      </w:r>
      <w:r>
        <w:rPr>
          <w:rFonts w:ascii="宋体" w:hAnsi="宋体" w:eastAsia="宋体"/>
          <w:sz w:val="21"/>
        </w:rPr>
        <w:t>AI智能体；计算机伦理；隐私保护；算法偏见；责任归属；伦理治理</w:t>
      </w:r>
    </w:p>
    <w:p w14:paraId="78580F25">
      <w:pPr>
        <w:pStyle w:val="2"/>
      </w:pPr>
      <w:r>
        <w:rPr>
          <w:rFonts w:ascii="黑体" w:hAnsi="黑体" w:eastAsia="黑体"/>
        </w:rPr>
        <w:t>1. 引言</w:t>
      </w:r>
    </w:p>
    <w:p w14:paraId="1FBCC563">
      <w:pPr>
        <w:spacing w:before="0" w:after="0" w:line="240" w:lineRule="auto"/>
        <w:ind w:firstLine="420"/>
        <w:rPr>
          <w:rFonts w:ascii="宋体" w:hAnsi="宋体" w:eastAsia="宋体"/>
          <w:b w:val="0"/>
          <w:i w:val="0"/>
          <w:sz w:val="21"/>
        </w:rPr>
      </w:pPr>
      <w:r>
        <w:rPr>
          <w:rFonts w:ascii="宋体" w:hAnsi="宋体" w:eastAsia="宋体"/>
          <w:b w:val="0"/>
          <w:i w:val="0"/>
          <w:sz w:val="21"/>
        </w:rPr>
        <w:t>人工智能技术的发展正站在一个历史性的拐点上。以GPT-4、Claude、Gemini等大语言模型为代表的基础能力层持续进化，而在此之上构建的AI智能体（AI Agent）系统则代表了人工智能应用范式的根本性转变。与传统的聊天机器人不同，AI智能体具备任务分解与规划、外部工具调用、环境感知与反馈、多步骤自主执行等核心能力[1]。它们不再仅仅"回答问题"，而是能够"完成任务"——从预订机票、管理日程到编写代码、分析数据、参与金融交易，甚至在企业工作流中承担端到端的自动化角色。</w:t>
      </w:r>
    </w:p>
    <w:p w14:paraId="3CBA4BFB">
      <w:pPr>
        <w:spacing w:before="0" w:after="0" w:line="240" w:lineRule="auto"/>
        <w:rPr>
          <w:rFonts w:ascii="宋体" w:hAnsi="宋体" w:eastAsia="宋体"/>
          <w:b w:val="0"/>
          <w:i w:val="0"/>
          <w:sz w:val="21"/>
        </w:rPr>
      </w:pPr>
    </w:p>
    <w:p w14:paraId="6E2F5F89">
      <w:pPr>
        <w:spacing w:before="0" w:after="0" w:line="240" w:lineRule="auto"/>
        <w:ind w:firstLine="420"/>
        <w:rPr>
          <w:rFonts w:ascii="宋体" w:hAnsi="宋体" w:eastAsia="宋体"/>
          <w:b w:val="0"/>
          <w:i w:val="0"/>
          <w:sz w:val="21"/>
        </w:rPr>
      </w:pPr>
      <w:r>
        <w:rPr>
          <w:rFonts w:ascii="宋体" w:hAnsi="宋体" w:eastAsia="宋体"/>
          <w:b w:val="0"/>
          <w:i w:val="0"/>
          <w:sz w:val="21"/>
        </w:rPr>
        <w:t>这一技术跃迁带来了巨大的社会价值预期。据MarketsandMarkets预测，全球AI智能体市场规模将从2025年的51亿美元增长至2030年的471亿美元，年复合增长率高达44.8%[2]。微软、谷歌、Meta、OpenAI、Anthropic等科技巨头均将AI智能体列为最重要的战略方向。与此同时，AI智能体的自主性和行动能力也引发了一系列深刻的伦理关切。2025年3月，一名用户在使用AI智能体处理工作邮件时，系统因上下文理解错误向客户的竞争对手发送了包含敏感商业信息的邮件，造成严重的商业机密泄露。2025年6月，某招聘平台部署的AI智能体被发现系统性地降低女性求职者的评分，引发广泛的算法歧视争议。这些案例表明，AI智能体的伦理风险已不再是理论假设，而是正在发生的现实问题。</w:t>
      </w:r>
    </w:p>
    <w:p w14:paraId="3B246446">
      <w:pPr>
        <w:spacing w:before="0" w:after="0" w:line="240" w:lineRule="auto"/>
        <w:ind w:firstLine="420"/>
        <w:rPr>
          <w:rFonts w:ascii="宋体" w:hAnsi="宋体" w:eastAsia="宋体"/>
          <w:b w:val="0"/>
          <w:i w:val="0"/>
          <w:sz w:val="21"/>
        </w:rPr>
      </w:pPr>
    </w:p>
    <w:p w14:paraId="66226906">
      <w:pPr>
        <w:spacing w:before="0" w:after="0" w:line="240" w:lineRule="auto"/>
        <w:ind w:firstLine="420"/>
        <w:rPr>
          <w:rFonts w:ascii="宋体" w:hAnsi="宋体" w:eastAsia="宋体"/>
          <w:b w:val="0"/>
          <w:i w:val="0"/>
          <w:sz w:val="21"/>
        </w:rPr>
      </w:pPr>
      <w:r>
        <w:rPr>
          <w:rFonts w:ascii="宋体" w:hAnsi="宋体" w:eastAsia="宋体"/>
          <w:b w:val="0"/>
          <w:i w:val="0"/>
          <w:sz w:val="21"/>
        </w:rPr>
        <w:t>在此背景下，如何在鼓励AI智能体创新应用的同时，建立合理的伦理边界、责任机制和治理策略，已成为人工智能伦理领域的核心议题。欧盟《人工智能法案》（EU AI Act）已于2024年正式通过并将于2026年起分阶段实施，中国《生成式人工智能服务管理暂行办法》于2023年施行后也在持续完善，《人工智能法》已被列入全国人大常委会2025年度立法工作计划[3]。这些政策信号表明，全球主要经济体均在加速构建AI治理的法律框架。</w:t>
      </w:r>
    </w:p>
    <w:p w14:paraId="4F16A300">
      <w:pPr>
        <w:spacing w:before="0" w:after="0" w:line="240" w:lineRule="auto"/>
        <w:ind w:firstLine="420"/>
        <w:rPr>
          <w:rFonts w:ascii="宋体" w:hAnsi="宋体" w:eastAsia="宋体"/>
          <w:b w:val="0"/>
          <w:i w:val="0"/>
          <w:sz w:val="21"/>
        </w:rPr>
      </w:pPr>
    </w:p>
    <w:p w14:paraId="1E488726">
      <w:pPr>
        <w:spacing w:before="0" w:after="0" w:line="240" w:lineRule="auto"/>
        <w:ind w:firstLine="420"/>
      </w:pPr>
      <w:r>
        <w:rPr>
          <w:rFonts w:ascii="宋体" w:hAnsi="宋体" w:eastAsia="宋体"/>
          <w:b w:val="0"/>
          <w:i w:val="0"/>
          <w:sz w:val="21"/>
        </w:rPr>
        <w:t>本文围绕AI智能体的伦理问题，从四个维度展开系统研究：第一，分析AI智能体在典型应用场景中的正面与负面社会影响；第二，探讨加强监管与鼓励开放创新之间的利弊权衡；第三，从计算机伦理学的理论视角出发，系统剖析AI智能体涉及的职业责任、隐私保护、知识产权、算法偏见和安全风险等关键伦理问题；第四，结合真实案例，提出面向未来的AI智能体伦理治理策略。</w:t>
      </w:r>
    </w:p>
    <w:p w14:paraId="720E42D1">
      <w:pPr>
        <w:pStyle w:val="2"/>
      </w:pPr>
      <w:r>
        <w:rPr>
          <w:rFonts w:ascii="黑体" w:hAnsi="黑体" w:eastAsia="黑体"/>
        </w:rPr>
        <w:t>2. AI智能体的典型应用场景及其社会影响分析</w:t>
      </w:r>
    </w:p>
    <w:p w14:paraId="62495853">
      <w:pPr>
        <w:pStyle w:val="3"/>
      </w:pPr>
      <w:r>
        <w:rPr>
          <w:rFonts w:ascii="黑体" w:hAnsi="黑体" w:eastAsia="黑体"/>
        </w:rPr>
        <w:t>2.1 典型应用场景概述</w:t>
      </w:r>
    </w:p>
    <w:p w14:paraId="1282A4B2">
      <w:pPr>
        <w:spacing w:before="0" w:after="0" w:line="240" w:lineRule="auto"/>
        <w:ind w:firstLine="420"/>
        <w:rPr>
          <w:rFonts w:ascii="宋体" w:hAnsi="宋体" w:eastAsia="宋体"/>
          <w:b w:val="0"/>
          <w:i w:val="0"/>
          <w:sz w:val="21"/>
        </w:rPr>
      </w:pPr>
      <w:r>
        <w:rPr>
          <w:rFonts w:ascii="宋体" w:hAnsi="宋体" w:eastAsia="宋体"/>
          <w:b w:val="0"/>
          <w:i w:val="0"/>
          <w:sz w:val="21"/>
        </w:rPr>
        <w:t>AI智能体正在快速渗透到社会经济的各个领域。不同于传统AI系统需要在人类明确指令下运行，AI智能体能够理解高层次目标、自主分解子任务、调用各类工具和API、根据环境反馈动态调整策略，并在一定范围内实现端到端的任务闭环[4]。以下从教育、办公、医疗、金融、政务、科研和内容生产七个场景梳理其典型应用。</w:t>
      </w:r>
    </w:p>
    <w:p w14:paraId="593E496D">
      <w:pPr>
        <w:spacing w:before="0" w:after="0" w:line="240" w:lineRule="auto"/>
        <w:ind w:firstLine="420"/>
        <w:rPr>
          <w:rFonts w:ascii="宋体" w:hAnsi="宋体" w:eastAsia="宋体"/>
          <w:b w:val="0"/>
          <w:i w:val="0"/>
          <w:sz w:val="21"/>
        </w:rPr>
      </w:pPr>
    </w:p>
    <w:p w14:paraId="71B5D3CB">
      <w:pPr>
        <w:spacing w:before="0" w:after="0" w:line="240" w:lineRule="auto"/>
        <w:ind w:firstLine="420"/>
        <w:rPr>
          <w:rFonts w:ascii="宋体" w:hAnsi="宋体" w:eastAsia="宋体"/>
          <w:b w:val="0"/>
          <w:i w:val="0"/>
          <w:sz w:val="21"/>
        </w:rPr>
      </w:pPr>
      <w:r>
        <w:rPr>
          <w:rFonts w:ascii="宋体" w:hAnsi="宋体" w:eastAsia="宋体"/>
          <w:b/>
          <w:bCs w:val="0"/>
          <w:i w:val="0"/>
          <w:sz w:val="21"/>
        </w:rPr>
        <w:t>教育场景：</w:t>
      </w:r>
      <w:r>
        <w:rPr>
          <w:rFonts w:ascii="宋体" w:hAnsi="宋体" w:eastAsia="宋体"/>
          <w:b w:val="0"/>
          <w:i w:val="0"/>
          <w:sz w:val="21"/>
        </w:rPr>
        <w:t>AI智能体可作为个性化学习导师，根据学生的学习进度、知识盲区和认知风格动态调整教学内容和节奏。例如，可汗学院推出的Khanmigo智能体基于GPT-4，能够以苏格拉底式对话引导学生独立思考，而非直接给出答案。在国内，学而思、作业帮等平台也在部署基于大模型的AI答疑智能体，覆盖数学、物理、英语等多个学科。</w:t>
      </w:r>
    </w:p>
    <w:p w14:paraId="767A1896">
      <w:pPr>
        <w:spacing w:before="0" w:after="0" w:line="240" w:lineRule="auto"/>
        <w:ind w:firstLine="420"/>
        <w:rPr>
          <w:rFonts w:ascii="宋体" w:hAnsi="宋体" w:eastAsia="宋体"/>
          <w:b w:val="0"/>
          <w:i w:val="0"/>
          <w:sz w:val="21"/>
        </w:rPr>
      </w:pPr>
    </w:p>
    <w:p w14:paraId="16F78446">
      <w:pPr>
        <w:spacing w:before="0" w:after="0" w:line="240" w:lineRule="auto"/>
        <w:ind w:firstLine="420"/>
        <w:rPr>
          <w:rFonts w:ascii="宋体" w:hAnsi="宋体" w:eastAsia="宋体"/>
          <w:b w:val="0"/>
          <w:i w:val="0"/>
          <w:sz w:val="21"/>
        </w:rPr>
      </w:pPr>
      <w:r>
        <w:rPr>
          <w:rFonts w:ascii="宋体" w:hAnsi="宋体" w:eastAsia="宋体"/>
          <w:b/>
          <w:i w:val="0"/>
          <w:sz w:val="21"/>
        </w:rPr>
        <w:t>办公场景：</w:t>
      </w:r>
      <w:r>
        <w:rPr>
          <w:rFonts w:ascii="宋体" w:hAnsi="宋体" w:eastAsia="宋体"/>
          <w:b w:val="0"/>
          <w:i w:val="0"/>
          <w:sz w:val="21"/>
        </w:rPr>
        <w:t>办公场景是AI智能体应用最为广泛的领域之一。微软Copilot深度集成于Office 365和Teams中，能够自动生成会议纪要、起草邮件、分析Excel数据、制作PPT演示文稿。Salesforce的Agentforce平台允许企业构建自定义销售和服务智能体，自动处理客户查询、更新CRM记录、生成销售报告。Notion AI和飞书智能伙伴也在文档协作、知识管理和项目跟踪方面展现出显著效能。</w:t>
      </w:r>
    </w:p>
    <w:p w14:paraId="36B17E42">
      <w:pPr>
        <w:spacing w:before="0" w:after="0" w:line="240" w:lineRule="auto"/>
        <w:ind w:firstLine="420"/>
        <w:rPr>
          <w:rFonts w:ascii="宋体" w:hAnsi="宋体" w:eastAsia="宋体"/>
          <w:b w:val="0"/>
          <w:i w:val="0"/>
          <w:sz w:val="21"/>
        </w:rPr>
      </w:pPr>
    </w:p>
    <w:p w14:paraId="453CAA52">
      <w:pPr>
        <w:spacing w:before="0" w:after="0" w:line="240" w:lineRule="auto"/>
        <w:ind w:firstLine="420"/>
        <w:rPr>
          <w:rFonts w:ascii="宋体" w:hAnsi="宋体" w:eastAsia="宋体"/>
          <w:b w:val="0"/>
          <w:i w:val="0"/>
          <w:sz w:val="21"/>
        </w:rPr>
      </w:pPr>
      <w:r>
        <w:rPr>
          <w:rFonts w:ascii="宋体" w:hAnsi="宋体" w:eastAsia="宋体"/>
          <w:b/>
          <w:bCs w:val="0"/>
          <w:i w:val="0"/>
          <w:sz w:val="21"/>
        </w:rPr>
        <w:t>医疗场景：</w:t>
      </w:r>
      <w:r>
        <w:rPr>
          <w:rFonts w:ascii="宋体" w:hAnsi="宋体" w:eastAsia="宋体"/>
          <w:b w:val="0"/>
          <w:i w:val="0"/>
          <w:sz w:val="21"/>
        </w:rPr>
        <w:t>在医疗领域，AI智能体被用于辅助诊断、病历整理、药物研发和患者管理。Google的Med-PaLM 2在医学问答基准测试中达到专家级水平，能够分析医学影像报告、提供鉴别诊断建议。AI智能体还可以自动整理电子健康记录（EHR）、提醒患者服药、安排随访，减轻医护人员的工作负担。在药物研发方面，AI智能体能够加速靶点发现、分子设计和临床试验匹配。</w:t>
      </w:r>
    </w:p>
    <w:p w14:paraId="34BE7E0E">
      <w:pPr>
        <w:spacing w:before="0" w:after="0" w:line="240" w:lineRule="auto"/>
        <w:ind w:firstLine="420"/>
        <w:rPr>
          <w:rFonts w:ascii="宋体" w:hAnsi="宋体" w:eastAsia="宋体"/>
          <w:b w:val="0"/>
          <w:i w:val="0"/>
          <w:sz w:val="21"/>
        </w:rPr>
      </w:pPr>
    </w:p>
    <w:p w14:paraId="0506C276">
      <w:pPr>
        <w:spacing w:before="0" w:after="0" w:line="240" w:lineRule="auto"/>
        <w:ind w:firstLine="420"/>
        <w:rPr>
          <w:rFonts w:ascii="宋体" w:hAnsi="宋体" w:eastAsia="宋体"/>
          <w:b w:val="0"/>
          <w:i w:val="0"/>
          <w:sz w:val="21"/>
        </w:rPr>
      </w:pPr>
      <w:r>
        <w:rPr>
          <w:rFonts w:ascii="宋体" w:hAnsi="宋体" w:eastAsia="宋体"/>
          <w:b/>
          <w:bCs w:val="0"/>
          <w:i w:val="0"/>
          <w:color w:val="auto"/>
          <w:sz w:val="21"/>
        </w:rPr>
        <w:t>金融场景：</w:t>
      </w:r>
      <w:r>
        <w:rPr>
          <w:rFonts w:ascii="宋体" w:hAnsi="宋体" w:eastAsia="宋体"/>
          <w:b w:val="0"/>
          <w:i w:val="0"/>
          <w:sz w:val="21"/>
        </w:rPr>
        <w:t>金融行业是AI智能体应用的先行者。Bloomberg GPT和摩根大通的IndexGPT等金融智能体可进行市场分析、风险评估、投资组合优化和自动化交易。AI智能体还可用于反欺诈监控、信用评估、客户服务和合规审查。然而，算法交易智能体的自主决策也可能引发市场波动甚至"闪崩"风险。</w:t>
      </w:r>
    </w:p>
    <w:p w14:paraId="44668960">
      <w:pPr>
        <w:spacing w:before="0" w:after="0" w:line="240" w:lineRule="auto"/>
        <w:ind w:firstLine="420"/>
        <w:rPr>
          <w:rFonts w:ascii="宋体" w:hAnsi="宋体" w:eastAsia="宋体"/>
          <w:b w:val="0"/>
          <w:i w:val="0"/>
          <w:sz w:val="21"/>
        </w:rPr>
      </w:pPr>
    </w:p>
    <w:p w14:paraId="15C53980">
      <w:pPr>
        <w:spacing w:before="0" w:after="0" w:line="240" w:lineRule="auto"/>
        <w:ind w:firstLine="420"/>
        <w:rPr>
          <w:rFonts w:ascii="宋体" w:hAnsi="宋体" w:eastAsia="宋体"/>
          <w:b w:val="0"/>
          <w:i w:val="0"/>
          <w:sz w:val="21"/>
        </w:rPr>
      </w:pPr>
      <w:r>
        <w:rPr>
          <w:rFonts w:ascii="宋体" w:hAnsi="宋体" w:eastAsia="宋体"/>
          <w:b/>
          <w:i w:val="0"/>
          <w:sz w:val="21"/>
        </w:rPr>
        <w:t>政务场景：</w:t>
      </w:r>
      <w:r>
        <w:rPr>
          <w:rFonts w:ascii="宋体" w:hAnsi="宋体" w:eastAsia="宋体"/>
          <w:b w:val="0"/>
          <w:i w:val="0"/>
          <w:sz w:val="21"/>
        </w:rPr>
        <w:t>政府部门开始尝试利用AI智能体提升公共服务效率。例如，AI智能体可用于自动处理市民咨询、辅助政策文件起草、分析社会经济数据、监测舆情。深圳市在"i深圳"APP中集成了AI政务助手，可回答市民关于社保、公积金、出入境等业务的咨询。但政务场景中AI智能体的使用也涉及公民隐私保护和公共决策透明度的敏感问题。</w:t>
      </w:r>
    </w:p>
    <w:p w14:paraId="4A276769">
      <w:pPr>
        <w:spacing w:before="0" w:after="0" w:line="240" w:lineRule="auto"/>
        <w:ind w:firstLine="420"/>
        <w:rPr>
          <w:rFonts w:ascii="宋体" w:hAnsi="宋体" w:eastAsia="宋体"/>
          <w:b w:val="0"/>
          <w:i w:val="0"/>
          <w:sz w:val="21"/>
        </w:rPr>
      </w:pPr>
    </w:p>
    <w:p w14:paraId="51371F06">
      <w:pPr>
        <w:spacing w:before="0" w:after="0" w:line="240" w:lineRule="auto"/>
        <w:ind w:firstLine="420"/>
        <w:rPr>
          <w:rFonts w:ascii="宋体" w:hAnsi="宋体" w:eastAsia="宋体"/>
          <w:b w:val="0"/>
          <w:i w:val="0"/>
          <w:sz w:val="21"/>
        </w:rPr>
      </w:pPr>
      <w:r>
        <w:rPr>
          <w:rFonts w:ascii="宋体" w:hAnsi="宋体" w:eastAsia="宋体"/>
          <w:b/>
          <w:i w:val="0"/>
          <w:sz w:val="21"/>
        </w:rPr>
        <w:t>科研场景：</w:t>
      </w:r>
      <w:r>
        <w:rPr>
          <w:rFonts w:ascii="宋体" w:hAnsi="宋体" w:eastAsia="宋体"/>
          <w:b w:val="0"/>
          <w:i w:val="0"/>
          <w:sz w:val="21"/>
        </w:rPr>
        <w:t>AI智能体正在成为科学研究的新型工具。它们可以自动阅读和总结学术文献、设计实验方案、分析实验数据、甚至提出新的研究假设。2025年，斯坦福大学的研究团队利用AI智能体在短短三个月内完成了对10万篇生物医学文献的系统综述，此前类似工作需要数十名研究人员花费一年时间。Nature杂志的调查显示，超过60%的科研人员已在研究中使用AI工具。</w:t>
      </w:r>
    </w:p>
    <w:p w14:paraId="6DB9E43A">
      <w:pPr>
        <w:spacing w:before="0" w:after="0" w:line="240" w:lineRule="auto"/>
        <w:ind w:firstLine="420"/>
        <w:rPr>
          <w:rFonts w:ascii="宋体" w:hAnsi="宋体" w:eastAsia="宋体"/>
          <w:b w:val="0"/>
          <w:i w:val="0"/>
          <w:sz w:val="21"/>
        </w:rPr>
      </w:pPr>
    </w:p>
    <w:p w14:paraId="542AB857">
      <w:pPr>
        <w:spacing w:before="0" w:after="0" w:line="240" w:lineRule="auto"/>
        <w:ind w:firstLine="420"/>
        <w:rPr>
          <w:rFonts w:ascii="宋体" w:hAnsi="宋体" w:eastAsia="宋体"/>
          <w:b w:val="0"/>
          <w:i w:val="0"/>
          <w:sz w:val="21"/>
        </w:rPr>
      </w:pPr>
      <w:r>
        <w:rPr>
          <w:rFonts w:ascii="宋体" w:hAnsi="宋体" w:eastAsia="宋体"/>
          <w:b/>
          <w:i w:val="0"/>
          <w:sz w:val="21"/>
        </w:rPr>
        <w:t>内容生产场景：</w:t>
      </w:r>
      <w:r>
        <w:rPr>
          <w:rFonts w:ascii="宋体" w:hAnsi="宋体" w:eastAsia="宋体"/>
          <w:b w:val="0"/>
          <w:i w:val="0"/>
          <w:sz w:val="21"/>
        </w:rPr>
        <w:t>AI智能体在文本写作、视频制作、音乐创作、代码生成等内容生产领域展现了强大的能力。但与简单的内容生成不同，内容生产类AI智能体能够自主规划内容策略、管理多平台发布、监测传播效果并进行优化迭代。然而，这也带来了深度伪造、版权侵权和虚假信息传播等严重问题。</w:t>
      </w:r>
    </w:p>
    <w:p w14:paraId="3B7370C9">
      <w:pPr>
        <w:spacing w:before="0" w:after="0" w:line="240" w:lineRule="auto"/>
        <w:ind w:firstLine="420"/>
        <w:rPr>
          <w:rFonts w:ascii="宋体" w:hAnsi="宋体" w:eastAsia="宋体"/>
          <w:b w:val="0"/>
          <w:i w:val="0"/>
          <w:sz w:val="21"/>
        </w:rPr>
      </w:pPr>
    </w:p>
    <w:p w14:paraId="6AE55D5F">
      <w:pPr>
        <w:pStyle w:val="3"/>
      </w:pPr>
      <w:r>
        <w:rPr>
          <w:rFonts w:ascii="黑体" w:hAnsi="黑体" w:eastAsia="黑体"/>
        </w:rPr>
        <w:t>2.2 正面社会影响</w:t>
      </w:r>
    </w:p>
    <w:p w14:paraId="352B9F96">
      <w:pPr>
        <w:spacing w:before="0" w:after="0" w:line="240" w:lineRule="auto"/>
        <w:ind w:firstLine="420"/>
        <w:rPr>
          <w:rFonts w:ascii="宋体" w:hAnsi="宋体" w:eastAsia="宋体"/>
          <w:b w:val="0"/>
          <w:i w:val="0"/>
          <w:sz w:val="21"/>
        </w:rPr>
      </w:pPr>
      <w:r>
        <w:rPr>
          <w:rFonts w:ascii="宋体" w:hAnsi="宋体" w:eastAsia="宋体"/>
          <w:b w:val="0"/>
          <w:i w:val="0"/>
          <w:sz w:val="21"/>
        </w:rPr>
        <w:t>AI智能体的广泛应用为社会带来了多维度的积极影响。以下从效率提升、成本降低、决策辅助、个性化服务和弱势群体赋能五个方面进行系统分析。</w:t>
      </w:r>
    </w:p>
    <w:p w14:paraId="7CDEE821">
      <w:pPr>
        <w:spacing w:before="0" w:after="0" w:line="240" w:lineRule="auto"/>
        <w:ind w:firstLine="420"/>
        <w:rPr>
          <w:rFonts w:ascii="宋体" w:hAnsi="宋体" w:eastAsia="宋体"/>
          <w:b w:val="0"/>
          <w:i w:val="0"/>
          <w:sz w:val="21"/>
        </w:rPr>
      </w:pPr>
    </w:p>
    <w:p w14:paraId="1FBFA09C">
      <w:pPr>
        <w:pStyle w:val="4"/>
      </w:pPr>
      <w:r>
        <w:rPr>
          <w:rFonts w:ascii="黑体" w:hAnsi="黑体" w:eastAsia="黑体"/>
        </w:rPr>
        <w:t>2.2.1 显著提高生产效率与工作质量</w:t>
      </w:r>
    </w:p>
    <w:p w14:paraId="028D2420">
      <w:pPr>
        <w:spacing w:before="0" w:after="0" w:line="240" w:lineRule="auto"/>
        <w:ind w:firstLine="420"/>
        <w:rPr>
          <w:rFonts w:ascii="宋体" w:hAnsi="宋体" w:eastAsia="宋体"/>
          <w:b w:val="0"/>
          <w:i w:val="0"/>
          <w:sz w:val="21"/>
        </w:rPr>
      </w:pPr>
      <w:r>
        <w:rPr>
          <w:rFonts w:ascii="宋体" w:hAnsi="宋体" w:eastAsia="宋体"/>
          <w:b w:val="0"/>
          <w:i w:val="0"/>
          <w:sz w:val="21"/>
        </w:rPr>
        <w:t>AI智能体通过自动化重复性、规则性任务，释放了人类劳动者的大量时间和精力，使其能够专注于需要创造性思维、情感智能和复杂判断的高价值工作。在软件开发领域，GitHub Copilot和Cursor等AI智能体能够根据自然语言描述自动生成代码、调试错误、编写单元测试，将开发者的编码效率提升30%至55%[5]。在法律行业，AI智能体可在数分钟内完成以往需要初级律师数天才能完成的合同审查和判例检索工作。麦肯锡全球研究院的报告估计，生成式AI和AI智能体有望每年为全球经济增加2.6万亿至4.4万亿美元的价值[6]。</w:t>
      </w:r>
    </w:p>
    <w:p w14:paraId="0D7FEEA1">
      <w:pPr>
        <w:spacing w:before="0" w:after="0" w:line="240" w:lineRule="auto"/>
        <w:ind w:firstLine="420"/>
        <w:rPr>
          <w:rFonts w:ascii="宋体" w:hAnsi="宋体" w:eastAsia="宋体"/>
          <w:b w:val="0"/>
          <w:i w:val="0"/>
          <w:sz w:val="21"/>
        </w:rPr>
      </w:pPr>
    </w:p>
    <w:p w14:paraId="110E283E">
      <w:pPr>
        <w:pStyle w:val="4"/>
      </w:pPr>
      <w:r>
        <w:rPr>
          <w:rFonts w:ascii="黑体" w:hAnsi="黑体" w:eastAsia="黑体"/>
        </w:rPr>
        <w:t>2.2.2 大幅降低服务获取成本</w:t>
      </w:r>
    </w:p>
    <w:p w14:paraId="75522093">
      <w:pPr>
        <w:spacing w:before="0" w:after="0" w:line="240" w:lineRule="auto"/>
        <w:ind w:firstLine="420"/>
        <w:rPr>
          <w:rFonts w:ascii="宋体" w:hAnsi="宋体" w:eastAsia="宋体"/>
          <w:b w:val="0"/>
          <w:i w:val="0"/>
          <w:sz w:val="21"/>
        </w:rPr>
      </w:pPr>
      <w:r>
        <w:rPr>
          <w:rFonts w:ascii="宋体" w:hAnsi="宋体" w:eastAsia="宋体"/>
          <w:b w:val="0"/>
          <w:i w:val="0"/>
          <w:sz w:val="21"/>
        </w:rPr>
        <w:t>AI智能体使高质量服务的边际成本趋近于零，从而大幅降低了专业服务的获取门槛。在医疗领域，AI智能体可以为基层医疗机构提供接近三甲医院水平的辅助诊断建议，有助于缓解优质医疗资源分布不均的问题。在教育领域，AI智能体为每个学生提供"一对一"个性化辅导的成本远低于聘请人类私教，有助于促进教育公平。在法律援助方面，AI智能体可以帮助低收入群体理解法律条款、撰写简单法律文书[7]。</w:t>
      </w:r>
    </w:p>
    <w:p w14:paraId="3A6A6D5C">
      <w:pPr>
        <w:spacing w:before="0" w:after="0" w:line="240" w:lineRule="auto"/>
        <w:ind w:firstLine="420"/>
        <w:rPr>
          <w:rFonts w:ascii="宋体" w:hAnsi="宋体" w:eastAsia="宋体"/>
          <w:b w:val="0"/>
          <w:i w:val="0"/>
          <w:sz w:val="21"/>
        </w:rPr>
      </w:pPr>
    </w:p>
    <w:p w14:paraId="7ECC83CE">
      <w:pPr>
        <w:pStyle w:val="4"/>
      </w:pPr>
      <w:r>
        <w:rPr>
          <w:rFonts w:ascii="黑体" w:hAnsi="黑体" w:eastAsia="黑体"/>
        </w:rPr>
        <w:t>2.2.3 增强决策的科学性和全面性</w:t>
      </w:r>
    </w:p>
    <w:p w14:paraId="78A7EAA3">
      <w:pPr>
        <w:spacing w:before="0" w:after="0" w:line="240" w:lineRule="auto"/>
        <w:ind w:firstLine="420"/>
        <w:rPr>
          <w:rFonts w:ascii="宋体" w:hAnsi="宋体" w:eastAsia="宋体"/>
          <w:b w:val="0"/>
          <w:i w:val="0"/>
          <w:sz w:val="21"/>
        </w:rPr>
      </w:pPr>
      <w:r>
        <w:rPr>
          <w:rFonts w:ascii="宋体" w:hAnsi="宋体" w:eastAsia="宋体"/>
          <w:b w:val="0"/>
          <w:i w:val="0"/>
          <w:sz w:val="21"/>
        </w:rPr>
        <w:t>AI智能体能够在海量数据中快速识别模式、提取洞察，为人类决策者提供更加全面和客观的参考依据。在金融投资中，AI智能体可同时追踪数百个市场指标和新闻源，辅助投资者做出更加理性的决策。在公共政策制定中，AI智能体可以模拟不同政策方案的社会经济影响，为政策优化提供数据支撑。在企业战略规划中，AI智能体能够整合市场趋势、竞争格局和内部运营数据，辅助管理层进行SWOT分析和战略选择。</w:t>
      </w:r>
    </w:p>
    <w:p w14:paraId="7401E6C9">
      <w:pPr>
        <w:spacing w:before="0" w:after="0" w:line="240" w:lineRule="auto"/>
        <w:ind w:firstLine="420"/>
        <w:rPr>
          <w:rFonts w:ascii="宋体" w:hAnsi="宋体" w:eastAsia="宋体"/>
          <w:b w:val="0"/>
          <w:i w:val="0"/>
          <w:sz w:val="21"/>
        </w:rPr>
      </w:pPr>
    </w:p>
    <w:p w14:paraId="00064D53">
      <w:pPr>
        <w:pStyle w:val="4"/>
      </w:pPr>
      <w:r>
        <w:rPr>
          <w:rFonts w:ascii="黑体" w:hAnsi="黑体" w:eastAsia="黑体"/>
        </w:rPr>
        <w:t>2.2.4 促进个性化服务与适应性学习</w:t>
      </w:r>
    </w:p>
    <w:p w14:paraId="6E8DA54B">
      <w:pPr>
        <w:spacing w:before="0" w:after="0" w:line="240" w:lineRule="auto"/>
        <w:ind w:firstLine="420"/>
        <w:rPr>
          <w:rFonts w:ascii="宋体" w:hAnsi="宋体" w:eastAsia="宋体"/>
          <w:b w:val="0"/>
          <w:i w:val="0"/>
          <w:sz w:val="21"/>
        </w:rPr>
      </w:pPr>
      <w:r>
        <w:rPr>
          <w:rFonts w:ascii="宋体" w:hAnsi="宋体" w:eastAsia="宋体"/>
          <w:b w:val="0"/>
          <w:i w:val="0"/>
          <w:sz w:val="21"/>
        </w:rPr>
        <w:t>AI智能体具有强大的个性化能力，能够根据用户的行为模式、偏好特征和实时需求动态调整服务内容和交互方式。在教育场景中，AI智能体可以根据每个学生的知识掌握程度、学习风格和注意力特征，提供差异化的教学内容和练习题目，实现真正的"因材施教"。在医疗健康领域，AI智能体可以根据患者的基因特征、病史和生活方式，提供个性化的健康管理方案和用药建议。</w:t>
      </w:r>
    </w:p>
    <w:p w14:paraId="6B8F7F27">
      <w:pPr>
        <w:spacing w:before="0" w:after="0" w:line="240" w:lineRule="auto"/>
        <w:ind w:firstLine="420"/>
        <w:rPr>
          <w:rFonts w:ascii="宋体" w:hAnsi="宋体" w:eastAsia="宋体"/>
          <w:b w:val="0"/>
          <w:i w:val="0"/>
          <w:sz w:val="21"/>
        </w:rPr>
      </w:pPr>
    </w:p>
    <w:p w14:paraId="3FCF1590">
      <w:pPr>
        <w:pStyle w:val="4"/>
      </w:pPr>
      <w:r>
        <w:rPr>
          <w:rFonts w:ascii="黑体" w:hAnsi="黑体" w:eastAsia="黑体"/>
        </w:rPr>
        <w:t>2.2.5 增强弱势群体的社会参与能力</w:t>
      </w:r>
    </w:p>
    <w:p w14:paraId="05FC6F33">
      <w:pPr>
        <w:spacing w:before="0" w:after="0" w:line="240" w:lineRule="auto"/>
        <w:ind w:firstLine="420"/>
        <w:rPr>
          <w:rFonts w:ascii="宋体" w:hAnsi="宋体" w:eastAsia="宋体"/>
          <w:b w:val="0"/>
          <w:i w:val="0"/>
          <w:sz w:val="21"/>
        </w:rPr>
      </w:pPr>
      <w:r>
        <w:rPr>
          <w:rFonts w:ascii="宋体" w:hAnsi="宋体" w:eastAsia="宋体"/>
          <w:b w:val="0"/>
          <w:i w:val="0"/>
          <w:sz w:val="21"/>
        </w:rPr>
        <w:t>AI智能体技术为残障人士、老年人和语言少数群体等弱势人群提供了前所未有的赋能工具。视障人士可以通过AI智能体"观看"周围环境、阅读文档、识别面孔；听障人士可以通过AI智能体实时转写对话内容；老年人可以通过AI智能体获得陪伴、健康提醒和紧急求助支持；非母语者可以通过AI智能体克服语言障碍，参与跨国交流和协作。微软的Seeing AI项目和谷歌的Project Relate等均已展示了AI技术在无障碍领域的巨大潜力。</w:t>
      </w:r>
    </w:p>
    <w:p w14:paraId="243ACB1B">
      <w:pPr>
        <w:spacing w:before="0" w:after="0" w:line="240" w:lineRule="auto"/>
        <w:ind w:firstLine="420"/>
        <w:rPr>
          <w:rFonts w:ascii="宋体" w:hAnsi="宋体" w:eastAsia="宋体"/>
          <w:b w:val="0"/>
          <w:i w:val="0"/>
          <w:sz w:val="21"/>
        </w:rPr>
      </w:pPr>
    </w:p>
    <w:p w14:paraId="29EFC8A7">
      <w:pPr>
        <w:pStyle w:val="3"/>
      </w:pPr>
      <w:r>
        <w:rPr>
          <w:rFonts w:ascii="黑体" w:hAnsi="黑体" w:eastAsia="黑体"/>
        </w:rPr>
        <w:t>2.3 负面社会影响</w:t>
      </w:r>
    </w:p>
    <w:p w14:paraId="56407C83">
      <w:pPr>
        <w:spacing w:before="0" w:after="0" w:line="240" w:lineRule="auto"/>
        <w:ind w:firstLine="420"/>
        <w:rPr>
          <w:rFonts w:ascii="宋体" w:hAnsi="宋体" w:eastAsia="宋体"/>
          <w:b w:val="0"/>
          <w:i w:val="0"/>
          <w:sz w:val="21"/>
        </w:rPr>
      </w:pPr>
      <w:r>
        <w:rPr>
          <w:rFonts w:ascii="宋体" w:hAnsi="宋体" w:eastAsia="宋体"/>
          <w:b w:val="0"/>
          <w:i w:val="0"/>
          <w:sz w:val="21"/>
        </w:rPr>
        <w:t>尽管AI智能体带来了显著的社会效益，其负面社会影响同样不容忽视。以下从六个维度进行系统分析。</w:t>
      </w:r>
    </w:p>
    <w:p w14:paraId="18611F6A">
      <w:pPr>
        <w:spacing w:before="0" w:after="0" w:line="240" w:lineRule="auto"/>
        <w:ind w:firstLine="420"/>
        <w:rPr>
          <w:rFonts w:ascii="宋体" w:hAnsi="宋体" w:eastAsia="宋体"/>
          <w:b w:val="0"/>
          <w:i w:val="0"/>
          <w:sz w:val="21"/>
        </w:rPr>
      </w:pPr>
    </w:p>
    <w:p w14:paraId="2867E652">
      <w:pPr>
        <w:pStyle w:val="4"/>
      </w:pPr>
      <w:r>
        <w:rPr>
          <w:rFonts w:ascii="黑体" w:hAnsi="黑体" w:eastAsia="黑体"/>
        </w:rPr>
        <w:t>2.3.1 错误决策与"幻觉"风险</w:t>
      </w:r>
    </w:p>
    <w:p w14:paraId="7CA9B1D9">
      <w:pPr>
        <w:spacing w:before="0" w:after="0" w:line="240" w:lineRule="auto"/>
        <w:ind w:firstLine="420"/>
        <w:rPr>
          <w:rFonts w:ascii="宋体" w:hAnsi="宋体" w:eastAsia="宋体"/>
          <w:b w:val="0"/>
          <w:i w:val="0"/>
          <w:sz w:val="21"/>
        </w:rPr>
      </w:pPr>
      <w:r>
        <w:rPr>
          <w:rFonts w:ascii="宋体" w:hAnsi="宋体" w:eastAsia="宋体"/>
          <w:b w:val="0"/>
          <w:i w:val="0"/>
          <w:sz w:val="21"/>
        </w:rPr>
        <w:t>大语言模型固有的"幻觉"（Hallucination）问题——即模型生成看似合理但事实错误的内容——在AI智能体中被进一步放大。当智能体不仅生成文本，还基于错误信息采取实际行动时，其后果可能是灾难性的。2025年，一名加拿大用户在Reddit上报告，其使用的AI旅行规划智能体错误地将酒店预订到了同名的另一个城市，导致旅行计划完全打乱并造成数百加元的损失。在法律领域，2024年美国纽约联邦法院对律师提交包含AI虚构案例的法律文件进行了制裁，凸显了在法律等高风险领域依赖AI智能体的潜在危险[8]。</w:t>
      </w:r>
    </w:p>
    <w:p w14:paraId="4860E13F">
      <w:pPr>
        <w:spacing w:before="0" w:after="0" w:line="240" w:lineRule="auto"/>
        <w:ind w:firstLine="420"/>
        <w:rPr>
          <w:rFonts w:ascii="宋体" w:hAnsi="宋体" w:eastAsia="宋体"/>
          <w:b w:val="0"/>
          <w:i w:val="0"/>
          <w:sz w:val="21"/>
        </w:rPr>
      </w:pPr>
    </w:p>
    <w:p w14:paraId="1CF0BF9C">
      <w:pPr>
        <w:spacing w:before="0" w:after="0" w:line="240" w:lineRule="auto"/>
        <w:ind w:firstLine="420"/>
        <w:rPr>
          <w:rFonts w:ascii="宋体" w:hAnsi="宋体" w:eastAsia="宋体"/>
          <w:b w:val="0"/>
          <w:i w:val="0"/>
          <w:sz w:val="21"/>
        </w:rPr>
      </w:pPr>
      <w:r>
        <w:rPr>
          <w:rFonts w:ascii="宋体" w:hAnsi="宋体" w:eastAsia="宋体"/>
          <w:b w:val="0"/>
          <w:i w:val="0"/>
          <w:sz w:val="21"/>
        </w:rPr>
        <w:t>更令人担忧的是，AI智能体的"自信幻觉"特征——即系统对错误输出表现出高度确信的语气——使得用户难以辨别其提供信息的真伪。与搜索引擎提供多个来源供用户自行判断不同，AI智能体往往以单一、确定的答案呈现，这种"认知权威性"的假象可能使用户过度信任系统，降低独立验证的意愿。</w:t>
      </w:r>
    </w:p>
    <w:p w14:paraId="4158DCAF">
      <w:pPr>
        <w:spacing w:before="0" w:after="0" w:line="240" w:lineRule="auto"/>
        <w:ind w:firstLine="420"/>
        <w:rPr>
          <w:rFonts w:ascii="宋体" w:hAnsi="宋体" w:eastAsia="宋体"/>
          <w:b w:val="0"/>
          <w:i w:val="0"/>
          <w:sz w:val="21"/>
        </w:rPr>
      </w:pPr>
    </w:p>
    <w:p w14:paraId="64A65E0E">
      <w:pPr>
        <w:pStyle w:val="4"/>
      </w:pPr>
      <w:r>
        <w:rPr>
          <w:rFonts w:ascii="黑体" w:hAnsi="黑体" w:eastAsia="黑体"/>
        </w:rPr>
        <w:t>2.3.2 隐私泄露与数据安全威胁</w:t>
      </w:r>
    </w:p>
    <w:p w14:paraId="5DFDA37E">
      <w:pPr>
        <w:spacing w:before="0" w:after="0" w:line="240" w:lineRule="auto"/>
        <w:ind w:firstLine="420"/>
        <w:rPr>
          <w:rFonts w:ascii="宋体" w:hAnsi="宋体" w:eastAsia="宋体"/>
          <w:b w:val="0"/>
          <w:i w:val="0"/>
          <w:sz w:val="21"/>
        </w:rPr>
      </w:pPr>
      <w:r>
        <w:rPr>
          <w:rFonts w:ascii="宋体" w:hAnsi="宋体" w:eastAsia="宋体"/>
          <w:b w:val="0"/>
          <w:i w:val="0"/>
          <w:sz w:val="21"/>
        </w:rPr>
        <w:t>AI智能体在运行过程中通常需要访问大量用户数据，包括个人通信记录、日程安排、文件内容、位置信息、消费记录等敏感信息。智能体的"工具使用"能力意味着它们可能主动读取、传输和存储用户数据，这带来了巨大的隐私保护挑战。2025年5月，安全研究人员发现某主流AI智能体平台存在漏洞，攻击者可利用"间接提示注入"（Indirect Prompt Injection）技术，通过向智能体处理的文档中嵌入隐藏指令，诱导智能体泄露用户的个人数据[9]。</w:t>
      </w:r>
    </w:p>
    <w:p w14:paraId="5873B6C0">
      <w:pPr>
        <w:spacing w:before="0" w:after="0" w:line="240" w:lineRule="auto"/>
        <w:ind w:firstLine="420"/>
        <w:rPr>
          <w:rFonts w:ascii="宋体" w:hAnsi="宋体" w:eastAsia="宋体"/>
          <w:b w:val="0"/>
          <w:i w:val="0"/>
          <w:sz w:val="21"/>
        </w:rPr>
      </w:pPr>
    </w:p>
    <w:p w14:paraId="09B2306F">
      <w:pPr>
        <w:spacing w:before="0" w:after="0" w:line="240" w:lineRule="auto"/>
        <w:ind w:firstLine="420"/>
        <w:rPr>
          <w:rFonts w:ascii="宋体" w:hAnsi="宋体" w:eastAsia="宋体"/>
          <w:b w:val="0"/>
          <w:i w:val="0"/>
          <w:sz w:val="21"/>
        </w:rPr>
      </w:pPr>
      <w:r>
        <w:rPr>
          <w:rFonts w:ascii="宋体" w:hAnsi="宋体" w:eastAsia="宋体"/>
          <w:b w:val="0"/>
          <w:i w:val="0"/>
          <w:sz w:val="21"/>
        </w:rPr>
        <w:t>此外，AI智能体的"过度索取权限"问题也日益突出。许多AI智能体在安装时要求广泛的系统权限（如读取所有文件、访问通讯录、发送邮件等），而这些权限与其声称的功能往往不相匹配。用户普遍缺乏对AI智能体数据收集和处理行为的有效知情和控制手段。</w:t>
      </w:r>
    </w:p>
    <w:p w14:paraId="45BF04D2">
      <w:pPr>
        <w:spacing w:before="0" w:after="0" w:line="240" w:lineRule="auto"/>
        <w:ind w:firstLine="420"/>
        <w:rPr>
          <w:rFonts w:ascii="宋体" w:hAnsi="宋体" w:eastAsia="宋体"/>
          <w:b w:val="0"/>
          <w:i w:val="0"/>
          <w:sz w:val="21"/>
        </w:rPr>
      </w:pPr>
    </w:p>
    <w:p w14:paraId="1C3BCA68">
      <w:pPr>
        <w:pStyle w:val="4"/>
      </w:pPr>
      <w:r>
        <w:rPr>
          <w:rFonts w:ascii="黑体" w:hAnsi="黑体" w:eastAsia="黑体"/>
        </w:rPr>
        <w:t>2.3.3 责任归属模糊化</w:t>
      </w:r>
    </w:p>
    <w:p w14:paraId="1D5CE142">
      <w:pPr>
        <w:spacing w:before="0" w:after="0" w:line="240" w:lineRule="auto"/>
        <w:ind w:firstLine="420"/>
        <w:rPr>
          <w:rFonts w:ascii="宋体" w:hAnsi="宋体" w:eastAsia="宋体"/>
          <w:b w:val="0"/>
          <w:i w:val="0"/>
          <w:sz w:val="21"/>
        </w:rPr>
      </w:pPr>
      <w:r>
        <w:rPr>
          <w:rFonts w:ascii="宋体" w:hAnsi="宋体" w:eastAsia="宋体"/>
          <w:b w:val="0"/>
          <w:i w:val="0"/>
          <w:sz w:val="21"/>
        </w:rPr>
        <w:t>AI智能体的自主决策能力对传统的责任归属框架构成了根本性挑战。当AI智能体造成损害时，责任应该归于谁？是开发底层模型的公司（如OpenAI、Anthropic）？是构建智能体应用的开发者？是部署和使用智能体的企业？还是对智能体发出指令的终端用户？这一"多手问题"（Many Hands Problem）使得责任链条异常复杂[10]。</w:t>
      </w:r>
    </w:p>
    <w:p w14:paraId="0D9AF47D">
      <w:pPr>
        <w:spacing w:before="0" w:after="0" w:line="240" w:lineRule="auto"/>
        <w:ind w:firstLine="420"/>
        <w:rPr>
          <w:rFonts w:ascii="宋体" w:hAnsi="宋体" w:eastAsia="宋体"/>
          <w:b w:val="0"/>
          <w:i w:val="0"/>
          <w:sz w:val="21"/>
        </w:rPr>
      </w:pPr>
    </w:p>
    <w:p w14:paraId="1CEB8BFA">
      <w:pPr>
        <w:spacing w:before="0" w:after="0" w:line="240" w:lineRule="auto"/>
        <w:ind w:firstLine="420"/>
        <w:rPr>
          <w:rFonts w:ascii="宋体" w:hAnsi="宋体" w:eastAsia="宋体"/>
          <w:b w:val="0"/>
          <w:i w:val="0"/>
          <w:sz w:val="21"/>
        </w:rPr>
      </w:pPr>
      <w:r>
        <w:rPr>
          <w:rFonts w:ascii="宋体" w:hAnsi="宋体" w:eastAsia="宋体"/>
          <w:b w:val="0"/>
          <w:i w:val="0"/>
          <w:sz w:val="21"/>
        </w:rPr>
        <w:t>传统侵权法中的过错责任原则建立在"可预见性"和"可控制性"的基础上，但AI智能体的行为往往具有不可预见性和非完全可控性。2024年，一家加拿大航空公司因AI客服智能体向乘客提供错误退款承诺而被法院判决承担责任，但航空公司辩称其不应为AI的"自创政策"负责。该案暴露了现行法律框架在处理AI智能体责任问题上的重大缺陷[11]。</w:t>
      </w:r>
    </w:p>
    <w:p w14:paraId="5F6BF711">
      <w:pPr>
        <w:spacing w:before="0" w:after="0" w:line="240" w:lineRule="auto"/>
        <w:ind w:firstLine="420"/>
        <w:rPr>
          <w:rFonts w:ascii="宋体" w:hAnsi="宋体" w:eastAsia="宋体"/>
          <w:b w:val="0"/>
          <w:i w:val="0"/>
          <w:sz w:val="21"/>
        </w:rPr>
      </w:pPr>
    </w:p>
    <w:p w14:paraId="465715F1">
      <w:pPr>
        <w:pStyle w:val="4"/>
      </w:pPr>
      <w:r>
        <w:rPr>
          <w:rFonts w:ascii="黑体" w:hAnsi="黑体" w:eastAsia="黑体"/>
        </w:rPr>
        <w:t>2.3.4 就业结构冲击与技能贬值</w:t>
      </w:r>
    </w:p>
    <w:p w14:paraId="035EADE5">
      <w:pPr>
        <w:spacing w:before="0" w:after="0" w:line="240" w:lineRule="auto"/>
        <w:ind w:firstLine="420"/>
        <w:rPr>
          <w:rFonts w:ascii="宋体" w:hAnsi="宋体" w:eastAsia="宋体"/>
          <w:b w:val="0"/>
          <w:i w:val="0"/>
          <w:sz w:val="21"/>
        </w:rPr>
      </w:pPr>
      <w:r>
        <w:rPr>
          <w:rFonts w:ascii="宋体" w:hAnsi="宋体" w:eastAsia="宋体"/>
          <w:b w:val="0"/>
          <w:i w:val="0"/>
          <w:sz w:val="21"/>
        </w:rPr>
        <w:t>AI智能体的自动化能力不仅威胁蓝领工作岗位，更开始冲击白领和知识工作者的职业安全。与传统自动化不同，AI智能体能够执行需要认知能力的任务，包括数据分析、报告撰写、代码编写、设计创作等。世界经济论坛《2025年未来就业报告》指出，AI和智能体技术将在2025-2030年间导致全球约9200万个工作岗位被替代，同时创造约1.7亿个新岗位，净增长约7800万个，但这一结构性转变将给大量劳动者带来再培训和转型的巨大压力[12]。</w:t>
      </w:r>
    </w:p>
    <w:p w14:paraId="4137D3F3">
      <w:pPr>
        <w:spacing w:before="0" w:after="0" w:line="240" w:lineRule="auto"/>
        <w:ind w:firstLine="420"/>
        <w:rPr>
          <w:rFonts w:ascii="宋体" w:hAnsi="宋体" w:eastAsia="宋体"/>
          <w:b w:val="0"/>
          <w:i w:val="0"/>
          <w:sz w:val="21"/>
        </w:rPr>
      </w:pPr>
    </w:p>
    <w:p w14:paraId="0759EF01">
      <w:pPr>
        <w:spacing w:before="0" w:after="0" w:line="240" w:lineRule="auto"/>
        <w:ind w:firstLine="420"/>
        <w:rPr>
          <w:rFonts w:ascii="宋体" w:hAnsi="宋体" w:eastAsia="宋体"/>
          <w:b w:val="0"/>
          <w:i w:val="0"/>
          <w:sz w:val="21"/>
        </w:rPr>
      </w:pPr>
      <w:r>
        <w:rPr>
          <w:rFonts w:ascii="宋体" w:hAnsi="宋体" w:eastAsia="宋体"/>
          <w:b w:val="0"/>
          <w:i w:val="0"/>
          <w:sz w:val="21"/>
        </w:rPr>
        <w:t>特别值得关注的是，AI智能体可能引发"技能贬值"（Skill Devaluation）效应。当初级专业人员过度依赖AI智能体完成基础性工作，他们可能失去通过实践积累经验和培养专业判断力的机会。医学教育领域已有研究警告，医学生过度使用AI辅助诊断工具可能导致临床推理能力的下降[13]。</w:t>
      </w:r>
    </w:p>
    <w:p w14:paraId="766F8011">
      <w:pPr>
        <w:spacing w:before="0" w:after="0" w:line="240" w:lineRule="auto"/>
        <w:ind w:firstLine="420"/>
        <w:rPr>
          <w:rFonts w:ascii="宋体" w:hAnsi="宋体" w:eastAsia="宋体"/>
          <w:b w:val="0"/>
          <w:i w:val="0"/>
          <w:sz w:val="21"/>
        </w:rPr>
      </w:pPr>
    </w:p>
    <w:p w14:paraId="77E2C46F">
      <w:pPr>
        <w:pStyle w:val="4"/>
      </w:pPr>
      <w:r>
        <w:rPr>
          <w:rFonts w:ascii="黑体" w:hAnsi="黑体" w:eastAsia="黑体"/>
        </w:rPr>
        <w:t>2.3.5 算法偏见与歧视的系统性放大</w:t>
      </w:r>
    </w:p>
    <w:p w14:paraId="52D1433E">
      <w:pPr>
        <w:spacing w:before="0" w:after="0" w:line="240" w:lineRule="auto"/>
        <w:ind w:firstLine="420"/>
        <w:rPr>
          <w:rFonts w:ascii="宋体" w:hAnsi="宋体" w:eastAsia="宋体"/>
          <w:b w:val="0"/>
          <w:i w:val="0"/>
          <w:sz w:val="21"/>
        </w:rPr>
      </w:pPr>
      <w:r>
        <w:rPr>
          <w:rFonts w:ascii="宋体" w:hAnsi="宋体" w:eastAsia="宋体"/>
          <w:b w:val="0"/>
          <w:i w:val="0"/>
          <w:sz w:val="21"/>
        </w:rPr>
        <w:t>AI智能体继承和放大了训练数据中存在的偏见，并因其自主决策能力而将这些偏见转化为具有实际社会后果的歧视行为。2025年的一项研究发现，当AI智能体被用于简历筛选时，如果训练数据中包含历史招聘中的性别偏见，智能体不仅会复制这种偏见，还可能因"过度泛化"而将其扩展到与性别无关的其他特征上，造成更加广泛和隐蔽的歧视[14]。</w:t>
      </w:r>
    </w:p>
    <w:p w14:paraId="26D81DCD">
      <w:pPr>
        <w:spacing w:before="0" w:after="0" w:line="240" w:lineRule="auto"/>
        <w:ind w:firstLine="420"/>
        <w:rPr>
          <w:rFonts w:ascii="宋体" w:hAnsi="宋体" w:eastAsia="宋体"/>
          <w:b w:val="0"/>
          <w:i w:val="0"/>
          <w:sz w:val="21"/>
        </w:rPr>
      </w:pPr>
    </w:p>
    <w:p w14:paraId="7FA4B46B">
      <w:pPr>
        <w:spacing w:before="0" w:after="0" w:line="240" w:lineRule="auto"/>
        <w:ind w:firstLine="420"/>
        <w:rPr>
          <w:rFonts w:ascii="宋体" w:hAnsi="宋体" w:eastAsia="宋体"/>
          <w:b w:val="0"/>
          <w:i w:val="0"/>
          <w:sz w:val="21"/>
        </w:rPr>
      </w:pPr>
      <w:r>
        <w:rPr>
          <w:rFonts w:ascii="宋体" w:hAnsi="宋体" w:eastAsia="宋体"/>
          <w:b w:val="0"/>
          <w:i w:val="0"/>
          <w:sz w:val="21"/>
        </w:rPr>
        <w:t>算法偏见在AI智能体中的表现形式更为多样和隐蔽。除了直接的群体统计歧视外，还存在"代理歧视"（Proxy Discrimination）——即使用与受保护特征（如种族、性别）高度相关的其他变量作为替代进行不平等对待；以及"反馈循环放大"——即智能体的偏见决策改变现实数据分布，进一步强化未来的偏见。例如，如果AI信贷审批智能体系统性地拒绝特定社区的贷款申请，该社区的经济指标将恶化，进而"证实"智能体最初的负面评估[15]。</w:t>
      </w:r>
    </w:p>
    <w:p w14:paraId="746CC117">
      <w:pPr>
        <w:spacing w:before="0" w:after="0" w:line="240" w:lineRule="auto"/>
        <w:ind w:firstLine="420"/>
        <w:rPr>
          <w:rFonts w:ascii="宋体" w:hAnsi="宋体" w:eastAsia="宋体"/>
          <w:b w:val="0"/>
          <w:i w:val="0"/>
          <w:sz w:val="21"/>
        </w:rPr>
      </w:pPr>
    </w:p>
    <w:p w14:paraId="27807D59">
      <w:pPr>
        <w:pStyle w:val="4"/>
      </w:pPr>
      <w:r>
        <w:rPr>
          <w:rFonts w:ascii="黑体" w:hAnsi="黑体" w:eastAsia="黑体"/>
        </w:rPr>
        <w:t>2.3.6 恶意滥用与安全威胁</w:t>
      </w:r>
    </w:p>
    <w:p w14:paraId="25659925">
      <w:pPr>
        <w:spacing w:before="0" w:after="0" w:line="240" w:lineRule="auto"/>
        <w:ind w:firstLine="420"/>
      </w:pPr>
      <w:r>
        <w:rPr>
          <w:rFonts w:ascii="宋体" w:hAnsi="宋体" w:eastAsia="宋体"/>
          <w:b w:val="0"/>
          <w:i w:val="0"/>
          <w:sz w:val="21"/>
        </w:rPr>
        <w:t>AI智能体的工具调用和自主执行能力为恶意行为者提供了前所未有的攻击手段。与传统AI模型主要停留在信息层面不同，AI智能体可以实施具有实际物理或经济后果的攻击。欧盟刑警组织（Europol）在其2025年《AI犯罪威胁评估报告》中指出，AI智能体已被用于以下恶意活动：自动化钓鱼和社会工程攻击——AI智能体可根据目标人物的社交媒体信息自动生成高度个性化的钓鱼邮件和诈骗消息，大幅提高攻击成功率；规模化虚假信息传播——AI智能体可自主管理数百个社交媒体账号，协调发布虚假信息，制造舆论操纵效应；自动化漏洞扫描与利用——AI智能体可自动搜索软件漏洞、生成利用代码并发起攻击，降低网络犯罪的技术门槛；深度伪造与身份冒充——AI智能体可结合语音克隆、面部生成和实时交互能力，冒充特定个人进行诈骗[16]。</w:t>
      </w:r>
    </w:p>
    <w:p w14:paraId="1E1F6E54">
      <w:pPr>
        <w:spacing w:before="120" w:after="60"/>
        <w:jc w:val="center"/>
      </w:pPr>
      <w:r>
        <w:rPr>
          <w:rFonts w:ascii="宋体" w:hAnsi="宋体" w:eastAsia="宋体"/>
          <w:b/>
          <w:sz w:val="18"/>
        </w:rPr>
        <w:t>表1  AI智能体典型应用场景正负社会影响汇总</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66575AAE">
        <w:trPr>
          <w:jc w:val="center"/>
        </w:trPr>
        <w:tc>
          <w:tcPr>
            <w:tcW w:w="1729" w:type="dxa"/>
            <w:shd w:val="clear" w:color="auto" w:fill="1A1A2E"/>
            <w:noWrap w:val="0"/>
            <w:vAlign w:val="top"/>
          </w:tcPr>
          <w:p w14:paraId="2D292A87">
            <w:pPr>
              <w:spacing w:line="240" w:lineRule="auto"/>
              <w:jc w:val="center"/>
            </w:pPr>
            <w:r>
              <w:rPr>
                <w:rFonts w:ascii="宋体" w:hAnsi="宋体" w:eastAsia="宋体"/>
                <w:b/>
                <w:color w:val="FFFFFF"/>
                <w:sz w:val="16"/>
              </w:rPr>
              <w:t>应用场景</w:t>
            </w:r>
          </w:p>
        </w:tc>
        <w:tc>
          <w:tcPr>
            <w:tcW w:w="1729" w:type="dxa"/>
            <w:shd w:val="clear" w:color="auto" w:fill="1A1A2E"/>
            <w:noWrap w:val="0"/>
            <w:vAlign w:val="top"/>
          </w:tcPr>
          <w:p w14:paraId="2A1E8EAE">
            <w:pPr>
              <w:spacing w:line="240" w:lineRule="auto"/>
              <w:jc w:val="center"/>
            </w:pPr>
            <w:r>
              <w:rPr>
                <w:rFonts w:ascii="宋体" w:hAnsi="宋体" w:eastAsia="宋体"/>
                <w:b/>
                <w:color w:val="FFFFFF"/>
                <w:sz w:val="16"/>
              </w:rPr>
              <w:t>典型应用形式</w:t>
            </w:r>
          </w:p>
        </w:tc>
        <w:tc>
          <w:tcPr>
            <w:tcW w:w="1729" w:type="dxa"/>
            <w:shd w:val="clear" w:color="auto" w:fill="1A1A2E"/>
            <w:noWrap w:val="0"/>
            <w:vAlign w:val="top"/>
          </w:tcPr>
          <w:p w14:paraId="1D8DB373">
            <w:pPr>
              <w:spacing w:line="240" w:lineRule="auto"/>
              <w:jc w:val="center"/>
            </w:pPr>
            <w:r>
              <w:rPr>
                <w:rFonts w:ascii="宋体" w:hAnsi="宋体" w:eastAsia="宋体"/>
                <w:b/>
                <w:color w:val="FFFFFF"/>
                <w:sz w:val="16"/>
              </w:rPr>
              <w:t>正面影响</w:t>
            </w:r>
          </w:p>
        </w:tc>
        <w:tc>
          <w:tcPr>
            <w:tcW w:w="1729" w:type="dxa"/>
            <w:shd w:val="clear" w:color="auto" w:fill="1A1A2E"/>
            <w:noWrap w:val="0"/>
            <w:vAlign w:val="top"/>
          </w:tcPr>
          <w:p w14:paraId="417E105C">
            <w:pPr>
              <w:spacing w:line="240" w:lineRule="auto"/>
              <w:jc w:val="center"/>
            </w:pPr>
            <w:r>
              <w:rPr>
                <w:rFonts w:ascii="宋体" w:hAnsi="宋体" w:eastAsia="宋体"/>
                <w:b/>
                <w:color w:val="FFFFFF"/>
                <w:sz w:val="16"/>
              </w:rPr>
              <w:t>负面影响</w:t>
            </w:r>
          </w:p>
        </w:tc>
        <w:tc>
          <w:tcPr>
            <w:tcW w:w="1729" w:type="dxa"/>
            <w:shd w:val="clear" w:color="auto" w:fill="1A1A2E"/>
            <w:noWrap w:val="0"/>
            <w:vAlign w:val="top"/>
          </w:tcPr>
          <w:p w14:paraId="5C2CE4F7">
            <w:pPr>
              <w:spacing w:line="240" w:lineRule="auto"/>
              <w:jc w:val="center"/>
            </w:pPr>
            <w:r>
              <w:rPr>
                <w:rFonts w:ascii="宋体" w:hAnsi="宋体" w:eastAsia="宋体"/>
                <w:b/>
                <w:color w:val="FFFFFF"/>
                <w:sz w:val="16"/>
              </w:rPr>
              <w:t>风险等级</w:t>
            </w:r>
          </w:p>
        </w:tc>
      </w:tr>
      <w:tr w14:paraId="11884D60">
        <w:trPr>
          <w:jc w:val="center"/>
        </w:trPr>
        <w:tc>
          <w:tcPr>
            <w:tcW w:w="1729" w:type="dxa"/>
            <w:noWrap w:val="0"/>
            <w:vAlign w:val="top"/>
          </w:tcPr>
          <w:p w14:paraId="4B4C8B65">
            <w:pPr>
              <w:spacing w:line="240" w:lineRule="auto"/>
              <w:jc w:val="center"/>
            </w:pPr>
            <w:r>
              <w:rPr>
                <w:rFonts w:ascii="宋体" w:hAnsi="宋体" w:eastAsia="宋体"/>
                <w:sz w:val="16"/>
              </w:rPr>
              <w:t>教育</w:t>
            </w:r>
          </w:p>
        </w:tc>
        <w:tc>
          <w:tcPr>
            <w:tcW w:w="1729" w:type="dxa"/>
            <w:noWrap w:val="0"/>
            <w:vAlign w:val="top"/>
          </w:tcPr>
          <w:p w14:paraId="5DFE806B">
            <w:pPr>
              <w:spacing w:line="240" w:lineRule="auto"/>
              <w:jc w:val="center"/>
            </w:pPr>
            <w:r>
              <w:rPr>
                <w:rFonts w:ascii="宋体" w:hAnsi="宋体" w:eastAsia="宋体"/>
                <w:sz w:val="16"/>
              </w:rPr>
              <w:t>个性辅导、自动批改、</w:t>
            </w:r>
            <w:r>
              <w:rPr>
                <w:rFonts w:ascii="宋体" w:hAnsi="宋体" w:eastAsia="宋体"/>
                <w:sz w:val="16"/>
              </w:rPr>
              <w:br w:type="textWrapping"/>
            </w:r>
            <w:r>
              <w:rPr>
                <w:rFonts w:ascii="宋体" w:hAnsi="宋体" w:eastAsia="宋体"/>
                <w:sz w:val="16"/>
              </w:rPr>
              <w:t>学习路径规划</w:t>
            </w:r>
          </w:p>
        </w:tc>
        <w:tc>
          <w:tcPr>
            <w:tcW w:w="1729" w:type="dxa"/>
            <w:noWrap w:val="0"/>
            <w:vAlign w:val="top"/>
          </w:tcPr>
          <w:p w14:paraId="085FA8E8">
            <w:pPr>
              <w:spacing w:line="240" w:lineRule="auto"/>
              <w:jc w:val="center"/>
            </w:pPr>
            <w:r>
              <w:rPr>
                <w:rFonts w:ascii="宋体" w:hAnsi="宋体" w:eastAsia="宋体"/>
                <w:sz w:val="16"/>
              </w:rPr>
              <w:t>促进教育公平、提高学习效率、减轻教师负担</w:t>
            </w:r>
          </w:p>
        </w:tc>
        <w:tc>
          <w:tcPr>
            <w:tcW w:w="1729" w:type="dxa"/>
            <w:noWrap w:val="0"/>
            <w:vAlign w:val="top"/>
          </w:tcPr>
          <w:p w14:paraId="5F9E661E">
            <w:pPr>
              <w:spacing w:line="240" w:lineRule="auto"/>
              <w:jc w:val="center"/>
            </w:pPr>
            <w:r>
              <w:rPr>
                <w:rFonts w:ascii="宋体" w:hAnsi="宋体" w:eastAsia="宋体"/>
                <w:sz w:val="16"/>
              </w:rPr>
              <w:t>学术诚信危机、学生过度依赖、教育评价偏差</w:t>
            </w:r>
          </w:p>
        </w:tc>
        <w:tc>
          <w:tcPr>
            <w:tcW w:w="1729" w:type="dxa"/>
            <w:noWrap w:val="0"/>
            <w:vAlign w:val="top"/>
          </w:tcPr>
          <w:p w14:paraId="5B38E3C2">
            <w:pPr>
              <w:spacing w:line="240" w:lineRule="auto"/>
              <w:jc w:val="center"/>
            </w:pPr>
            <w:r>
              <w:rPr>
                <w:rFonts w:ascii="宋体" w:hAnsi="宋体" w:eastAsia="宋体"/>
                <w:sz w:val="16"/>
              </w:rPr>
              <w:t>中</w:t>
            </w:r>
          </w:p>
        </w:tc>
      </w:tr>
      <w:tr w14:paraId="31911D8F">
        <w:trPr>
          <w:jc w:val="center"/>
        </w:trPr>
        <w:tc>
          <w:tcPr>
            <w:tcW w:w="1729" w:type="dxa"/>
            <w:noWrap w:val="0"/>
            <w:vAlign w:val="top"/>
          </w:tcPr>
          <w:p w14:paraId="0B6A1FEC">
            <w:pPr>
              <w:spacing w:line="240" w:lineRule="auto"/>
              <w:jc w:val="center"/>
            </w:pPr>
            <w:r>
              <w:rPr>
                <w:rFonts w:ascii="宋体" w:hAnsi="宋体" w:eastAsia="宋体"/>
                <w:sz w:val="16"/>
              </w:rPr>
              <w:t>办公</w:t>
            </w:r>
          </w:p>
        </w:tc>
        <w:tc>
          <w:tcPr>
            <w:tcW w:w="1729" w:type="dxa"/>
            <w:noWrap w:val="0"/>
            <w:vAlign w:val="top"/>
          </w:tcPr>
          <w:p w14:paraId="1C44C674">
            <w:pPr>
              <w:spacing w:line="240" w:lineRule="auto"/>
              <w:jc w:val="center"/>
            </w:pPr>
            <w:r>
              <w:rPr>
                <w:rFonts w:ascii="宋体" w:hAnsi="宋体" w:eastAsia="宋体"/>
                <w:sz w:val="16"/>
              </w:rPr>
              <w:t>邮件处理、文档生成、</w:t>
            </w:r>
            <w:r>
              <w:rPr>
                <w:rFonts w:ascii="宋体" w:hAnsi="宋体" w:eastAsia="宋体"/>
                <w:sz w:val="16"/>
              </w:rPr>
              <w:br w:type="textWrapping"/>
            </w:r>
            <w:r>
              <w:rPr>
                <w:rFonts w:ascii="宋体" w:hAnsi="宋体" w:eastAsia="宋体"/>
                <w:sz w:val="16"/>
              </w:rPr>
              <w:t>会议纪要、数据分析</w:t>
            </w:r>
          </w:p>
        </w:tc>
        <w:tc>
          <w:tcPr>
            <w:tcW w:w="1729" w:type="dxa"/>
            <w:noWrap w:val="0"/>
            <w:vAlign w:val="top"/>
          </w:tcPr>
          <w:p w14:paraId="6D612A32">
            <w:pPr>
              <w:spacing w:line="240" w:lineRule="auto"/>
              <w:jc w:val="center"/>
            </w:pPr>
            <w:r>
              <w:rPr>
                <w:rFonts w:ascii="宋体" w:hAnsi="宋体" w:eastAsia="宋体"/>
                <w:sz w:val="16"/>
              </w:rPr>
              <w:t>大幅提升效率、降低人工成本、优化协作流程</w:t>
            </w:r>
          </w:p>
        </w:tc>
        <w:tc>
          <w:tcPr>
            <w:tcW w:w="1729" w:type="dxa"/>
            <w:noWrap w:val="0"/>
            <w:vAlign w:val="top"/>
          </w:tcPr>
          <w:p w14:paraId="33A35BF0">
            <w:pPr>
              <w:spacing w:line="240" w:lineRule="auto"/>
              <w:jc w:val="center"/>
            </w:pPr>
            <w:r>
              <w:rPr>
                <w:rFonts w:ascii="宋体" w:hAnsi="宋体" w:eastAsia="宋体"/>
                <w:sz w:val="16"/>
              </w:rPr>
              <w:t>机密信息泄露、错误决策传播、职业替代</w:t>
            </w:r>
          </w:p>
        </w:tc>
        <w:tc>
          <w:tcPr>
            <w:tcW w:w="1729" w:type="dxa"/>
            <w:noWrap w:val="0"/>
            <w:vAlign w:val="top"/>
          </w:tcPr>
          <w:p w14:paraId="35380C5B">
            <w:pPr>
              <w:spacing w:line="240" w:lineRule="auto"/>
              <w:jc w:val="center"/>
            </w:pPr>
            <w:r>
              <w:rPr>
                <w:rFonts w:ascii="宋体" w:hAnsi="宋体" w:eastAsia="宋体"/>
                <w:sz w:val="16"/>
              </w:rPr>
              <w:t>高</w:t>
            </w:r>
          </w:p>
        </w:tc>
      </w:tr>
      <w:tr w14:paraId="2BC0B767">
        <w:trPr>
          <w:jc w:val="center"/>
        </w:trPr>
        <w:tc>
          <w:tcPr>
            <w:tcW w:w="1729" w:type="dxa"/>
            <w:noWrap w:val="0"/>
            <w:vAlign w:val="top"/>
          </w:tcPr>
          <w:p w14:paraId="26955241">
            <w:pPr>
              <w:spacing w:line="240" w:lineRule="auto"/>
              <w:jc w:val="center"/>
            </w:pPr>
            <w:r>
              <w:rPr>
                <w:rFonts w:ascii="宋体" w:hAnsi="宋体" w:eastAsia="宋体"/>
                <w:sz w:val="16"/>
              </w:rPr>
              <w:t>医疗</w:t>
            </w:r>
          </w:p>
        </w:tc>
        <w:tc>
          <w:tcPr>
            <w:tcW w:w="1729" w:type="dxa"/>
            <w:noWrap w:val="0"/>
            <w:vAlign w:val="top"/>
          </w:tcPr>
          <w:p w14:paraId="3D037788">
            <w:pPr>
              <w:spacing w:line="240" w:lineRule="auto"/>
              <w:jc w:val="center"/>
            </w:pPr>
            <w:r>
              <w:rPr>
                <w:rFonts w:ascii="宋体" w:hAnsi="宋体" w:eastAsia="宋体"/>
                <w:sz w:val="16"/>
              </w:rPr>
              <w:t>辅助诊断、病历管理、</w:t>
            </w:r>
            <w:r>
              <w:rPr>
                <w:rFonts w:ascii="宋体" w:hAnsi="宋体" w:eastAsia="宋体"/>
                <w:sz w:val="16"/>
              </w:rPr>
              <w:br w:type="textWrapping"/>
            </w:r>
            <w:r>
              <w:rPr>
                <w:rFonts w:ascii="宋体" w:hAnsi="宋体" w:eastAsia="宋体"/>
                <w:sz w:val="16"/>
              </w:rPr>
              <w:t>药物研发、患者随访</w:t>
            </w:r>
          </w:p>
        </w:tc>
        <w:tc>
          <w:tcPr>
            <w:tcW w:w="1729" w:type="dxa"/>
            <w:noWrap w:val="0"/>
            <w:vAlign w:val="top"/>
          </w:tcPr>
          <w:p w14:paraId="587F0CE0">
            <w:pPr>
              <w:spacing w:line="240" w:lineRule="auto"/>
              <w:jc w:val="center"/>
            </w:pPr>
            <w:r>
              <w:rPr>
                <w:rFonts w:ascii="宋体" w:hAnsi="宋体" w:eastAsia="宋体"/>
                <w:sz w:val="16"/>
              </w:rPr>
              <w:t>提高诊断准确率、缓解医疗资源不均、加速药物研发</w:t>
            </w:r>
          </w:p>
        </w:tc>
        <w:tc>
          <w:tcPr>
            <w:tcW w:w="1729" w:type="dxa"/>
            <w:noWrap w:val="0"/>
            <w:vAlign w:val="top"/>
          </w:tcPr>
          <w:p w14:paraId="32AB4502">
            <w:pPr>
              <w:spacing w:line="240" w:lineRule="auto"/>
              <w:jc w:val="center"/>
            </w:pPr>
            <w:r>
              <w:rPr>
                <w:rFonts w:ascii="宋体" w:hAnsi="宋体" w:eastAsia="宋体"/>
                <w:sz w:val="16"/>
              </w:rPr>
              <w:t>误诊风险、患者隐私泄露、医患责任不清</w:t>
            </w:r>
          </w:p>
        </w:tc>
        <w:tc>
          <w:tcPr>
            <w:tcW w:w="1729" w:type="dxa"/>
            <w:noWrap w:val="0"/>
            <w:vAlign w:val="top"/>
          </w:tcPr>
          <w:p w14:paraId="095CB945">
            <w:pPr>
              <w:spacing w:line="240" w:lineRule="auto"/>
              <w:jc w:val="center"/>
            </w:pPr>
            <w:r>
              <w:rPr>
                <w:rFonts w:ascii="宋体" w:hAnsi="宋体" w:eastAsia="宋体"/>
                <w:sz w:val="16"/>
              </w:rPr>
              <w:t>极高</w:t>
            </w:r>
          </w:p>
        </w:tc>
      </w:tr>
      <w:tr w14:paraId="6A9672F5">
        <w:trPr>
          <w:jc w:val="center"/>
        </w:trPr>
        <w:tc>
          <w:tcPr>
            <w:tcW w:w="1729" w:type="dxa"/>
            <w:noWrap w:val="0"/>
            <w:vAlign w:val="top"/>
          </w:tcPr>
          <w:p w14:paraId="0A648997">
            <w:pPr>
              <w:spacing w:line="240" w:lineRule="auto"/>
              <w:jc w:val="center"/>
            </w:pPr>
            <w:r>
              <w:rPr>
                <w:rFonts w:ascii="宋体" w:hAnsi="宋体" w:eastAsia="宋体"/>
                <w:sz w:val="16"/>
              </w:rPr>
              <w:t>金融</w:t>
            </w:r>
          </w:p>
        </w:tc>
        <w:tc>
          <w:tcPr>
            <w:tcW w:w="1729" w:type="dxa"/>
            <w:noWrap w:val="0"/>
            <w:vAlign w:val="top"/>
          </w:tcPr>
          <w:p w14:paraId="3FB55FD5">
            <w:pPr>
              <w:spacing w:line="240" w:lineRule="auto"/>
              <w:jc w:val="center"/>
            </w:pPr>
            <w:r>
              <w:rPr>
                <w:rFonts w:ascii="宋体" w:hAnsi="宋体" w:eastAsia="宋体"/>
                <w:sz w:val="16"/>
              </w:rPr>
              <w:t>算法交易、风险评估、</w:t>
            </w:r>
            <w:r>
              <w:rPr>
                <w:rFonts w:ascii="宋体" w:hAnsi="宋体" w:eastAsia="宋体"/>
                <w:sz w:val="16"/>
              </w:rPr>
              <w:br w:type="textWrapping"/>
            </w:r>
            <w:r>
              <w:rPr>
                <w:rFonts w:ascii="宋体" w:hAnsi="宋体" w:eastAsia="宋体"/>
                <w:sz w:val="16"/>
              </w:rPr>
              <w:t>信用审批、反欺诈</w:t>
            </w:r>
          </w:p>
        </w:tc>
        <w:tc>
          <w:tcPr>
            <w:tcW w:w="1729" w:type="dxa"/>
            <w:noWrap w:val="0"/>
            <w:vAlign w:val="top"/>
          </w:tcPr>
          <w:p w14:paraId="2A00D3F3">
            <w:pPr>
              <w:spacing w:line="240" w:lineRule="auto"/>
              <w:jc w:val="center"/>
            </w:pPr>
            <w:r>
              <w:rPr>
                <w:rFonts w:ascii="宋体" w:hAnsi="宋体" w:eastAsia="宋体"/>
                <w:sz w:val="16"/>
              </w:rPr>
              <w:t>提升交易效率、优化资产配置、降低金融风险</w:t>
            </w:r>
          </w:p>
        </w:tc>
        <w:tc>
          <w:tcPr>
            <w:tcW w:w="1729" w:type="dxa"/>
            <w:noWrap w:val="0"/>
            <w:vAlign w:val="top"/>
          </w:tcPr>
          <w:p w14:paraId="7E6FEC83">
            <w:pPr>
              <w:spacing w:line="240" w:lineRule="auto"/>
              <w:jc w:val="center"/>
            </w:pPr>
            <w:r>
              <w:rPr>
                <w:rFonts w:ascii="宋体" w:hAnsi="宋体" w:eastAsia="宋体"/>
                <w:sz w:val="16"/>
              </w:rPr>
              <w:t>市场系统性风险、信贷歧视、算法操纵</w:t>
            </w:r>
          </w:p>
        </w:tc>
        <w:tc>
          <w:tcPr>
            <w:tcW w:w="1729" w:type="dxa"/>
            <w:noWrap w:val="0"/>
            <w:vAlign w:val="top"/>
          </w:tcPr>
          <w:p w14:paraId="0C06AC7C">
            <w:pPr>
              <w:spacing w:line="240" w:lineRule="auto"/>
              <w:jc w:val="center"/>
            </w:pPr>
            <w:r>
              <w:rPr>
                <w:rFonts w:ascii="宋体" w:hAnsi="宋体" w:eastAsia="宋体"/>
                <w:sz w:val="16"/>
              </w:rPr>
              <w:t>极高</w:t>
            </w:r>
          </w:p>
        </w:tc>
      </w:tr>
      <w:tr w14:paraId="2638E73A">
        <w:trPr>
          <w:jc w:val="center"/>
        </w:trPr>
        <w:tc>
          <w:tcPr>
            <w:tcW w:w="1729" w:type="dxa"/>
            <w:noWrap w:val="0"/>
            <w:vAlign w:val="top"/>
          </w:tcPr>
          <w:p w14:paraId="60015C73">
            <w:pPr>
              <w:spacing w:line="240" w:lineRule="auto"/>
              <w:jc w:val="center"/>
            </w:pPr>
            <w:r>
              <w:rPr>
                <w:rFonts w:ascii="宋体" w:hAnsi="宋体" w:eastAsia="宋体"/>
                <w:sz w:val="16"/>
              </w:rPr>
              <w:t>政务</w:t>
            </w:r>
          </w:p>
        </w:tc>
        <w:tc>
          <w:tcPr>
            <w:tcW w:w="1729" w:type="dxa"/>
            <w:noWrap w:val="0"/>
            <w:vAlign w:val="top"/>
          </w:tcPr>
          <w:p w14:paraId="16ECBB87">
            <w:pPr>
              <w:spacing w:line="240" w:lineRule="auto"/>
              <w:jc w:val="center"/>
            </w:pPr>
            <w:r>
              <w:rPr>
                <w:rFonts w:ascii="宋体" w:hAnsi="宋体" w:eastAsia="宋体"/>
                <w:sz w:val="16"/>
              </w:rPr>
              <w:t>政策分析、市民服务、</w:t>
            </w:r>
            <w:r>
              <w:rPr>
                <w:rFonts w:ascii="宋体" w:hAnsi="宋体" w:eastAsia="宋体"/>
                <w:sz w:val="16"/>
              </w:rPr>
              <w:br w:type="textWrapping"/>
            </w:r>
            <w:r>
              <w:rPr>
                <w:rFonts w:ascii="宋体" w:hAnsi="宋体" w:eastAsia="宋体"/>
                <w:sz w:val="16"/>
              </w:rPr>
              <w:t>舆情监测、文件起草</w:t>
            </w:r>
          </w:p>
        </w:tc>
        <w:tc>
          <w:tcPr>
            <w:tcW w:w="1729" w:type="dxa"/>
            <w:noWrap w:val="0"/>
            <w:vAlign w:val="top"/>
          </w:tcPr>
          <w:p w14:paraId="7F844E9D">
            <w:pPr>
              <w:spacing w:line="240" w:lineRule="auto"/>
              <w:jc w:val="center"/>
            </w:pPr>
            <w:r>
              <w:rPr>
                <w:rFonts w:ascii="宋体" w:hAnsi="宋体" w:eastAsia="宋体"/>
                <w:sz w:val="16"/>
              </w:rPr>
              <w:t>提升服务效率、辅助科学决策、降低行政成本</w:t>
            </w:r>
          </w:p>
        </w:tc>
        <w:tc>
          <w:tcPr>
            <w:tcW w:w="1729" w:type="dxa"/>
            <w:noWrap w:val="0"/>
            <w:vAlign w:val="top"/>
          </w:tcPr>
          <w:p w14:paraId="2C0904AA">
            <w:pPr>
              <w:spacing w:line="240" w:lineRule="auto"/>
              <w:jc w:val="center"/>
            </w:pPr>
            <w:r>
              <w:rPr>
                <w:rFonts w:ascii="宋体" w:hAnsi="宋体" w:eastAsia="宋体"/>
                <w:sz w:val="16"/>
              </w:rPr>
              <w:t>公民隐私威胁、决策黑箱、数字鸿沟</w:t>
            </w:r>
          </w:p>
        </w:tc>
        <w:tc>
          <w:tcPr>
            <w:tcW w:w="1729" w:type="dxa"/>
            <w:noWrap w:val="0"/>
            <w:vAlign w:val="top"/>
          </w:tcPr>
          <w:p w14:paraId="759546C4">
            <w:pPr>
              <w:spacing w:line="240" w:lineRule="auto"/>
              <w:jc w:val="center"/>
            </w:pPr>
            <w:r>
              <w:rPr>
                <w:rFonts w:ascii="宋体" w:hAnsi="宋体" w:eastAsia="宋体"/>
                <w:sz w:val="16"/>
              </w:rPr>
              <w:t>高</w:t>
            </w:r>
          </w:p>
        </w:tc>
      </w:tr>
      <w:tr w14:paraId="5A364B98">
        <w:trPr>
          <w:jc w:val="center"/>
        </w:trPr>
        <w:tc>
          <w:tcPr>
            <w:tcW w:w="1729" w:type="dxa"/>
            <w:noWrap w:val="0"/>
            <w:vAlign w:val="top"/>
          </w:tcPr>
          <w:p w14:paraId="08528449">
            <w:pPr>
              <w:spacing w:line="240" w:lineRule="auto"/>
              <w:jc w:val="center"/>
            </w:pPr>
            <w:r>
              <w:rPr>
                <w:rFonts w:ascii="宋体" w:hAnsi="宋体" w:eastAsia="宋体"/>
                <w:sz w:val="16"/>
              </w:rPr>
              <w:t>科研</w:t>
            </w:r>
          </w:p>
        </w:tc>
        <w:tc>
          <w:tcPr>
            <w:tcW w:w="1729" w:type="dxa"/>
            <w:noWrap w:val="0"/>
            <w:vAlign w:val="top"/>
          </w:tcPr>
          <w:p w14:paraId="30996B35">
            <w:pPr>
              <w:spacing w:line="240" w:lineRule="auto"/>
              <w:jc w:val="center"/>
            </w:pPr>
            <w:r>
              <w:rPr>
                <w:rFonts w:ascii="宋体" w:hAnsi="宋体" w:eastAsia="宋体"/>
                <w:sz w:val="16"/>
              </w:rPr>
              <w:t>文献综述、实验设计、</w:t>
            </w:r>
            <w:r>
              <w:rPr>
                <w:rFonts w:ascii="宋体" w:hAnsi="宋体" w:eastAsia="宋体"/>
                <w:sz w:val="16"/>
              </w:rPr>
              <w:br w:type="textWrapping"/>
            </w:r>
            <w:r>
              <w:rPr>
                <w:rFonts w:ascii="宋体" w:hAnsi="宋体" w:eastAsia="宋体"/>
                <w:sz w:val="16"/>
              </w:rPr>
              <w:t>数据分析、假设生成</w:t>
            </w:r>
          </w:p>
        </w:tc>
        <w:tc>
          <w:tcPr>
            <w:tcW w:w="1729" w:type="dxa"/>
            <w:noWrap w:val="0"/>
            <w:vAlign w:val="top"/>
          </w:tcPr>
          <w:p w14:paraId="0F0D8364">
            <w:pPr>
              <w:spacing w:line="240" w:lineRule="auto"/>
              <w:jc w:val="center"/>
            </w:pPr>
            <w:r>
              <w:rPr>
                <w:rFonts w:ascii="宋体" w:hAnsi="宋体" w:eastAsia="宋体"/>
                <w:sz w:val="16"/>
              </w:rPr>
              <w:t>加速科研进程、促进跨学科创新、降低研究成本</w:t>
            </w:r>
          </w:p>
        </w:tc>
        <w:tc>
          <w:tcPr>
            <w:tcW w:w="1729" w:type="dxa"/>
            <w:noWrap w:val="0"/>
            <w:vAlign w:val="top"/>
          </w:tcPr>
          <w:p w14:paraId="0250F8EB">
            <w:pPr>
              <w:spacing w:line="240" w:lineRule="auto"/>
              <w:jc w:val="center"/>
            </w:pPr>
            <w:r>
              <w:rPr>
                <w:rFonts w:ascii="宋体" w:hAnsi="宋体" w:eastAsia="宋体"/>
                <w:sz w:val="16"/>
              </w:rPr>
              <w:t>学术不端风险、研究质量下降、科研诚信危机</w:t>
            </w:r>
          </w:p>
        </w:tc>
        <w:tc>
          <w:tcPr>
            <w:tcW w:w="1729" w:type="dxa"/>
            <w:noWrap w:val="0"/>
            <w:vAlign w:val="top"/>
          </w:tcPr>
          <w:p w14:paraId="1A863E0F">
            <w:pPr>
              <w:spacing w:line="240" w:lineRule="auto"/>
              <w:jc w:val="center"/>
            </w:pPr>
            <w:r>
              <w:rPr>
                <w:rFonts w:ascii="宋体" w:hAnsi="宋体" w:eastAsia="宋体"/>
                <w:sz w:val="16"/>
              </w:rPr>
              <w:t>中</w:t>
            </w:r>
          </w:p>
        </w:tc>
      </w:tr>
      <w:tr w14:paraId="64021A36">
        <w:trPr>
          <w:jc w:val="center"/>
        </w:trPr>
        <w:tc>
          <w:tcPr>
            <w:tcW w:w="1729" w:type="dxa"/>
            <w:noWrap w:val="0"/>
            <w:vAlign w:val="top"/>
          </w:tcPr>
          <w:p w14:paraId="2E99C488">
            <w:pPr>
              <w:spacing w:line="240" w:lineRule="auto"/>
              <w:jc w:val="center"/>
            </w:pPr>
            <w:r>
              <w:rPr>
                <w:rFonts w:ascii="宋体" w:hAnsi="宋体" w:eastAsia="宋体"/>
                <w:sz w:val="16"/>
              </w:rPr>
              <w:t>内容生产</w:t>
            </w:r>
          </w:p>
        </w:tc>
        <w:tc>
          <w:tcPr>
            <w:tcW w:w="1729" w:type="dxa"/>
            <w:noWrap w:val="0"/>
            <w:vAlign w:val="top"/>
          </w:tcPr>
          <w:p w14:paraId="78A5EDFE">
            <w:pPr>
              <w:spacing w:line="240" w:lineRule="auto"/>
              <w:jc w:val="center"/>
            </w:pPr>
            <w:r>
              <w:rPr>
                <w:rFonts w:ascii="宋体" w:hAnsi="宋体" w:eastAsia="宋体"/>
                <w:sz w:val="16"/>
              </w:rPr>
              <w:t>写作、视频、音乐、</w:t>
            </w:r>
            <w:r>
              <w:rPr>
                <w:rFonts w:ascii="宋体" w:hAnsi="宋体" w:eastAsia="宋体"/>
                <w:sz w:val="16"/>
              </w:rPr>
              <w:br w:type="textWrapping"/>
            </w:r>
            <w:r>
              <w:rPr>
                <w:rFonts w:ascii="宋体" w:hAnsi="宋体" w:eastAsia="宋体"/>
                <w:sz w:val="16"/>
              </w:rPr>
              <w:t>代码自动生成</w:t>
            </w:r>
          </w:p>
        </w:tc>
        <w:tc>
          <w:tcPr>
            <w:tcW w:w="1729" w:type="dxa"/>
            <w:noWrap w:val="0"/>
            <w:vAlign w:val="top"/>
          </w:tcPr>
          <w:p w14:paraId="501F9DA5">
            <w:pPr>
              <w:spacing w:line="240" w:lineRule="auto"/>
              <w:jc w:val="center"/>
            </w:pPr>
            <w:r>
              <w:rPr>
                <w:rFonts w:ascii="宋体" w:hAnsi="宋体" w:eastAsia="宋体"/>
                <w:sz w:val="16"/>
              </w:rPr>
              <w:t>降低创作门槛、丰富内容供给、提升生产效率</w:t>
            </w:r>
          </w:p>
        </w:tc>
        <w:tc>
          <w:tcPr>
            <w:tcW w:w="1729" w:type="dxa"/>
            <w:noWrap w:val="0"/>
            <w:vAlign w:val="top"/>
          </w:tcPr>
          <w:p w14:paraId="71B9B0CF">
            <w:pPr>
              <w:spacing w:line="240" w:lineRule="auto"/>
              <w:jc w:val="center"/>
            </w:pPr>
            <w:r>
              <w:rPr>
                <w:rFonts w:ascii="宋体" w:hAnsi="宋体" w:eastAsia="宋体"/>
                <w:sz w:val="16"/>
              </w:rPr>
              <w:t>版权侵权、深度伪造、虚假信息泛滥、创作者权益受损</w:t>
            </w:r>
          </w:p>
        </w:tc>
        <w:tc>
          <w:tcPr>
            <w:tcW w:w="1729" w:type="dxa"/>
            <w:noWrap w:val="0"/>
            <w:vAlign w:val="top"/>
          </w:tcPr>
          <w:p w14:paraId="6B14F149">
            <w:pPr>
              <w:spacing w:line="240" w:lineRule="auto"/>
              <w:jc w:val="center"/>
            </w:pPr>
            <w:r>
              <w:rPr>
                <w:rFonts w:ascii="宋体" w:hAnsi="宋体" w:eastAsia="宋体"/>
                <w:sz w:val="16"/>
              </w:rPr>
              <w:t>高</w:t>
            </w:r>
          </w:p>
        </w:tc>
      </w:tr>
    </w:tbl>
    <w:p w14:paraId="6412EA13">
      <w:pPr>
        <w:pStyle w:val="2"/>
      </w:pPr>
      <w:r>
        <w:rPr>
          <w:rFonts w:ascii="黑体" w:hAnsi="黑体" w:eastAsia="黑体"/>
        </w:rPr>
        <w:t>3. AI智能体监管与创新自由的平衡讨论</w:t>
      </w:r>
    </w:p>
    <w:p w14:paraId="7BEEE460">
      <w:pPr>
        <w:spacing w:before="0" w:after="0" w:line="240" w:lineRule="auto"/>
        <w:ind w:firstLine="420"/>
      </w:pPr>
      <w:r>
        <w:rPr>
          <w:rFonts w:ascii="宋体" w:hAnsi="宋体" w:eastAsia="宋体"/>
          <w:b w:val="0"/>
          <w:i w:val="0"/>
          <w:sz w:val="21"/>
        </w:rPr>
        <w:t>AI智能体的技术特征——自主性、行动能力和广泛的社会渗透性——决定了对其施以有效监管的必要性和紧迫性。然而，监管的力度、方式和时机同样需要审慎权衡。</w:t>
      </w:r>
    </w:p>
    <w:p w14:paraId="3542FA92">
      <w:pPr>
        <w:pStyle w:val="3"/>
      </w:pPr>
      <w:r>
        <w:rPr>
          <w:rFonts w:ascii="黑体" w:hAnsi="黑体" w:eastAsia="黑体"/>
        </w:rPr>
        <w:t>3.1 加强监管的必要性与潜在风险</w:t>
      </w:r>
    </w:p>
    <w:p w14:paraId="21DB0676">
      <w:pPr>
        <w:pStyle w:val="4"/>
      </w:pPr>
      <w:r>
        <w:rPr>
          <w:rFonts w:ascii="黑体" w:hAnsi="黑体" w:eastAsia="黑体"/>
        </w:rPr>
        <w:t>3.1.1 加强监管的必要性</w:t>
      </w:r>
    </w:p>
    <w:p w14:paraId="7C2A20AF">
      <w:pPr>
        <w:spacing w:before="0" w:after="0" w:line="240" w:lineRule="auto"/>
        <w:ind w:firstLine="420"/>
        <w:rPr>
          <w:rFonts w:ascii="宋体" w:hAnsi="宋体" w:eastAsia="宋体"/>
          <w:b w:val="0"/>
          <w:i w:val="0"/>
          <w:sz w:val="21"/>
        </w:rPr>
      </w:pPr>
      <w:r>
        <w:rPr>
          <w:rFonts w:ascii="宋体" w:hAnsi="宋体" w:eastAsia="宋体"/>
          <w:b/>
          <w:i w:val="0"/>
          <w:sz w:val="21"/>
        </w:rPr>
        <w:t>保护公众安全与基本权利：</w:t>
      </w:r>
      <w:r>
        <w:rPr>
          <w:rFonts w:ascii="宋体" w:hAnsi="宋体" w:eastAsia="宋体"/>
          <w:b w:val="0"/>
          <w:i w:val="0"/>
          <w:sz w:val="21"/>
        </w:rPr>
        <w:t>AI智能体在社会关键领域的广泛应用意味着其失效或滥用的代价极为高昂。在医疗领域，一个诊断建议错误可能导致患者延误治疗甚至死亡；在金融领域，算法交易智能体的失控可能引发市场剧烈波动和系统性风险；在司法领域，带有偏见的AI辅助决策可能导致不公正的裁判。监管是保护公众基本权利和安全的必要屏障。欧盟《人工智能法案》将医疗、司法、关键基础设施等领域的AI应用列为"高风险"类别，要求强制性合规评估，正是基于这一逻辑[17]。</w:t>
      </w:r>
    </w:p>
    <w:p w14:paraId="05FB0505">
      <w:pPr>
        <w:spacing w:before="0" w:after="0" w:line="240" w:lineRule="auto"/>
        <w:ind w:firstLine="420"/>
        <w:rPr>
          <w:rFonts w:ascii="宋体" w:hAnsi="宋体" w:eastAsia="宋体"/>
          <w:b w:val="0"/>
          <w:i w:val="0"/>
          <w:sz w:val="21"/>
        </w:rPr>
      </w:pPr>
    </w:p>
    <w:p w14:paraId="21571324">
      <w:pPr>
        <w:spacing w:before="0" w:after="0" w:line="240" w:lineRule="auto"/>
        <w:ind w:firstLine="420"/>
        <w:rPr>
          <w:rFonts w:ascii="宋体" w:hAnsi="宋体" w:eastAsia="宋体"/>
          <w:b w:val="0"/>
          <w:i w:val="0"/>
          <w:sz w:val="21"/>
        </w:rPr>
      </w:pPr>
      <w:r>
        <w:rPr>
          <w:rFonts w:ascii="宋体" w:hAnsi="宋体" w:eastAsia="宋体"/>
          <w:b/>
          <w:i w:val="0"/>
          <w:sz w:val="21"/>
        </w:rPr>
        <w:t>减少信息不对称与权力失衡：</w:t>
      </w:r>
      <w:r>
        <w:rPr>
          <w:rFonts w:ascii="宋体" w:hAnsi="宋体" w:eastAsia="宋体"/>
          <w:b w:val="0"/>
          <w:i w:val="0"/>
          <w:sz w:val="21"/>
        </w:rPr>
        <w:t>AI智能体的开发者和部署者通常掌握着关于系统能力、局限性和风险的信息优势，而终端用户、消费者和受影响公众则处于信息劣势。这种信息不对称可能导致用户过度信任系统、做出不利于自身利益的决策。监管可以强制信息披露和透明度要求，帮助公众做出更加理性的选择。例如，中国《生成式人工智能服务管理暂行办法》要求服务提供者对AI生成内容进行显著标识，即为减少信息不对称的制度设计[18]。</w:t>
      </w:r>
    </w:p>
    <w:p w14:paraId="1CEFA3A5">
      <w:pPr>
        <w:spacing w:before="0" w:after="0" w:line="240" w:lineRule="auto"/>
        <w:ind w:firstLine="420"/>
        <w:rPr>
          <w:rFonts w:ascii="宋体" w:hAnsi="宋体" w:eastAsia="宋体"/>
          <w:b w:val="0"/>
          <w:i w:val="0"/>
          <w:sz w:val="21"/>
        </w:rPr>
      </w:pPr>
    </w:p>
    <w:p w14:paraId="059F2F1F">
      <w:pPr>
        <w:spacing w:before="0" w:after="0" w:line="240" w:lineRule="auto"/>
        <w:ind w:firstLine="420"/>
        <w:rPr>
          <w:rFonts w:ascii="宋体" w:hAnsi="宋体" w:eastAsia="宋体"/>
          <w:b w:val="0"/>
          <w:i w:val="0"/>
          <w:sz w:val="21"/>
        </w:rPr>
      </w:pPr>
      <w:r>
        <w:rPr>
          <w:rFonts w:ascii="宋体" w:hAnsi="宋体" w:eastAsia="宋体"/>
          <w:b/>
          <w:i w:val="0"/>
          <w:sz w:val="21"/>
        </w:rPr>
        <w:t>明确责任边界与救济渠道：</w:t>
      </w:r>
      <w:r>
        <w:rPr>
          <w:rFonts w:ascii="宋体" w:hAnsi="宋体" w:eastAsia="宋体"/>
          <w:b w:val="0"/>
          <w:i w:val="0"/>
          <w:sz w:val="21"/>
        </w:rPr>
        <w:t>如前所述，AI智能体的多主体参与特征使得责任归属极为复杂。没有明确的法律规则，受害者将难以获得有效救济，而开发者和部署者也可能因责任不确定而过度保守或过度冒险。监管可以通过建立责任规则、强制保险要求、设立行业赔偿基金等方式，为各方提供明确的行为预期和救济保障。</w:t>
      </w:r>
    </w:p>
    <w:p w14:paraId="79A77954">
      <w:pPr>
        <w:spacing w:before="0" w:after="0" w:line="240" w:lineRule="auto"/>
        <w:ind w:firstLine="420"/>
        <w:rPr>
          <w:rFonts w:ascii="宋体" w:hAnsi="宋体" w:eastAsia="宋体"/>
          <w:b w:val="0"/>
          <w:i w:val="0"/>
          <w:sz w:val="21"/>
        </w:rPr>
      </w:pPr>
    </w:p>
    <w:p w14:paraId="3EB5C488">
      <w:pPr>
        <w:spacing w:before="0" w:after="0" w:line="240" w:lineRule="auto"/>
        <w:ind w:firstLine="420"/>
        <w:rPr>
          <w:rFonts w:ascii="宋体" w:hAnsi="宋体" w:eastAsia="宋体"/>
          <w:b w:val="0"/>
          <w:i w:val="0"/>
          <w:sz w:val="21"/>
        </w:rPr>
      </w:pPr>
      <w:r>
        <w:rPr>
          <w:rFonts w:ascii="宋体" w:hAnsi="宋体" w:eastAsia="宋体"/>
          <w:b/>
          <w:i w:val="0"/>
          <w:sz w:val="21"/>
        </w:rPr>
        <w:t>防止"逐底竞争"与道德风险：</w:t>
      </w:r>
      <w:r>
        <w:rPr>
          <w:rFonts w:ascii="宋体" w:hAnsi="宋体" w:eastAsia="宋体"/>
          <w:b w:val="0"/>
          <w:i w:val="0"/>
          <w:sz w:val="21"/>
        </w:rPr>
        <w:t>在缺乏统一监管框架的情况下，企业可能为了市场竞争而牺牲安全投入和伦理考量，形成"逐底竞争"（Race to the Bottom）的局面。最低限度的监管标准可以创造公平竞争环境，防止负责任的企业因承担更高的合规成本而在竞争中处于劣势。</w:t>
      </w:r>
    </w:p>
    <w:p w14:paraId="5ABD9585">
      <w:pPr>
        <w:spacing w:before="0" w:after="0" w:line="240" w:lineRule="auto"/>
        <w:ind w:firstLine="420"/>
        <w:rPr>
          <w:rFonts w:ascii="宋体" w:hAnsi="宋体" w:eastAsia="宋体"/>
          <w:b w:val="0"/>
          <w:i w:val="0"/>
          <w:sz w:val="21"/>
        </w:rPr>
      </w:pPr>
    </w:p>
    <w:p w14:paraId="3349C8B1">
      <w:pPr>
        <w:pStyle w:val="4"/>
      </w:pPr>
      <w:r>
        <w:rPr>
          <w:rFonts w:ascii="黑体" w:hAnsi="黑体" w:eastAsia="黑体"/>
        </w:rPr>
        <w:t>3.1.2 加强监管的潜在风险</w:t>
      </w:r>
    </w:p>
    <w:p w14:paraId="175E1AD9">
      <w:pPr>
        <w:spacing w:before="0" w:after="0" w:line="240" w:lineRule="auto"/>
        <w:ind w:firstLine="420"/>
        <w:rPr>
          <w:rFonts w:ascii="宋体" w:hAnsi="宋体" w:eastAsia="宋体"/>
          <w:b w:val="0"/>
          <w:i w:val="0"/>
          <w:sz w:val="21"/>
        </w:rPr>
      </w:pPr>
      <w:r>
        <w:rPr>
          <w:rFonts w:ascii="宋体" w:hAnsi="宋体" w:eastAsia="宋体"/>
          <w:b/>
          <w:i w:val="0"/>
          <w:sz w:val="21"/>
        </w:rPr>
        <w:t>创新抑制效应：</w:t>
      </w:r>
      <w:r>
        <w:rPr>
          <w:rFonts w:ascii="宋体" w:hAnsi="宋体" w:eastAsia="宋体"/>
          <w:b w:val="0"/>
          <w:i w:val="0"/>
          <w:sz w:val="21"/>
        </w:rPr>
        <w:t>过度严格或设计不当的监管可能显著增加创新成本，阻碍技术发展。初创企业和小型开发者可能因无法承担高昂的合规成本而被排除在市场之外，导致行业集中度进一步提高。欧盟AI法案曾因合规要求过于复杂而遭到Airbus、Siemens等150多家欧洲企业的联名公开信批评，警告过度监管将削弱欧洲在全球AI竞争中的地位[19]。</w:t>
      </w:r>
    </w:p>
    <w:p w14:paraId="26ACD335">
      <w:pPr>
        <w:spacing w:before="0" w:after="0" w:line="240" w:lineRule="auto"/>
        <w:ind w:firstLine="420"/>
        <w:rPr>
          <w:rFonts w:ascii="宋体" w:hAnsi="宋体" w:eastAsia="宋体"/>
          <w:b w:val="0"/>
          <w:i w:val="0"/>
          <w:sz w:val="21"/>
        </w:rPr>
      </w:pPr>
    </w:p>
    <w:p w14:paraId="3BE82839">
      <w:pPr>
        <w:spacing w:before="0" w:after="0" w:line="240" w:lineRule="auto"/>
        <w:ind w:firstLine="420"/>
        <w:rPr>
          <w:rFonts w:ascii="宋体" w:hAnsi="宋体" w:eastAsia="宋体"/>
          <w:b w:val="0"/>
          <w:i w:val="0"/>
          <w:sz w:val="21"/>
        </w:rPr>
      </w:pPr>
      <w:r>
        <w:rPr>
          <w:rFonts w:ascii="宋体" w:hAnsi="宋体" w:eastAsia="宋体"/>
          <w:b/>
          <w:i w:val="0"/>
          <w:sz w:val="21"/>
        </w:rPr>
        <w:t>监管滞后与错配：</w:t>
      </w:r>
      <w:r>
        <w:rPr>
          <w:rFonts w:ascii="宋体" w:hAnsi="宋体" w:eastAsia="宋体"/>
          <w:b w:val="0"/>
          <w:i w:val="0"/>
          <w:sz w:val="21"/>
        </w:rPr>
        <w:t>AI技术的发展速度远快于立法和监管的节奏。监管机构面临"科林格里奇困境"（Collingridge Dilemma）——在技术早期，信息不足以制定精准监管；而当技术成熟、风险清晰时，技术路径已经锁定，改变成本极高。过度依赖规则式的事前监管（如技术标准的具体规定）可能很快落后于技术发展，而过于宽泛的原则式监管又可能缺乏有效执行力。</w:t>
      </w:r>
    </w:p>
    <w:p w14:paraId="441B349A">
      <w:pPr>
        <w:spacing w:before="0" w:after="0" w:line="240" w:lineRule="auto"/>
        <w:ind w:firstLine="420"/>
        <w:rPr>
          <w:rFonts w:ascii="宋体" w:hAnsi="宋体" w:eastAsia="宋体"/>
          <w:b w:val="0"/>
          <w:i w:val="0"/>
          <w:sz w:val="21"/>
        </w:rPr>
      </w:pPr>
    </w:p>
    <w:p w14:paraId="2A00B318">
      <w:pPr>
        <w:spacing w:before="0" w:after="0" w:line="240" w:lineRule="auto"/>
        <w:ind w:firstLine="420"/>
        <w:rPr>
          <w:rFonts w:ascii="宋体" w:hAnsi="宋体" w:eastAsia="宋体"/>
          <w:b w:val="0"/>
          <w:i w:val="0"/>
          <w:sz w:val="21"/>
        </w:rPr>
      </w:pPr>
      <w:r>
        <w:rPr>
          <w:rFonts w:ascii="宋体" w:hAnsi="宋体" w:eastAsia="宋体"/>
          <w:b/>
          <w:i w:val="0"/>
          <w:sz w:val="21"/>
        </w:rPr>
        <w:t>合规成本转嫁与数字鸿沟扩大：</w:t>
      </w:r>
      <w:r>
        <w:rPr>
          <w:rFonts w:ascii="宋体" w:hAnsi="宋体" w:eastAsia="宋体"/>
          <w:b w:val="0"/>
          <w:i w:val="0"/>
          <w:sz w:val="21"/>
        </w:rPr>
        <w:t>监管合规成本最终将转嫁给消费者，可能导致AI智能体服务价格上涨，使得低收入群体和中小企业更难获得先进技术，加剧数字鸿沟。研究显示，欧盟GDPR实施后，欧洲科技初创企业的融资额下降了约20%，小型广告技术公司的市场份额被谷歌和Facebook等巨头进一步侵蚀[20]。</w:t>
      </w:r>
    </w:p>
    <w:p w14:paraId="64BCE596">
      <w:pPr>
        <w:spacing w:before="0" w:after="0" w:line="240" w:lineRule="auto"/>
        <w:ind w:firstLine="420"/>
        <w:rPr>
          <w:rFonts w:ascii="宋体" w:hAnsi="宋体" w:eastAsia="宋体"/>
          <w:b w:val="0"/>
          <w:i w:val="0"/>
          <w:sz w:val="21"/>
        </w:rPr>
      </w:pPr>
    </w:p>
    <w:p w14:paraId="6B487AC4">
      <w:pPr>
        <w:spacing w:before="0" w:after="0" w:line="240" w:lineRule="auto"/>
        <w:ind w:firstLine="420"/>
      </w:pPr>
      <w:r>
        <w:rPr>
          <w:rFonts w:ascii="宋体" w:hAnsi="宋体" w:eastAsia="宋体"/>
          <w:b/>
          <w:i w:val="0"/>
          <w:sz w:val="21"/>
        </w:rPr>
        <w:t>跨境监管冲突与碎片化：</w:t>
      </w:r>
      <w:r>
        <w:rPr>
          <w:rFonts w:ascii="宋体" w:hAnsi="宋体" w:eastAsia="宋体"/>
          <w:b w:val="0"/>
          <w:i w:val="0"/>
          <w:sz w:val="21"/>
        </w:rPr>
        <w:t>全球AI监管格局呈现碎片化特征——欧盟强调风险分级和基本权利保护，美国侧重行业自律和创新促进，中国注重内容安全和公共利益。这种碎片化可能导致跨国AI企业面临相互冲突的合规要求，增加全球性挑战（如AI安全、跨境执法协作）的治理难度。</w:t>
      </w:r>
    </w:p>
    <w:p w14:paraId="1701EAE1">
      <w:pPr>
        <w:spacing w:before="120" w:after="60"/>
        <w:jc w:val="center"/>
      </w:pPr>
      <w:r>
        <w:rPr>
          <w:rFonts w:ascii="宋体" w:hAnsi="宋体" w:eastAsia="宋体"/>
          <w:b/>
          <w:sz w:val="18"/>
        </w:rPr>
        <w:t>表2  加强AI智能体监管的利弊分析</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6B9FD0D">
        <w:trPr>
          <w:jc w:val="center"/>
        </w:trPr>
        <w:tc>
          <w:tcPr>
            <w:tcW w:w="2161" w:type="dxa"/>
            <w:shd w:val="clear" w:color="auto" w:fill="1A1A2E"/>
            <w:noWrap w:val="0"/>
            <w:vAlign w:val="top"/>
          </w:tcPr>
          <w:p w14:paraId="7F10C814">
            <w:pPr>
              <w:spacing w:line="240" w:lineRule="auto"/>
              <w:jc w:val="center"/>
            </w:pPr>
            <w:r>
              <w:rPr>
                <w:rFonts w:ascii="宋体" w:hAnsi="宋体" w:eastAsia="宋体"/>
                <w:b/>
                <w:color w:val="FFFFFF"/>
                <w:sz w:val="16"/>
              </w:rPr>
              <w:t>分析维度</w:t>
            </w:r>
          </w:p>
        </w:tc>
        <w:tc>
          <w:tcPr>
            <w:tcW w:w="2161" w:type="dxa"/>
            <w:shd w:val="clear" w:color="auto" w:fill="1A1A2E"/>
            <w:noWrap w:val="0"/>
            <w:vAlign w:val="top"/>
          </w:tcPr>
          <w:p w14:paraId="3D19473E">
            <w:pPr>
              <w:spacing w:line="240" w:lineRule="auto"/>
              <w:jc w:val="center"/>
            </w:pPr>
            <w:r>
              <w:rPr>
                <w:rFonts w:ascii="宋体" w:hAnsi="宋体" w:eastAsia="宋体"/>
                <w:b/>
                <w:color w:val="FFFFFF"/>
                <w:sz w:val="16"/>
              </w:rPr>
              <w:t>有利方面</w:t>
            </w:r>
          </w:p>
        </w:tc>
        <w:tc>
          <w:tcPr>
            <w:tcW w:w="2161" w:type="dxa"/>
            <w:shd w:val="clear" w:color="auto" w:fill="1A1A2E"/>
            <w:noWrap w:val="0"/>
            <w:vAlign w:val="top"/>
          </w:tcPr>
          <w:p w14:paraId="60198BDB">
            <w:pPr>
              <w:spacing w:line="240" w:lineRule="auto"/>
              <w:jc w:val="center"/>
            </w:pPr>
            <w:r>
              <w:rPr>
                <w:rFonts w:ascii="宋体" w:hAnsi="宋体" w:eastAsia="宋体"/>
                <w:b/>
                <w:color w:val="FFFFFF"/>
                <w:sz w:val="16"/>
              </w:rPr>
              <w:t>不利方面</w:t>
            </w:r>
          </w:p>
        </w:tc>
        <w:tc>
          <w:tcPr>
            <w:tcW w:w="2161" w:type="dxa"/>
            <w:shd w:val="clear" w:color="auto" w:fill="1A1A2E"/>
            <w:noWrap w:val="0"/>
            <w:vAlign w:val="top"/>
          </w:tcPr>
          <w:p w14:paraId="1077EF8D">
            <w:pPr>
              <w:spacing w:line="240" w:lineRule="auto"/>
              <w:jc w:val="center"/>
            </w:pPr>
            <w:r>
              <w:rPr>
                <w:rFonts w:ascii="宋体" w:hAnsi="宋体" w:eastAsia="宋体"/>
                <w:b/>
                <w:color w:val="FFFFFF"/>
                <w:sz w:val="16"/>
              </w:rPr>
              <w:t>典型案例/数据</w:t>
            </w:r>
          </w:p>
        </w:tc>
      </w:tr>
      <w:tr w14:paraId="0A1BA1F7">
        <w:trPr>
          <w:jc w:val="center"/>
        </w:trPr>
        <w:tc>
          <w:tcPr>
            <w:tcW w:w="2161" w:type="dxa"/>
            <w:noWrap w:val="0"/>
            <w:vAlign w:val="top"/>
          </w:tcPr>
          <w:p w14:paraId="7AC8E7E7">
            <w:pPr>
              <w:spacing w:line="240" w:lineRule="auto"/>
              <w:jc w:val="center"/>
            </w:pPr>
            <w:r>
              <w:rPr>
                <w:rFonts w:ascii="宋体" w:hAnsi="宋体" w:eastAsia="宋体"/>
                <w:sz w:val="16"/>
              </w:rPr>
              <w:t>公共安全</w:t>
            </w:r>
          </w:p>
        </w:tc>
        <w:tc>
          <w:tcPr>
            <w:tcW w:w="2161" w:type="dxa"/>
            <w:noWrap w:val="0"/>
            <w:vAlign w:val="top"/>
          </w:tcPr>
          <w:p w14:paraId="67DC5C0B">
            <w:pPr>
              <w:spacing w:line="240" w:lineRule="auto"/>
              <w:jc w:val="center"/>
            </w:pPr>
            <w:r>
              <w:rPr>
                <w:rFonts w:ascii="宋体" w:hAnsi="宋体" w:eastAsia="宋体"/>
                <w:sz w:val="16"/>
              </w:rPr>
              <w:t>建立安全底线，防止高风险</w:t>
            </w:r>
            <w:r>
              <w:rPr>
                <w:rFonts w:ascii="宋体" w:hAnsi="宋体" w:eastAsia="宋体"/>
                <w:sz w:val="16"/>
              </w:rPr>
              <w:br w:type="textWrapping"/>
            </w:r>
            <w:r>
              <w:rPr>
                <w:rFonts w:ascii="宋体" w:hAnsi="宋体" w:eastAsia="宋体"/>
                <w:sz w:val="16"/>
              </w:rPr>
              <w:t>场景的事故和滥用</w:t>
            </w:r>
          </w:p>
        </w:tc>
        <w:tc>
          <w:tcPr>
            <w:tcW w:w="2161" w:type="dxa"/>
            <w:noWrap w:val="0"/>
            <w:vAlign w:val="top"/>
          </w:tcPr>
          <w:p w14:paraId="2777EADA">
            <w:pPr>
              <w:spacing w:line="240" w:lineRule="auto"/>
              <w:jc w:val="center"/>
            </w:pPr>
            <w:r>
              <w:rPr>
                <w:rFonts w:ascii="宋体" w:hAnsi="宋体" w:eastAsia="宋体"/>
                <w:sz w:val="16"/>
              </w:rPr>
              <w:t>过度谨慎可能阻碍有益应用</w:t>
            </w:r>
            <w:r>
              <w:rPr>
                <w:rFonts w:ascii="宋体" w:hAnsi="宋体" w:eastAsia="宋体"/>
                <w:sz w:val="16"/>
              </w:rPr>
              <w:br w:type="textWrapping"/>
            </w:r>
            <w:r>
              <w:rPr>
                <w:rFonts w:ascii="宋体" w:hAnsi="宋体" w:eastAsia="宋体"/>
                <w:sz w:val="16"/>
              </w:rPr>
              <w:t>（如AI辅助罕见病诊断）</w:t>
            </w:r>
          </w:p>
        </w:tc>
        <w:tc>
          <w:tcPr>
            <w:tcW w:w="2161" w:type="dxa"/>
            <w:noWrap w:val="0"/>
            <w:vAlign w:val="top"/>
          </w:tcPr>
          <w:p w14:paraId="0B4EB634">
            <w:pPr>
              <w:spacing w:line="240" w:lineRule="auto"/>
              <w:jc w:val="center"/>
            </w:pPr>
            <w:r>
              <w:rPr>
                <w:rFonts w:ascii="宋体" w:hAnsi="宋体" w:eastAsia="宋体"/>
                <w:sz w:val="16"/>
              </w:rPr>
              <w:t>欧盟AI法案高风险</w:t>
            </w:r>
            <w:r>
              <w:rPr>
                <w:rFonts w:ascii="宋体" w:hAnsi="宋体" w:eastAsia="宋体"/>
                <w:sz w:val="16"/>
              </w:rPr>
              <w:br w:type="textWrapping"/>
            </w:r>
            <w:r>
              <w:rPr>
                <w:rFonts w:ascii="宋体" w:hAnsi="宋体" w:eastAsia="宋体"/>
                <w:sz w:val="16"/>
              </w:rPr>
              <w:t>分类制度</w:t>
            </w:r>
          </w:p>
        </w:tc>
      </w:tr>
      <w:tr w14:paraId="5FE36F70">
        <w:trPr>
          <w:jc w:val="center"/>
        </w:trPr>
        <w:tc>
          <w:tcPr>
            <w:tcW w:w="2161" w:type="dxa"/>
            <w:noWrap w:val="0"/>
            <w:vAlign w:val="top"/>
          </w:tcPr>
          <w:p w14:paraId="69BF7243">
            <w:pPr>
              <w:spacing w:line="240" w:lineRule="auto"/>
              <w:jc w:val="center"/>
            </w:pPr>
            <w:r>
              <w:rPr>
                <w:rFonts w:ascii="宋体" w:hAnsi="宋体" w:eastAsia="宋体"/>
                <w:sz w:val="16"/>
              </w:rPr>
              <w:t>权利保护</w:t>
            </w:r>
          </w:p>
        </w:tc>
        <w:tc>
          <w:tcPr>
            <w:tcW w:w="2161" w:type="dxa"/>
            <w:noWrap w:val="0"/>
            <w:vAlign w:val="top"/>
          </w:tcPr>
          <w:p w14:paraId="49C74B60">
            <w:pPr>
              <w:spacing w:line="240" w:lineRule="auto"/>
              <w:jc w:val="center"/>
            </w:pPr>
            <w:r>
              <w:rPr>
                <w:rFonts w:ascii="宋体" w:hAnsi="宋体" w:eastAsia="宋体"/>
                <w:sz w:val="16"/>
              </w:rPr>
              <w:t>为隐私、平等、尊严等基本</w:t>
            </w:r>
            <w:r>
              <w:rPr>
                <w:rFonts w:ascii="宋体" w:hAnsi="宋体" w:eastAsia="宋体"/>
                <w:sz w:val="16"/>
              </w:rPr>
              <w:br w:type="textWrapping"/>
            </w:r>
            <w:r>
              <w:rPr>
                <w:rFonts w:ascii="宋体" w:hAnsi="宋体" w:eastAsia="宋体"/>
                <w:sz w:val="16"/>
              </w:rPr>
              <w:t>权利提供制度保障</w:t>
            </w:r>
          </w:p>
        </w:tc>
        <w:tc>
          <w:tcPr>
            <w:tcW w:w="2161" w:type="dxa"/>
            <w:noWrap w:val="0"/>
            <w:vAlign w:val="top"/>
          </w:tcPr>
          <w:p w14:paraId="32F13FEE">
            <w:pPr>
              <w:spacing w:line="240" w:lineRule="auto"/>
              <w:jc w:val="center"/>
            </w:pPr>
            <w:r>
              <w:rPr>
                <w:rFonts w:ascii="宋体" w:hAnsi="宋体" w:eastAsia="宋体"/>
                <w:sz w:val="16"/>
              </w:rPr>
              <w:t>刚性规则难以适应多元文化</w:t>
            </w:r>
            <w:r>
              <w:rPr>
                <w:rFonts w:ascii="宋体" w:hAnsi="宋体" w:eastAsia="宋体"/>
                <w:sz w:val="16"/>
              </w:rPr>
              <w:br w:type="textWrapping"/>
            </w:r>
            <w:r>
              <w:rPr>
                <w:rFonts w:ascii="宋体" w:hAnsi="宋体" w:eastAsia="宋体"/>
                <w:sz w:val="16"/>
              </w:rPr>
              <w:t>和社会情境的差异化需求</w:t>
            </w:r>
          </w:p>
        </w:tc>
        <w:tc>
          <w:tcPr>
            <w:tcW w:w="2161" w:type="dxa"/>
            <w:noWrap w:val="0"/>
            <w:vAlign w:val="top"/>
          </w:tcPr>
          <w:p w14:paraId="70A16172">
            <w:pPr>
              <w:spacing w:line="240" w:lineRule="auto"/>
              <w:jc w:val="center"/>
            </w:pPr>
            <w:r>
              <w:rPr>
                <w:rFonts w:ascii="宋体" w:hAnsi="宋体" w:eastAsia="宋体"/>
                <w:sz w:val="16"/>
              </w:rPr>
              <w:t>GDPR对AI决策的</w:t>
            </w:r>
            <w:r>
              <w:rPr>
                <w:rFonts w:ascii="宋体" w:hAnsi="宋体" w:eastAsia="宋体"/>
                <w:sz w:val="16"/>
              </w:rPr>
              <w:br w:type="textWrapping"/>
            </w:r>
            <w:r>
              <w:rPr>
                <w:rFonts w:ascii="宋体" w:hAnsi="宋体" w:eastAsia="宋体"/>
                <w:sz w:val="16"/>
              </w:rPr>
              <w:t>"解释权"规定</w:t>
            </w:r>
          </w:p>
        </w:tc>
      </w:tr>
      <w:tr w14:paraId="31D202DD">
        <w:trPr>
          <w:jc w:val="center"/>
        </w:trPr>
        <w:tc>
          <w:tcPr>
            <w:tcW w:w="2161" w:type="dxa"/>
            <w:noWrap w:val="0"/>
            <w:vAlign w:val="top"/>
          </w:tcPr>
          <w:p w14:paraId="1193F561">
            <w:pPr>
              <w:spacing w:line="240" w:lineRule="auto"/>
              <w:jc w:val="center"/>
            </w:pPr>
            <w:r>
              <w:rPr>
                <w:rFonts w:ascii="宋体" w:hAnsi="宋体" w:eastAsia="宋体"/>
                <w:sz w:val="16"/>
              </w:rPr>
              <w:t>创新激励</w:t>
            </w:r>
          </w:p>
        </w:tc>
        <w:tc>
          <w:tcPr>
            <w:tcW w:w="2161" w:type="dxa"/>
            <w:noWrap w:val="0"/>
            <w:vAlign w:val="top"/>
          </w:tcPr>
          <w:p w14:paraId="7DF1A493">
            <w:pPr>
              <w:spacing w:line="240" w:lineRule="auto"/>
              <w:jc w:val="center"/>
            </w:pPr>
            <w:r>
              <w:rPr>
                <w:rFonts w:ascii="宋体" w:hAnsi="宋体" w:eastAsia="宋体"/>
                <w:sz w:val="16"/>
              </w:rPr>
              <w:t>平等竞争环境激励</w:t>
            </w:r>
            <w:r>
              <w:rPr>
                <w:rFonts w:ascii="宋体" w:hAnsi="宋体" w:eastAsia="宋体"/>
                <w:sz w:val="16"/>
              </w:rPr>
              <w:br w:type="textWrapping"/>
            </w:r>
            <w:r>
              <w:rPr>
                <w:rFonts w:ascii="宋体" w:hAnsi="宋体" w:eastAsia="宋体"/>
                <w:sz w:val="16"/>
              </w:rPr>
              <w:t>"负责任创新"</w:t>
            </w:r>
          </w:p>
        </w:tc>
        <w:tc>
          <w:tcPr>
            <w:tcW w:w="2161" w:type="dxa"/>
            <w:noWrap w:val="0"/>
            <w:vAlign w:val="top"/>
          </w:tcPr>
          <w:p w14:paraId="0A870CC0">
            <w:pPr>
              <w:spacing w:line="240" w:lineRule="auto"/>
              <w:jc w:val="center"/>
            </w:pPr>
            <w:r>
              <w:rPr>
                <w:rFonts w:ascii="宋体" w:hAnsi="宋体" w:eastAsia="宋体"/>
                <w:sz w:val="16"/>
              </w:rPr>
              <w:t>合规成本可能压制中小企业</w:t>
            </w:r>
            <w:r>
              <w:rPr>
                <w:rFonts w:ascii="宋体" w:hAnsi="宋体" w:eastAsia="宋体"/>
                <w:sz w:val="16"/>
              </w:rPr>
              <w:br w:type="textWrapping"/>
            </w:r>
            <w:r>
              <w:rPr>
                <w:rFonts w:ascii="宋体" w:hAnsi="宋体" w:eastAsia="宋体"/>
                <w:sz w:val="16"/>
              </w:rPr>
              <w:t>创新活力</w:t>
            </w:r>
          </w:p>
        </w:tc>
        <w:tc>
          <w:tcPr>
            <w:tcW w:w="2161" w:type="dxa"/>
            <w:noWrap w:val="0"/>
            <w:vAlign w:val="top"/>
          </w:tcPr>
          <w:p w14:paraId="171C419D">
            <w:pPr>
              <w:spacing w:line="240" w:lineRule="auto"/>
              <w:jc w:val="center"/>
            </w:pPr>
            <w:r>
              <w:rPr>
                <w:rFonts w:ascii="宋体" w:hAnsi="宋体" w:eastAsia="宋体"/>
                <w:sz w:val="16"/>
              </w:rPr>
              <w:t>GDPR后欧洲科技</w:t>
            </w:r>
            <w:r>
              <w:rPr>
                <w:rFonts w:ascii="宋体" w:hAnsi="宋体" w:eastAsia="宋体"/>
                <w:sz w:val="16"/>
              </w:rPr>
              <w:br w:type="textWrapping"/>
            </w:r>
            <w:r>
              <w:rPr>
                <w:rFonts w:ascii="宋体" w:hAnsi="宋体" w:eastAsia="宋体"/>
                <w:sz w:val="16"/>
              </w:rPr>
              <w:t>投资变化</w:t>
            </w:r>
          </w:p>
        </w:tc>
      </w:tr>
      <w:tr w14:paraId="6DF1C7BF">
        <w:trPr>
          <w:jc w:val="center"/>
        </w:trPr>
        <w:tc>
          <w:tcPr>
            <w:tcW w:w="2161" w:type="dxa"/>
            <w:noWrap w:val="0"/>
            <w:vAlign w:val="top"/>
          </w:tcPr>
          <w:p w14:paraId="42B5B731">
            <w:pPr>
              <w:spacing w:line="240" w:lineRule="auto"/>
              <w:jc w:val="center"/>
            </w:pPr>
            <w:r>
              <w:rPr>
                <w:rFonts w:ascii="宋体" w:hAnsi="宋体" w:eastAsia="宋体"/>
                <w:sz w:val="16"/>
              </w:rPr>
              <w:t>责任明确</w:t>
            </w:r>
          </w:p>
        </w:tc>
        <w:tc>
          <w:tcPr>
            <w:tcW w:w="2161" w:type="dxa"/>
            <w:noWrap w:val="0"/>
            <w:vAlign w:val="top"/>
          </w:tcPr>
          <w:p w14:paraId="3C5CC4F7">
            <w:pPr>
              <w:spacing w:line="240" w:lineRule="auto"/>
              <w:jc w:val="center"/>
            </w:pPr>
            <w:r>
              <w:rPr>
                <w:rFonts w:ascii="宋体" w:hAnsi="宋体" w:eastAsia="宋体"/>
                <w:sz w:val="16"/>
              </w:rPr>
              <w:t>为受害者提供清晰的追责</w:t>
            </w:r>
            <w:r>
              <w:rPr>
                <w:rFonts w:ascii="宋体" w:hAnsi="宋体" w:eastAsia="宋体"/>
                <w:sz w:val="16"/>
              </w:rPr>
              <w:br w:type="textWrapping"/>
            </w:r>
            <w:r>
              <w:rPr>
                <w:rFonts w:ascii="宋体" w:hAnsi="宋体" w:eastAsia="宋体"/>
                <w:sz w:val="16"/>
              </w:rPr>
              <w:t>路径和救济渠道</w:t>
            </w:r>
          </w:p>
        </w:tc>
        <w:tc>
          <w:tcPr>
            <w:tcW w:w="2161" w:type="dxa"/>
            <w:noWrap w:val="0"/>
            <w:vAlign w:val="top"/>
          </w:tcPr>
          <w:p w14:paraId="7AF3188A">
            <w:pPr>
              <w:spacing w:line="240" w:lineRule="auto"/>
              <w:jc w:val="center"/>
            </w:pPr>
            <w:r>
              <w:rPr>
                <w:rFonts w:ascii="宋体" w:hAnsi="宋体" w:eastAsia="宋体"/>
                <w:sz w:val="16"/>
              </w:rPr>
              <w:t>责任规则可能诱导"防御性</w:t>
            </w:r>
            <w:r>
              <w:rPr>
                <w:rFonts w:ascii="宋体" w:hAnsi="宋体" w:eastAsia="宋体"/>
                <w:sz w:val="16"/>
              </w:rPr>
              <w:br w:type="textWrapping"/>
            </w:r>
            <w:r>
              <w:rPr>
                <w:rFonts w:ascii="宋体" w:hAnsi="宋体" w:eastAsia="宋体"/>
                <w:sz w:val="16"/>
              </w:rPr>
              <w:t>开发"和过度保守</w:t>
            </w:r>
          </w:p>
        </w:tc>
        <w:tc>
          <w:tcPr>
            <w:tcW w:w="2161" w:type="dxa"/>
            <w:noWrap w:val="0"/>
            <w:vAlign w:val="top"/>
          </w:tcPr>
          <w:p w14:paraId="2A2E44B5">
            <w:pPr>
              <w:spacing w:line="240" w:lineRule="auto"/>
              <w:jc w:val="center"/>
            </w:pPr>
            <w:r>
              <w:rPr>
                <w:rFonts w:ascii="宋体" w:hAnsi="宋体" w:eastAsia="宋体"/>
                <w:sz w:val="16"/>
              </w:rPr>
              <w:t>加拿大航空AI客服案</w:t>
            </w:r>
          </w:p>
        </w:tc>
      </w:tr>
      <w:tr w14:paraId="7CA7721D">
        <w:trPr>
          <w:jc w:val="center"/>
        </w:trPr>
        <w:tc>
          <w:tcPr>
            <w:tcW w:w="2161" w:type="dxa"/>
            <w:noWrap w:val="0"/>
            <w:vAlign w:val="top"/>
          </w:tcPr>
          <w:p w14:paraId="058C27BC">
            <w:pPr>
              <w:spacing w:line="240" w:lineRule="auto"/>
              <w:jc w:val="center"/>
            </w:pPr>
            <w:r>
              <w:rPr>
                <w:rFonts w:ascii="宋体" w:hAnsi="宋体" w:eastAsia="宋体"/>
                <w:sz w:val="16"/>
              </w:rPr>
              <w:t>国际竞争</w:t>
            </w:r>
          </w:p>
        </w:tc>
        <w:tc>
          <w:tcPr>
            <w:tcW w:w="2161" w:type="dxa"/>
            <w:noWrap w:val="0"/>
            <w:vAlign w:val="top"/>
          </w:tcPr>
          <w:p w14:paraId="2AB70E43">
            <w:pPr>
              <w:spacing w:line="240" w:lineRule="auto"/>
              <w:jc w:val="center"/>
            </w:pPr>
            <w:r>
              <w:rPr>
                <w:rFonts w:ascii="宋体" w:hAnsi="宋体" w:eastAsia="宋体"/>
                <w:sz w:val="16"/>
              </w:rPr>
              <w:t>高标准监管可能成为技术</w:t>
            </w:r>
            <w:r>
              <w:rPr>
                <w:rFonts w:ascii="宋体" w:hAnsi="宋体" w:eastAsia="宋体"/>
                <w:sz w:val="16"/>
              </w:rPr>
              <w:br w:type="textWrapping"/>
            </w:r>
            <w:r>
              <w:rPr>
                <w:rFonts w:ascii="宋体" w:hAnsi="宋体" w:eastAsia="宋体"/>
                <w:sz w:val="16"/>
              </w:rPr>
              <w:t>质量的"品牌标签"</w:t>
            </w:r>
          </w:p>
        </w:tc>
        <w:tc>
          <w:tcPr>
            <w:tcW w:w="2161" w:type="dxa"/>
            <w:noWrap w:val="0"/>
            <w:vAlign w:val="top"/>
          </w:tcPr>
          <w:p w14:paraId="70FB46D2">
            <w:pPr>
              <w:spacing w:line="240" w:lineRule="auto"/>
              <w:jc w:val="center"/>
            </w:pPr>
            <w:r>
              <w:rPr>
                <w:rFonts w:ascii="宋体" w:hAnsi="宋体" w:eastAsia="宋体"/>
                <w:sz w:val="16"/>
              </w:rPr>
              <w:t>碎片化监管增加跨境运营</w:t>
            </w:r>
            <w:r>
              <w:rPr>
                <w:rFonts w:ascii="宋体" w:hAnsi="宋体" w:eastAsia="宋体"/>
                <w:sz w:val="16"/>
              </w:rPr>
              <w:br w:type="textWrapping"/>
            </w:r>
            <w:r>
              <w:rPr>
                <w:rFonts w:ascii="宋体" w:hAnsi="宋体" w:eastAsia="宋体"/>
                <w:sz w:val="16"/>
              </w:rPr>
              <w:t>成本</w:t>
            </w:r>
          </w:p>
        </w:tc>
        <w:tc>
          <w:tcPr>
            <w:tcW w:w="2161" w:type="dxa"/>
            <w:noWrap w:val="0"/>
            <w:vAlign w:val="top"/>
          </w:tcPr>
          <w:p w14:paraId="113C0ADF">
            <w:pPr>
              <w:spacing w:line="240" w:lineRule="auto"/>
              <w:jc w:val="center"/>
            </w:pPr>
            <w:r>
              <w:rPr>
                <w:rFonts w:ascii="宋体" w:hAnsi="宋体" w:eastAsia="宋体"/>
                <w:sz w:val="16"/>
              </w:rPr>
              <w:t>欧盟企业联名信警告</w:t>
            </w:r>
            <w:r>
              <w:rPr>
                <w:rFonts w:ascii="宋体" w:hAnsi="宋体" w:eastAsia="宋体"/>
                <w:sz w:val="16"/>
              </w:rPr>
              <w:br w:type="textWrapping"/>
            </w:r>
            <w:r>
              <w:rPr>
                <w:rFonts w:ascii="宋体" w:hAnsi="宋体" w:eastAsia="宋体"/>
                <w:sz w:val="16"/>
              </w:rPr>
              <w:t>过度监管</w:t>
            </w:r>
          </w:p>
        </w:tc>
      </w:tr>
      <w:tr w14:paraId="12C87205">
        <w:trPr>
          <w:jc w:val="center"/>
        </w:trPr>
        <w:tc>
          <w:tcPr>
            <w:tcW w:w="2161" w:type="dxa"/>
            <w:noWrap w:val="0"/>
            <w:vAlign w:val="top"/>
          </w:tcPr>
          <w:p w14:paraId="4B3163A6">
            <w:pPr>
              <w:spacing w:line="240" w:lineRule="auto"/>
              <w:jc w:val="center"/>
            </w:pPr>
            <w:r>
              <w:rPr>
                <w:rFonts w:ascii="宋体" w:hAnsi="宋体" w:eastAsia="宋体"/>
                <w:sz w:val="16"/>
              </w:rPr>
              <w:t>公众信任</w:t>
            </w:r>
          </w:p>
        </w:tc>
        <w:tc>
          <w:tcPr>
            <w:tcW w:w="2161" w:type="dxa"/>
            <w:noWrap w:val="0"/>
            <w:vAlign w:val="top"/>
          </w:tcPr>
          <w:p w14:paraId="2CCAA15B">
            <w:pPr>
              <w:spacing w:line="240" w:lineRule="auto"/>
              <w:jc w:val="center"/>
            </w:pPr>
            <w:r>
              <w:rPr>
                <w:rFonts w:ascii="宋体" w:hAnsi="宋体" w:eastAsia="宋体"/>
                <w:sz w:val="16"/>
              </w:rPr>
              <w:t>有效监管有助于建立和维持</w:t>
            </w:r>
            <w:r>
              <w:rPr>
                <w:rFonts w:ascii="宋体" w:hAnsi="宋体" w:eastAsia="宋体"/>
                <w:sz w:val="16"/>
              </w:rPr>
              <w:br w:type="textWrapping"/>
            </w:r>
            <w:r>
              <w:rPr>
                <w:rFonts w:ascii="宋体" w:hAnsi="宋体" w:eastAsia="宋体"/>
                <w:sz w:val="16"/>
              </w:rPr>
              <w:t>公众对AI技术的信任</w:t>
            </w:r>
          </w:p>
        </w:tc>
        <w:tc>
          <w:tcPr>
            <w:tcW w:w="2161" w:type="dxa"/>
            <w:noWrap w:val="0"/>
            <w:vAlign w:val="top"/>
          </w:tcPr>
          <w:p w14:paraId="3FD0D9F0">
            <w:pPr>
              <w:spacing w:line="240" w:lineRule="auto"/>
              <w:jc w:val="center"/>
            </w:pPr>
            <w:r>
              <w:rPr>
                <w:rFonts w:ascii="宋体" w:hAnsi="宋体" w:eastAsia="宋体"/>
                <w:sz w:val="16"/>
              </w:rPr>
              <w:t>过度的负面叙事可能引发不</w:t>
            </w:r>
            <w:r>
              <w:rPr>
                <w:rFonts w:ascii="宋体" w:hAnsi="宋体" w:eastAsia="宋体"/>
                <w:sz w:val="16"/>
              </w:rPr>
              <w:br w:type="textWrapping"/>
            </w:r>
            <w:r>
              <w:rPr>
                <w:rFonts w:ascii="宋体" w:hAnsi="宋体" w:eastAsia="宋体"/>
                <w:sz w:val="16"/>
              </w:rPr>
              <w:t>必要的社会恐慌</w:t>
            </w:r>
          </w:p>
        </w:tc>
        <w:tc>
          <w:tcPr>
            <w:tcW w:w="2161" w:type="dxa"/>
            <w:noWrap w:val="0"/>
            <w:vAlign w:val="top"/>
          </w:tcPr>
          <w:p w14:paraId="18CC14CE">
            <w:pPr>
              <w:spacing w:line="240" w:lineRule="auto"/>
              <w:jc w:val="center"/>
            </w:pPr>
            <w:r>
              <w:rPr>
                <w:rFonts w:ascii="宋体" w:hAnsi="宋体" w:eastAsia="宋体"/>
                <w:sz w:val="16"/>
              </w:rPr>
              <w:t>"AI末日论"与公众</w:t>
            </w:r>
            <w:r>
              <w:rPr>
                <w:rFonts w:ascii="宋体" w:hAnsi="宋体" w:eastAsia="宋体"/>
                <w:sz w:val="16"/>
              </w:rPr>
              <w:br w:type="textWrapping"/>
            </w:r>
            <w:r>
              <w:rPr>
                <w:rFonts w:ascii="宋体" w:hAnsi="宋体" w:eastAsia="宋体"/>
                <w:sz w:val="16"/>
              </w:rPr>
              <w:t>AI态度调查</w:t>
            </w:r>
          </w:p>
        </w:tc>
      </w:tr>
    </w:tbl>
    <w:p w14:paraId="1FCFDCDF">
      <w:pPr>
        <w:spacing w:before="120" w:after="60"/>
        <w:jc w:val="center"/>
        <w:rPr>
          <w:rFonts w:ascii="宋体" w:hAnsi="宋体" w:eastAsia="宋体"/>
          <w:b/>
          <w:sz w:val="18"/>
        </w:rPr>
      </w:pPr>
    </w:p>
    <w:p w14:paraId="5451471B">
      <w:pPr>
        <w:pStyle w:val="3"/>
      </w:pPr>
      <w:r>
        <w:rPr>
          <w:rFonts w:ascii="黑体" w:hAnsi="黑体" w:eastAsia="黑体"/>
        </w:rPr>
        <w:t>3.2 鼓励开放创新的益处与可能问题</w:t>
      </w:r>
    </w:p>
    <w:p w14:paraId="7609EDD2">
      <w:pPr>
        <w:pStyle w:val="4"/>
      </w:pPr>
      <w:r>
        <w:rPr>
          <w:rFonts w:ascii="黑体" w:hAnsi="黑体" w:eastAsia="黑体"/>
        </w:rPr>
        <w:t>3.2.1 鼓励开放创新的积极价值</w:t>
      </w:r>
    </w:p>
    <w:p w14:paraId="05C55693">
      <w:pPr>
        <w:spacing w:before="0" w:after="0" w:line="240" w:lineRule="auto"/>
        <w:ind w:firstLine="420"/>
        <w:rPr>
          <w:rFonts w:ascii="宋体" w:hAnsi="宋体" w:eastAsia="宋体"/>
          <w:b w:val="0"/>
          <w:i w:val="0"/>
          <w:sz w:val="21"/>
        </w:rPr>
      </w:pPr>
      <w:r>
        <w:rPr>
          <w:rFonts w:ascii="宋体" w:hAnsi="宋体" w:eastAsia="宋体"/>
          <w:b/>
          <w:i w:val="0"/>
          <w:sz w:val="21"/>
        </w:rPr>
        <w:t>加速技术进步与应用落地：</w:t>
      </w:r>
      <w:r>
        <w:rPr>
          <w:rFonts w:ascii="宋体" w:hAnsi="宋体" w:eastAsia="宋体"/>
          <w:b w:val="0"/>
          <w:i w:val="0"/>
          <w:sz w:val="21"/>
        </w:rPr>
        <w:t>开放创新的政策环境鼓励研究者、开发者和企业积极探索AI智能体的技术前沿和应用可能。开源模型的广泛可用性使得全球开发者能够在此基础上构建多样化的智能体应用，形成了丰富的创新生态。Meta开源的Llama系列模型、Mistral AI的开源模型以及中国深度求索（DeepSeek）的开源大模型，均极大地降低了AI智能体的开发门槛，催生了大量创新应用。</w:t>
      </w:r>
    </w:p>
    <w:p w14:paraId="298979EF">
      <w:pPr>
        <w:spacing w:before="0" w:after="0" w:line="240" w:lineRule="auto"/>
        <w:ind w:firstLine="420"/>
        <w:rPr>
          <w:rFonts w:ascii="宋体" w:hAnsi="宋体" w:eastAsia="宋体"/>
          <w:b w:val="0"/>
          <w:i w:val="0"/>
          <w:sz w:val="21"/>
        </w:rPr>
      </w:pPr>
    </w:p>
    <w:p w14:paraId="01433D75">
      <w:pPr>
        <w:spacing w:before="0" w:after="0" w:line="240" w:lineRule="auto"/>
        <w:ind w:firstLine="420"/>
        <w:rPr>
          <w:rFonts w:ascii="宋体" w:hAnsi="宋体" w:eastAsia="宋体"/>
          <w:b w:val="0"/>
          <w:i w:val="0"/>
          <w:sz w:val="21"/>
        </w:rPr>
      </w:pPr>
      <w:r>
        <w:rPr>
          <w:rFonts w:ascii="宋体" w:hAnsi="宋体" w:eastAsia="宋体"/>
          <w:b/>
          <w:i w:val="0"/>
          <w:sz w:val="21"/>
        </w:rPr>
        <w:t>促进产业竞争与消费者福利：</w:t>
      </w:r>
      <w:r>
        <w:rPr>
          <w:rFonts w:ascii="宋体" w:hAnsi="宋体" w:eastAsia="宋体"/>
          <w:b w:val="0"/>
          <w:i w:val="0"/>
          <w:sz w:val="21"/>
        </w:rPr>
        <w:t>开放创新环境有利于维持充分的市场竞争，防止少数科技巨头垄断AI技术和市场。开源模型的普及使得更多企业能够进入AI智能体市场，竞争压力推动产品不断改进和价格下降，最终惠及消费者。Counterpoint Research的数据显示，2025年全球AI智能体市场中，开源模型驱动的应用占比已超过35%，且这一比例仍在快速增长[21]。</w:t>
      </w:r>
    </w:p>
    <w:p w14:paraId="2979FE55">
      <w:pPr>
        <w:spacing w:before="0" w:after="0" w:line="240" w:lineRule="auto"/>
        <w:ind w:firstLine="420"/>
        <w:rPr>
          <w:rFonts w:ascii="宋体" w:hAnsi="宋体" w:eastAsia="宋体"/>
          <w:b w:val="0"/>
          <w:i w:val="0"/>
          <w:sz w:val="21"/>
        </w:rPr>
      </w:pPr>
    </w:p>
    <w:p w14:paraId="3860D0A4">
      <w:pPr>
        <w:spacing w:before="0" w:after="0" w:line="240" w:lineRule="auto"/>
        <w:ind w:firstLine="420"/>
        <w:rPr>
          <w:rFonts w:ascii="宋体" w:hAnsi="宋体" w:eastAsia="宋体"/>
          <w:b w:val="0"/>
          <w:i w:val="0"/>
          <w:sz w:val="21"/>
        </w:rPr>
      </w:pPr>
      <w:r>
        <w:rPr>
          <w:rFonts w:ascii="宋体" w:hAnsi="宋体" w:eastAsia="宋体"/>
          <w:b/>
          <w:i w:val="0"/>
          <w:sz w:val="21"/>
        </w:rPr>
        <w:t>降低技术准入门槛：</w:t>
      </w:r>
      <w:r>
        <w:rPr>
          <w:rFonts w:ascii="宋体" w:hAnsi="宋体" w:eastAsia="宋体"/>
          <w:b w:val="0"/>
          <w:i w:val="0"/>
          <w:sz w:val="21"/>
        </w:rPr>
        <w:t>开放创新使得中小企业、创业者、研究机构和非营利组织都能够利用先进的AI技术解决各自领域的问题，促进了技术的民主化。在发展中国家，开源AI模型和低成本部署方案使得本地企业和组织能够开发适合本地语言、文化和需求的AI智能体应用，推动数字主权的实现。</w:t>
      </w:r>
    </w:p>
    <w:p w14:paraId="60153040">
      <w:pPr>
        <w:spacing w:before="0" w:after="0" w:line="240" w:lineRule="auto"/>
        <w:ind w:firstLine="420"/>
        <w:rPr>
          <w:rFonts w:ascii="宋体" w:hAnsi="宋体" w:eastAsia="宋体"/>
          <w:b w:val="0"/>
          <w:i w:val="0"/>
          <w:sz w:val="21"/>
        </w:rPr>
      </w:pPr>
    </w:p>
    <w:p w14:paraId="0D670822">
      <w:pPr>
        <w:spacing w:before="0" w:after="0" w:line="240" w:lineRule="auto"/>
        <w:ind w:firstLine="420"/>
        <w:rPr>
          <w:rFonts w:ascii="宋体" w:hAnsi="宋体" w:eastAsia="宋体"/>
          <w:b w:val="0"/>
          <w:i w:val="0"/>
          <w:sz w:val="21"/>
        </w:rPr>
      </w:pPr>
      <w:r>
        <w:rPr>
          <w:rFonts w:ascii="宋体" w:hAnsi="宋体" w:eastAsia="宋体"/>
          <w:b/>
          <w:i w:val="0"/>
          <w:sz w:val="21"/>
        </w:rPr>
        <w:t>推动跨学科和跨界协作：</w:t>
      </w:r>
      <w:r>
        <w:rPr>
          <w:rFonts w:ascii="宋体" w:hAnsi="宋体" w:eastAsia="宋体"/>
          <w:b w:val="0"/>
          <w:i w:val="0"/>
          <w:sz w:val="21"/>
        </w:rPr>
        <w:t>开放创新模式促进了AI技术与医学、教育、农业、环保等传统领域的跨界融合。领域专家可以基于开源AI模型构建面向特定场景的专业智能体，而不必等待商业公司开发相关产品。这种"长尾创新"模式极大地扩展了AI智能体的应用边界和社会价值。</w:t>
      </w:r>
    </w:p>
    <w:p w14:paraId="4055BAE5">
      <w:pPr>
        <w:spacing w:before="0" w:after="0" w:line="240" w:lineRule="auto"/>
        <w:ind w:firstLine="420"/>
        <w:rPr>
          <w:rFonts w:ascii="宋体" w:hAnsi="宋体" w:eastAsia="宋体"/>
          <w:b w:val="0"/>
          <w:i w:val="0"/>
          <w:sz w:val="21"/>
        </w:rPr>
      </w:pPr>
    </w:p>
    <w:p w14:paraId="48CA0380">
      <w:pPr>
        <w:pStyle w:val="4"/>
      </w:pPr>
      <w:r>
        <w:rPr>
          <w:rFonts w:ascii="黑体" w:hAnsi="黑体" w:eastAsia="黑体"/>
        </w:rPr>
        <w:t>3.2.2 开放创新可能带来的问题</w:t>
      </w:r>
    </w:p>
    <w:p w14:paraId="07111045">
      <w:pPr>
        <w:spacing w:before="0" w:after="0" w:line="240" w:lineRule="auto"/>
        <w:ind w:firstLine="420"/>
        <w:rPr>
          <w:rFonts w:ascii="宋体" w:hAnsi="宋体" w:eastAsia="宋体"/>
          <w:b w:val="0"/>
          <w:i w:val="0"/>
          <w:sz w:val="21"/>
        </w:rPr>
      </w:pPr>
      <w:r>
        <w:rPr>
          <w:rFonts w:ascii="宋体" w:hAnsi="宋体" w:eastAsia="宋体"/>
          <w:b/>
          <w:i w:val="0"/>
          <w:sz w:val="21"/>
        </w:rPr>
        <w:t>滥用风险的扩散与放大：</w:t>
      </w:r>
      <w:r>
        <w:rPr>
          <w:rFonts w:ascii="宋体" w:hAnsi="宋体" w:eastAsia="宋体"/>
          <w:b w:val="0"/>
          <w:i w:val="0"/>
          <w:sz w:val="21"/>
        </w:rPr>
        <w:t>开放创新的技术门槛降低同样适用于恶意行为者。开源AI模型可被用于生成深度伪造内容、开发自动化攻击工具、制造虚假信息等恶意用途。与闭源商业模型不同，开源模型缺乏有效的使用控制和滥用追溯机制。2025年，安全研究人员发现多个基于开源模型的恶意AI智能体在暗网流通，可自动执行网络钓鱼、加密货币诈骗和虚假评论生成。</w:t>
      </w:r>
    </w:p>
    <w:p w14:paraId="2B357A22">
      <w:pPr>
        <w:spacing w:before="0" w:after="0" w:line="240" w:lineRule="auto"/>
        <w:ind w:firstLine="420"/>
        <w:rPr>
          <w:rFonts w:ascii="宋体" w:hAnsi="宋体" w:eastAsia="宋体"/>
          <w:b w:val="0"/>
          <w:i w:val="0"/>
          <w:sz w:val="21"/>
        </w:rPr>
      </w:pPr>
    </w:p>
    <w:p w14:paraId="1CD097E5">
      <w:pPr>
        <w:spacing w:before="0" w:after="0" w:line="240" w:lineRule="auto"/>
        <w:ind w:firstLine="420"/>
        <w:rPr>
          <w:rFonts w:ascii="宋体" w:hAnsi="宋体" w:eastAsia="宋体"/>
          <w:b w:val="0"/>
          <w:i w:val="0"/>
          <w:sz w:val="21"/>
        </w:rPr>
      </w:pPr>
      <w:r>
        <w:rPr>
          <w:rFonts w:ascii="宋体" w:hAnsi="宋体" w:eastAsia="宋体"/>
          <w:b/>
          <w:i w:val="0"/>
          <w:sz w:val="21"/>
        </w:rPr>
        <w:t>质量与安全的参差不齐：</w:t>
      </w:r>
      <w:r>
        <w:rPr>
          <w:rFonts w:ascii="宋体" w:hAnsi="宋体" w:eastAsia="宋体"/>
          <w:b w:val="0"/>
          <w:i w:val="0"/>
          <w:sz w:val="21"/>
        </w:rPr>
        <w:t>开放创新环境下涌现的大量AI智能体应用质量和安全性良莠不齐。许多应用缺乏基本的安全测试、偏见审计和可靠性验证，但却可能被用于教育、医疗等高风险场景。在缺乏有效质量标识和认证机制的情况下，用户难以区分高质量和低质量的AI智能体产品，形成"柠檬市场"（Market for Lemons）效应。</w:t>
      </w:r>
    </w:p>
    <w:p w14:paraId="754B5E37">
      <w:pPr>
        <w:spacing w:before="0" w:after="0" w:line="240" w:lineRule="auto"/>
        <w:ind w:firstLine="420"/>
        <w:rPr>
          <w:rFonts w:ascii="宋体" w:hAnsi="宋体" w:eastAsia="宋体"/>
          <w:b w:val="0"/>
          <w:i w:val="0"/>
          <w:sz w:val="21"/>
        </w:rPr>
      </w:pPr>
    </w:p>
    <w:p w14:paraId="356BE965">
      <w:pPr>
        <w:spacing w:before="0" w:after="0" w:line="240" w:lineRule="auto"/>
        <w:ind w:firstLine="420"/>
        <w:rPr>
          <w:rFonts w:ascii="宋体" w:hAnsi="宋体" w:eastAsia="宋体"/>
          <w:b w:val="0"/>
          <w:i w:val="0"/>
          <w:sz w:val="21"/>
        </w:rPr>
      </w:pPr>
      <w:r>
        <w:rPr>
          <w:rFonts w:ascii="宋体" w:hAnsi="宋体" w:eastAsia="宋体"/>
          <w:b/>
          <w:i w:val="0"/>
          <w:sz w:val="21"/>
        </w:rPr>
        <w:t>数据与隐私保护的薄弱环节：</w:t>
      </w:r>
      <w:r>
        <w:rPr>
          <w:rFonts w:ascii="宋体" w:hAnsi="宋体" w:eastAsia="宋体"/>
          <w:b w:val="0"/>
          <w:i w:val="0"/>
          <w:sz w:val="21"/>
        </w:rPr>
        <w:t>小型开发者和初创企业往往缺乏足够的资源和专业知识来实施完善的数据保护措施。开放创新生态中大量涌现的AI智能体应用可能成为数据泄露和隐私侵犯的薄弱环节。此外，开源模型的微调和部署过程中可能引入新的隐私风险，如微调数据的不当处理或模型记忆效应导致的训练数据泄露[22]。</w:t>
      </w:r>
    </w:p>
    <w:p w14:paraId="7A4A33BA">
      <w:pPr>
        <w:spacing w:before="0" w:after="0" w:line="240" w:lineRule="auto"/>
        <w:ind w:firstLine="420"/>
        <w:rPr>
          <w:rFonts w:ascii="宋体" w:hAnsi="宋体" w:eastAsia="宋体"/>
          <w:b w:val="0"/>
          <w:i w:val="0"/>
          <w:sz w:val="21"/>
        </w:rPr>
      </w:pPr>
    </w:p>
    <w:p w14:paraId="2388ADF0">
      <w:pPr>
        <w:spacing w:before="0" w:after="0" w:line="240" w:lineRule="auto"/>
        <w:ind w:firstLine="420"/>
      </w:pPr>
      <w:r>
        <w:rPr>
          <w:rFonts w:ascii="宋体" w:hAnsi="宋体" w:eastAsia="宋体"/>
          <w:b/>
          <w:i w:val="0"/>
          <w:sz w:val="21"/>
        </w:rPr>
        <w:t>知识产权保护的挑战：</w:t>
      </w:r>
      <w:r>
        <w:rPr>
          <w:rFonts w:ascii="宋体" w:hAnsi="宋体" w:eastAsia="宋体"/>
          <w:b w:val="0"/>
          <w:i w:val="0"/>
          <w:sz w:val="21"/>
        </w:rPr>
        <w:t>开放创新模式与现有知识产权制度之间存在深层张力。AI模型使用受版权保护的材料进行训练是否构成侵权，目前在全球范围内仍存在激烈争议。2025年，美国《纽约时报》诉OpenAI和微软版权侵权案进入关键审理阶段，判决结果将对AI训练数据的版权边界产生深远影响[23]。GitHub Copilot也因在代码训练中使用开源代码而面临多起集体诉讼。与此同时，AI智能体生成的内容是否享有版权保护，各国法律立场也存在显著差异。</w:t>
      </w:r>
    </w:p>
    <w:p w14:paraId="49B42D06">
      <w:pPr>
        <w:spacing w:before="120" w:after="60"/>
        <w:jc w:val="center"/>
      </w:pPr>
      <w:r>
        <w:rPr>
          <w:rFonts w:ascii="宋体" w:hAnsi="宋体" w:eastAsia="宋体"/>
          <w:b/>
          <w:sz w:val="18"/>
        </w:rPr>
        <w:t>表3  鼓励AI智能体开放创新的利弊分析</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9774CA2">
        <w:trPr>
          <w:jc w:val="center"/>
        </w:trPr>
        <w:tc>
          <w:tcPr>
            <w:tcW w:w="2161" w:type="dxa"/>
            <w:shd w:val="clear" w:color="auto" w:fill="1A1A2E"/>
            <w:noWrap w:val="0"/>
            <w:vAlign w:val="top"/>
          </w:tcPr>
          <w:p w14:paraId="05E28799">
            <w:pPr>
              <w:spacing w:line="240" w:lineRule="auto"/>
              <w:jc w:val="center"/>
            </w:pPr>
            <w:r>
              <w:rPr>
                <w:rFonts w:ascii="宋体" w:hAnsi="宋体" w:eastAsia="宋体"/>
                <w:b/>
                <w:color w:val="FFFFFF"/>
                <w:sz w:val="16"/>
              </w:rPr>
              <w:t>分析维度</w:t>
            </w:r>
          </w:p>
        </w:tc>
        <w:tc>
          <w:tcPr>
            <w:tcW w:w="2161" w:type="dxa"/>
            <w:shd w:val="clear" w:color="auto" w:fill="1A1A2E"/>
            <w:noWrap w:val="0"/>
            <w:vAlign w:val="top"/>
          </w:tcPr>
          <w:p w14:paraId="2FF1EA35">
            <w:pPr>
              <w:spacing w:line="240" w:lineRule="auto"/>
              <w:jc w:val="center"/>
            </w:pPr>
            <w:r>
              <w:rPr>
                <w:rFonts w:ascii="宋体" w:hAnsi="宋体" w:eastAsia="宋体"/>
                <w:b/>
                <w:color w:val="FFFFFF"/>
                <w:sz w:val="16"/>
              </w:rPr>
              <w:t>积极影响</w:t>
            </w:r>
          </w:p>
        </w:tc>
        <w:tc>
          <w:tcPr>
            <w:tcW w:w="2161" w:type="dxa"/>
            <w:shd w:val="clear" w:color="auto" w:fill="1A1A2E"/>
            <w:noWrap w:val="0"/>
            <w:vAlign w:val="top"/>
          </w:tcPr>
          <w:p w14:paraId="7A3B4E7B">
            <w:pPr>
              <w:spacing w:line="240" w:lineRule="auto"/>
              <w:jc w:val="center"/>
            </w:pPr>
            <w:r>
              <w:rPr>
                <w:rFonts w:ascii="宋体" w:hAnsi="宋体" w:eastAsia="宋体"/>
                <w:b/>
                <w:color w:val="FFFFFF"/>
                <w:sz w:val="16"/>
              </w:rPr>
              <w:t>潜在问题</w:t>
            </w:r>
          </w:p>
        </w:tc>
        <w:tc>
          <w:tcPr>
            <w:tcW w:w="2161" w:type="dxa"/>
            <w:shd w:val="clear" w:color="auto" w:fill="1A1A2E"/>
            <w:noWrap w:val="0"/>
            <w:vAlign w:val="top"/>
          </w:tcPr>
          <w:p w14:paraId="5211310B">
            <w:pPr>
              <w:spacing w:line="240" w:lineRule="auto"/>
              <w:jc w:val="center"/>
            </w:pPr>
            <w:r>
              <w:rPr>
                <w:rFonts w:ascii="宋体" w:hAnsi="宋体" w:eastAsia="宋体"/>
                <w:b/>
                <w:color w:val="FFFFFF"/>
                <w:sz w:val="16"/>
              </w:rPr>
              <w:t>代表性案例</w:t>
            </w:r>
          </w:p>
        </w:tc>
      </w:tr>
      <w:tr w14:paraId="09FA99FD">
        <w:trPr>
          <w:jc w:val="center"/>
        </w:trPr>
        <w:tc>
          <w:tcPr>
            <w:tcW w:w="2161" w:type="dxa"/>
            <w:noWrap w:val="0"/>
            <w:vAlign w:val="top"/>
          </w:tcPr>
          <w:p w14:paraId="512226FE">
            <w:pPr>
              <w:spacing w:line="240" w:lineRule="auto"/>
              <w:jc w:val="center"/>
            </w:pPr>
            <w:r>
              <w:rPr>
                <w:rFonts w:ascii="宋体" w:hAnsi="宋体" w:eastAsia="宋体"/>
                <w:sz w:val="16"/>
              </w:rPr>
              <w:t>技术进步</w:t>
            </w:r>
          </w:p>
        </w:tc>
        <w:tc>
          <w:tcPr>
            <w:tcW w:w="2161" w:type="dxa"/>
            <w:noWrap w:val="0"/>
            <w:vAlign w:val="top"/>
          </w:tcPr>
          <w:p w14:paraId="60F3EE0D">
            <w:pPr>
              <w:spacing w:line="240" w:lineRule="auto"/>
              <w:jc w:val="center"/>
            </w:pPr>
            <w:r>
              <w:rPr>
                <w:rFonts w:ascii="宋体" w:hAnsi="宋体" w:eastAsia="宋体"/>
                <w:sz w:val="16"/>
              </w:rPr>
              <w:t>激发多样化创新、</w:t>
            </w:r>
            <w:r>
              <w:rPr>
                <w:rFonts w:ascii="宋体" w:hAnsi="宋体" w:eastAsia="宋体"/>
                <w:sz w:val="16"/>
              </w:rPr>
              <w:br w:type="textWrapping"/>
            </w:r>
            <w:r>
              <w:rPr>
                <w:rFonts w:ascii="宋体" w:hAnsi="宋体" w:eastAsia="宋体"/>
                <w:sz w:val="16"/>
              </w:rPr>
              <w:t>加速技术迭代</w:t>
            </w:r>
          </w:p>
        </w:tc>
        <w:tc>
          <w:tcPr>
            <w:tcW w:w="2161" w:type="dxa"/>
            <w:noWrap w:val="0"/>
            <w:vAlign w:val="top"/>
          </w:tcPr>
          <w:p w14:paraId="1E1BDED2">
            <w:pPr>
              <w:spacing w:line="240" w:lineRule="auto"/>
              <w:jc w:val="center"/>
            </w:pPr>
            <w:r>
              <w:rPr>
                <w:rFonts w:ascii="宋体" w:hAnsi="宋体" w:eastAsia="宋体"/>
                <w:sz w:val="16"/>
              </w:rPr>
              <w:t>技术碎片化、缺乏统一</w:t>
            </w:r>
            <w:r>
              <w:rPr>
                <w:rFonts w:ascii="宋体" w:hAnsi="宋体" w:eastAsia="宋体"/>
                <w:sz w:val="16"/>
              </w:rPr>
              <w:br w:type="textWrapping"/>
            </w:r>
            <w:r>
              <w:rPr>
                <w:rFonts w:ascii="宋体" w:hAnsi="宋体" w:eastAsia="宋体"/>
                <w:sz w:val="16"/>
              </w:rPr>
              <w:t>安全标准</w:t>
            </w:r>
          </w:p>
        </w:tc>
        <w:tc>
          <w:tcPr>
            <w:tcW w:w="2161" w:type="dxa"/>
            <w:noWrap w:val="0"/>
            <w:vAlign w:val="top"/>
          </w:tcPr>
          <w:p w14:paraId="471D7E0A">
            <w:pPr>
              <w:spacing w:line="240" w:lineRule="auto"/>
              <w:jc w:val="center"/>
            </w:pPr>
            <w:r>
              <w:rPr>
                <w:rFonts w:ascii="宋体" w:hAnsi="宋体" w:eastAsia="宋体"/>
                <w:sz w:val="16"/>
              </w:rPr>
              <w:t>Meta Llama开源生态</w:t>
            </w:r>
          </w:p>
        </w:tc>
      </w:tr>
      <w:tr w14:paraId="2A995888">
        <w:trPr>
          <w:jc w:val="center"/>
        </w:trPr>
        <w:tc>
          <w:tcPr>
            <w:tcW w:w="2161" w:type="dxa"/>
            <w:noWrap w:val="0"/>
            <w:vAlign w:val="top"/>
          </w:tcPr>
          <w:p w14:paraId="4BF8015F">
            <w:pPr>
              <w:spacing w:line="240" w:lineRule="auto"/>
              <w:jc w:val="center"/>
            </w:pPr>
            <w:r>
              <w:rPr>
                <w:rFonts w:ascii="宋体" w:hAnsi="宋体" w:eastAsia="宋体"/>
                <w:sz w:val="16"/>
              </w:rPr>
              <w:t>产业竞争</w:t>
            </w:r>
          </w:p>
        </w:tc>
        <w:tc>
          <w:tcPr>
            <w:tcW w:w="2161" w:type="dxa"/>
            <w:noWrap w:val="0"/>
            <w:vAlign w:val="top"/>
          </w:tcPr>
          <w:p w14:paraId="0538501E">
            <w:pPr>
              <w:spacing w:line="240" w:lineRule="auto"/>
              <w:jc w:val="center"/>
            </w:pPr>
            <w:r>
              <w:rPr>
                <w:rFonts w:ascii="宋体" w:hAnsi="宋体" w:eastAsia="宋体"/>
                <w:sz w:val="16"/>
              </w:rPr>
              <w:t>防止垄断、提升</w:t>
            </w:r>
            <w:r>
              <w:rPr>
                <w:rFonts w:ascii="宋体" w:hAnsi="宋体" w:eastAsia="宋体"/>
                <w:sz w:val="16"/>
              </w:rPr>
              <w:br w:type="textWrapping"/>
            </w:r>
            <w:r>
              <w:rPr>
                <w:rFonts w:ascii="宋体" w:hAnsi="宋体" w:eastAsia="宋体"/>
                <w:sz w:val="16"/>
              </w:rPr>
              <w:t>消费者福利</w:t>
            </w:r>
          </w:p>
        </w:tc>
        <w:tc>
          <w:tcPr>
            <w:tcW w:w="2161" w:type="dxa"/>
            <w:noWrap w:val="0"/>
            <w:vAlign w:val="top"/>
          </w:tcPr>
          <w:p w14:paraId="539E7BD4">
            <w:pPr>
              <w:spacing w:line="240" w:lineRule="auto"/>
              <w:jc w:val="center"/>
            </w:pPr>
            <w:r>
              <w:rPr>
                <w:rFonts w:ascii="宋体" w:hAnsi="宋体" w:eastAsia="宋体"/>
                <w:sz w:val="16"/>
              </w:rPr>
              <w:t>恶性竞争可能压缩</w:t>
            </w:r>
            <w:r>
              <w:rPr>
                <w:rFonts w:ascii="宋体" w:hAnsi="宋体" w:eastAsia="宋体"/>
                <w:sz w:val="16"/>
              </w:rPr>
              <w:br w:type="textWrapping"/>
            </w:r>
            <w:r>
              <w:rPr>
                <w:rFonts w:ascii="宋体" w:hAnsi="宋体" w:eastAsia="宋体"/>
                <w:sz w:val="16"/>
              </w:rPr>
              <w:t>安全投入</w:t>
            </w:r>
          </w:p>
        </w:tc>
        <w:tc>
          <w:tcPr>
            <w:tcW w:w="2161" w:type="dxa"/>
            <w:noWrap w:val="0"/>
            <w:vAlign w:val="top"/>
          </w:tcPr>
          <w:p w14:paraId="0CC01374">
            <w:pPr>
              <w:spacing w:line="240" w:lineRule="auto"/>
              <w:jc w:val="center"/>
            </w:pPr>
            <w:r>
              <w:rPr>
                <w:rFonts w:ascii="宋体" w:hAnsi="宋体" w:eastAsia="宋体"/>
                <w:sz w:val="16"/>
              </w:rPr>
              <w:t>DeepSeek打破闭源</w:t>
            </w:r>
            <w:r>
              <w:rPr>
                <w:rFonts w:ascii="宋体" w:hAnsi="宋体" w:eastAsia="宋体"/>
                <w:sz w:val="16"/>
              </w:rPr>
              <w:br w:type="textWrapping"/>
            </w:r>
            <w:r>
              <w:rPr>
                <w:rFonts w:ascii="宋体" w:hAnsi="宋体" w:eastAsia="宋体"/>
                <w:sz w:val="16"/>
              </w:rPr>
              <w:t>模型价格壁垒</w:t>
            </w:r>
          </w:p>
        </w:tc>
      </w:tr>
      <w:tr w14:paraId="74A5000F">
        <w:trPr>
          <w:jc w:val="center"/>
        </w:trPr>
        <w:tc>
          <w:tcPr>
            <w:tcW w:w="2161" w:type="dxa"/>
            <w:noWrap w:val="0"/>
            <w:vAlign w:val="top"/>
          </w:tcPr>
          <w:p w14:paraId="2147A72E">
            <w:pPr>
              <w:spacing w:line="240" w:lineRule="auto"/>
              <w:jc w:val="center"/>
            </w:pPr>
            <w:r>
              <w:rPr>
                <w:rFonts w:ascii="宋体" w:hAnsi="宋体" w:eastAsia="宋体"/>
                <w:sz w:val="16"/>
              </w:rPr>
              <w:t>技术民主化</w:t>
            </w:r>
          </w:p>
        </w:tc>
        <w:tc>
          <w:tcPr>
            <w:tcW w:w="2161" w:type="dxa"/>
            <w:noWrap w:val="0"/>
            <w:vAlign w:val="top"/>
          </w:tcPr>
          <w:p w14:paraId="3A4E1E27">
            <w:pPr>
              <w:spacing w:line="240" w:lineRule="auto"/>
              <w:jc w:val="center"/>
            </w:pPr>
            <w:r>
              <w:rPr>
                <w:rFonts w:ascii="宋体" w:hAnsi="宋体" w:eastAsia="宋体"/>
                <w:sz w:val="16"/>
              </w:rPr>
              <w:t>降低使用门槛、</w:t>
            </w:r>
            <w:r>
              <w:rPr>
                <w:rFonts w:ascii="宋体" w:hAnsi="宋体" w:eastAsia="宋体"/>
                <w:sz w:val="16"/>
              </w:rPr>
              <w:br w:type="textWrapping"/>
            </w:r>
            <w:r>
              <w:rPr>
                <w:rFonts w:ascii="宋体" w:hAnsi="宋体" w:eastAsia="宋体"/>
                <w:sz w:val="16"/>
              </w:rPr>
              <w:t>促进数字包容</w:t>
            </w:r>
          </w:p>
        </w:tc>
        <w:tc>
          <w:tcPr>
            <w:tcW w:w="2161" w:type="dxa"/>
            <w:noWrap w:val="0"/>
            <w:vAlign w:val="top"/>
          </w:tcPr>
          <w:p w14:paraId="05A6F540">
            <w:pPr>
              <w:spacing w:line="240" w:lineRule="auto"/>
              <w:jc w:val="center"/>
            </w:pPr>
            <w:r>
              <w:rPr>
                <w:rFonts w:ascii="宋体" w:hAnsi="宋体" w:eastAsia="宋体"/>
                <w:sz w:val="16"/>
              </w:rPr>
              <w:t>技术滥用门槛同步降低</w:t>
            </w:r>
          </w:p>
        </w:tc>
        <w:tc>
          <w:tcPr>
            <w:tcW w:w="2161" w:type="dxa"/>
            <w:noWrap w:val="0"/>
            <w:vAlign w:val="top"/>
          </w:tcPr>
          <w:p w14:paraId="727A30E7">
            <w:pPr>
              <w:spacing w:line="240" w:lineRule="auto"/>
              <w:jc w:val="center"/>
            </w:pPr>
            <w:r>
              <w:rPr>
                <w:rFonts w:ascii="宋体" w:hAnsi="宋体" w:eastAsia="宋体"/>
                <w:sz w:val="16"/>
              </w:rPr>
              <w:t>发展中国家的本地化</w:t>
            </w:r>
            <w:r>
              <w:rPr>
                <w:rFonts w:ascii="宋体" w:hAnsi="宋体" w:eastAsia="宋体"/>
                <w:sz w:val="16"/>
              </w:rPr>
              <w:br w:type="textWrapping"/>
            </w:r>
            <w:r>
              <w:rPr>
                <w:rFonts w:ascii="宋体" w:hAnsi="宋体" w:eastAsia="宋体"/>
                <w:sz w:val="16"/>
              </w:rPr>
              <w:t>AI应用</w:t>
            </w:r>
          </w:p>
        </w:tc>
      </w:tr>
      <w:tr w14:paraId="28642267">
        <w:trPr>
          <w:jc w:val="center"/>
        </w:trPr>
        <w:tc>
          <w:tcPr>
            <w:tcW w:w="2161" w:type="dxa"/>
            <w:noWrap w:val="0"/>
            <w:vAlign w:val="top"/>
          </w:tcPr>
          <w:p w14:paraId="560B170E">
            <w:pPr>
              <w:spacing w:line="240" w:lineRule="auto"/>
              <w:jc w:val="center"/>
            </w:pPr>
            <w:r>
              <w:rPr>
                <w:rFonts w:ascii="宋体" w:hAnsi="宋体" w:eastAsia="宋体"/>
                <w:sz w:val="16"/>
              </w:rPr>
              <w:t>跨领域创新</w:t>
            </w:r>
          </w:p>
        </w:tc>
        <w:tc>
          <w:tcPr>
            <w:tcW w:w="2161" w:type="dxa"/>
            <w:noWrap w:val="0"/>
            <w:vAlign w:val="top"/>
          </w:tcPr>
          <w:p w14:paraId="53C27CD5">
            <w:pPr>
              <w:spacing w:line="240" w:lineRule="auto"/>
              <w:jc w:val="center"/>
            </w:pPr>
            <w:r>
              <w:rPr>
                <w:rFonts w:ascii="宋体" w:hAnsi="宋体" w:eastAsia="宋体"/>
                <w:sz w:val="16"/>
              </w:rPr>
              <w:t>促进AI与专业领域</w:t>
            </w:r>
            <w:r>
              <w:rPr>
                <w:rFonts w:ascii="宋体" w:hAnsi="宋体" w:eastAsia="宋体"/>
                <w:sz w:val="16"/>
              </w:rPr>
              <w:br w:type="textWrapping"/>
            </w:r>
            <w:r>
              <w:rPr>
                <w:rFonts w:ascii="宋体" w:hAnsi="宋体" w:eastAsia="宋体"/>
                <w:sz w:val="16"/>
              </w:rPr>
              <w:t>深度融合</w:t>
            </w:r>
          </w:p>
        </w:tc>
        <w:tc>
          <w:tcPr>
            <w:tcW w:w="2161" w:type="dxa"/>
            <w:noWrap w:val="0"/>
            <w:vAlign w:val="top"/>
          </w:tcPr>
          <w:p w14:paraId="7C3D5F2F">
            <w:pPr>
              <w:spacing w:line="240" w:lineRule="auto"/>
              <w:jc w:val="center"/>
            </w:pPr>
            <w:r>
              <w:rPr>
                <w:rFonts w:ascii="宋体" w:hAnsi="宋体" w:eastAsia="宋体"/>
                <w:sz w:val="16"/>
              </w:rPr>
              <w:t>领域专家可能缺乏</w:t>
            </w:r>
            <w:r>
              <w:rPr>
                <w:rFonts w:ascii="宋体" w:hAnsi="宋体" w:eastAsia="宋体"/>
                <w:sz w:val="16"/>
              </w:rPr>
              <w:br w:type="textWrapping"/>
            </w:r>
            <w:r>
              <w:rPr>
                <w:rFonts w:ascii="宋体" w:hAnsi="宋体" w:eastAsia="宋体"/>
                <w:sz w:val="16"/>
              </w:rPr>
              <w:t>AI安全认知</w:t>
            </w:r>
          </w:p>
        </w:tc>
        <w:tc>
          <w:tcPr>
            <w:tcW w:w="2161" w:type="dxa"/>
            <w:noWrap w:val="0"/>
            <w:vAlign w:val="top"/>
          </w:tcPr>
          <w:p w14:paraId="3D6FBD7E">
            <w:pPr>
              <w:spacing w:line="240" w:lineRule="auto"/>
              <w:jc w:val="center"/>
            </w:pPr>
            <w:r>
              <w:rPr>
                <w:rFonts w:ascii="宋体" w:hAnsi="宋体" w:eastAsia="宋体"/>
                <w:sz w:val="16"/>
              </w:rPr>
              <w:t>AI for Science</w:t>
            </w:r>
            <w:r>
              <w:rPr>
                <w:rFonts w:ascii="宋体" w:hAnsi="宋体" w:eastAsia="宋体"/>
                <w:sz w:val="16"/>
              </w:rPr>
              <w:br w:type="textWrapping"/>
            </w:r>
            <w:r>
              <w:rPr>
                <w:rFonts w:ascii="宋体" w:hAnsi="宋体" w:eastAsia="宋体"/>
                <w:sz w:val="16"/>
              </w:rPr>
              <w:t>科研应用</w:t>
            </w:r>
          </w:p>
        </w:tc>
      </w:tr>
      <w:tr w14:paraId="48868B52">
        <w:trPr>
          <w:jc w:val="center"/>
        </w:trPr>
        <w:tc>
          <w:tcPr>
            <w:tcW w:w="2161" w:type="dxa"/>
            <w:noWrap w:val="0"/>
            <w:vAlign w:val="top"/>
          </w:tcPr>
          <w:p w14:paraId="59271A61">
            <w:pPr>
              <w:spacing w:line="240" w:lineRule="auto"/>
              <w:jc w:val="center"/>
            </w:pPr>
            <w:r>
              <w:rPr>
                <w:rFonts w:ascii="宋体" w:hAnsi="宋体" w:eastAsia="宋体"/>
                <w:sz w:val="16"/>
              </w:rPr>
              <w:t>质量保障</w:t>
            </w:r>
          </w:p>
        </w:tc>
        <w:tc>
          <w:tcPr>
            <w:tcW w:w="2161" w:type="dxa"/>
            <w:noWrap w:val="0"/>
            <w:vAlign w:val="top"/>
          </w:tcPr>
          <w:p w14:paraId="3244D3F6">
            <w:pPr>
              <w:spacing w:line="240" w:lineRule="auto"/>
              <w:jc w:val="center"/>
            </w:pPr>
            <w:r>
              <w:rPr>
                <w:rFonts w:ascii="宋体" w:hAnsi="宋体" w:eastAsia="宋体"/>
                <w:sz w:val="16"/>
              </w:rPr>
              <w:t>开源社区的集体审查</w:t>
            </w:r>
            <w:r>
              <w:rPr>
                <w:rFonts w:ascii="宋体" w:hAnsi="宋体" w:eastAsia="宋体"/>
                <w:sz w:val="16"/>
              </w:rPr>
              <w:br w:type="textWrapping"/>
            </w:r>
            <w:r>
              <w:rPr>
                <w:rFonts w:ascii="宋体" w:hAnsi="宋体" w:eastAsia="宋体"/>
                <w:sz w:val="16"/>
              </w:rPr>
              <w:t>提升透明度</w:t>
            </w:r>
          </w:p>
        </w:tc>
        <w:tc>
          <w:tcPr>
            <w:tcW w:w="2161" w:type="dxa"/>
            <w:noWrap w:val="0"/>
            <w:vAlign w:val="top"/>
          </w:tcPr>
          <w:p w14:paraId="4BD86E57">
            <w:pPr>
              <w:spacing w:line="240" w:lineRule="auto"/>
              <w:jc w:val="center"/>
            </w:pPr>
            <w:r>
              <w:rPr>
                <w:rFonts w:ascii="宋体" w:hAnsi="宋体" w:eastAsia="宋体"/>
                <w:sz w:val="16"/>
              </w:rPr>
              <w:t>"柠檬市场"效应，</w:t>
            </w:r>
            <w:r>
              <w:rPr>
                <w:rFonts w:ascii="宋体" w:hAnsi="宋体" w:eastAsia="宋体"/>
                <w:sz w:val="16"/>
              </w:rPr>
              <w:br w:type="textWrapping"/>
            </w:r>
            <w:r>
              <w:rPr>
                <w:rFonts w:ascii="宋体" w:hAnsi="宋体" w:eastAsia="宋体"/>
                <w:sz w:val="16"/>
              </w:rPr>
              <w:t>劣质应用驱逐优质应用</w:t>
            </w:r>
          </w:p>
        </w:tc>
        <w:tc>
          <w:tcPr>
            <w:tcW w:w="2161" w:type="dxa"/>
            <w:noWrap w:val="0"/>
            <w:vAlign w:val="top"/>
          </w:tcPr>
          <w:p w14:paraId="1EBBA2BE">
            <w:pPr>
              <w:spacing w:line="240" w:lineRule="auto"/>
              <w:jc w:val="center"/>
            </w:pPr>
            <w:r>
              <w:rPr>
                <w:rFonts w:ascii="宋体" w:hAnsi="宋体" w:eastAsia="宋体"/>
                <w:sz w:val="16"/>
              </w:rPr>
              <w:t>AI应用商店的质量</w:t>
            </w:r>
            <w:r>
              <w:rPr>
                <w:rFonts w:ascii="宋体" w:hAnsi="宋体" w:eastAsia="宋体"/>
                <w:sz w:val="16"/>
              </w:rPr>
              <w:br w:type="textWrapping"/>
            </w:r>
            <w:r>
              <w:rPr>
                <w:rFonts w:ascii="宋体" w:hAnsi="宋体" w:eastAsia="宋体"/>
                <w:sz w:val="16"/>
              </w:rPr>
              <w:t>参差问题</w:t>
            </w:r>
          </w:p>
        </w:tc>
      </w:tr>
      <w:tr w14:paraId="22723C2B">
        <w:trPr>
          <w:jc w:val="center"/>
        </w:trPr>
        <w:tc>
          <w:tcPr>
            <w:tcW w:w="2161" w:type="dxa"/>
            <w:noWrap w:val="0"/>
            <w:vAlign w:val="top"/>
          </w:tcPr>
          <w:p w14:paraId="7B62F6CC">
            <w:pPr>
              <w:spacing w:line="240" w:lineRule="auto"/>
              <w:jc w:val="center"/>
            </w:pPr>
            <w:r>
              <w:rPr>
                <w:rFonts w:ascii="宋体" w:hAnsi="宋体" w:eastAsia="宋体"/>
                <w:sz w:val="16"/>
              </w:rPr>
              <w:t>隐私数据</w:t>
            </w:r>
          </w:p>
        </w:tc>
        <w:tc>
          <w:tcPr>
            <w:tcW w:w="2161" w:type="dxa"/>
            <w:noWrap w:val="0"/>
            <w:vAlign w:val="top"/>
          </w:tcPr>
          <w:p w14:paraId="4F7ADF39">
            <w:pPr>
              <w:spacing w:line="240" w:lineRule="auto"/>
              <w:jc w:val="center"/>
            </w:pPr>
            <w:r>
              <w:rPr>
                <w:rFonts w:ascii="宋体" w:hAnsi="宋体" w:eastAsia="宋体"/>
                <w:sz w:val="16"/>
              </w:rPr>
              <w:t>开源模型的安全性</w:t>
            </w:r>
            <w:r>
              <w:rPr>
                <w:rFonts w:ascii="宋体" w:hAnsi="宋体" w:eastAsia="宋体"/>
                <w:sz w:val="16"/>
              </w:rPr>
              <w:br w:type="textWrapping"/>
            </w:r>
            <w:r>
              <w:rPr>
                <w:rFonts w:ascii="宋体" w:hAnsi="宋体" w:eastAsia="宋体"/>
                <w:sz w:val="16"/>
              </w:rPr>
              <w:t>可被独立审计</w:t>
            </w:r>
          </w:p>
        </w:tc>
        <w:tc>
          <w:tcPr>
            <w:tcW w:w="2161" w:type="dxa"/>
            <w:noWrap w:val="0"/>
            <w:vAlign w:val="top"/>
          </w:tcPr>
          <w:p w14:paraId="5D5492F2">
            <w:pPr>
              <w:spacing w:line="240" w:lineRule="auto"/>
              <w:jc w:val="center"/>
            </w:pPr>
            <w:r>
              <w:rPr>
                <w:rFonts w:ascii="宋体" w:hAnsi="宋体" w:eastAsia="宋体"/>
                <w:sz w:val="16"/>
              </w:rPr>
              <w:t>小开发者数据保护</w:t>
            </w:r>
            <w:r>
              <w:rPr>
                <w:rFonts w:ascii="宋体" w:hAnsi="宋体" w:eastAsia="宋体"/>
                <w:sz w:val="16"/>
              </w:rPr>
              <w:br w:type="textWrapping"/>
            </w:r>
            <w:r>
              <w:rPr>
                <w:rFonts w:ascii="宋体" w:hAnsi="宋体" w:eastAsia="宋体"/>
                <w:sz w:val="16"/>
              </w:rPr>
              <w:t>能力不足</w:t>
            </w:r>
          </w:p>
        </w:tc>
        <w:tc>
          <w:tcPr>
            <w:tcW w:w="2161" w:type="dxa"/>
            <w:noWrap w:val="0"/>
            <w:vAlign w:val="top"/>
          </w:tcPr>
          <w:p w14:paraId="2EA5B191">
            <w:pPr>
              <w:spacing w:line="240" w:lineRule="auto"/>
              <w:jc w:val="center"/>
            </w:pPr>
            <w:r>
              <w:rPr>
                <w:rFonts w:ascii="宋体" w:hAnsi="宋体" w:eastAsia="宋体"/>
                <w:sz w:val="16"/>
              </w:rPr>
              <w:t>第三方安全审计</w:t>
            </w:r>
          </w:p>
        </w:tc>
      </w:tr>
      <w:tr w14:paraId="39EC798F">
        <w:trPr>
          <w:jc w:val="center"/>
        </w:trPr>
        <w:tc>
          <w:tcPr>
            <w:tcW w:w="2161" w:type="dxa"/>
            <w:noWrap w:val="0"/>
            <w:vAlign w:val="top"/>
          </w:tcPr>
          <w:p w14:paraId="3FF9DD8A">
            <w:pPr>
              <w:spacing w:line="240" w:lineRule="auto"/>
              <w:jc w:val="center"/>
            </w:pPr>
            <w:r>
              <w:rPr>
                <w:rFonts w:ascii="宋体" w:hAnsi="宋体" w:eastAsia="宋体"/>
                <w:sz w:val="16"/>
              </w:rPr>
              <w:t>知识产权</w:t>
            </w:r>
          </w:p>
        </w:tc>
        <w:tc>
          <w:tcPr>
            <w:tcW w:w="2161" w:type="dxa"/>
            <w:noWrap w:val="0"/>
            <w:vAlign w:val="top"/>
          </w:tcPr>
          <w:p w14:paraId="1A855B04">
            <w:pPr>
              <w:spacing w:line="240" w:lineRule="auto"/>
              <w:jc w:val="center"/>
            </w:pPr>
            <w:r>
              <w:rPr>
                <w:rFonts w:ascii="宋体" w:hAnsi="宋体" w:eastAsia="宋体"/>
                <w:sz w:val="16"/>
              </w:rPr>
              <w:t>开源精神促进知识共享</w:t>
            </w:r>
          </w:p>
        </w:tc>
        <w:tc>
          <w:tcPr>
            <w:tcW w:w="2161" w:type="dxa"/>
            <w:noWrap w:val="0"/>
            <w:vAlign w:val="top"/>
          </w:tcPr>
          <w:p w14:paraId="7016A297">
            <w:pPr>
              <w:spacing w:line="240" w:lineRule="auto"/>
              <w:jc w:val="center"/>
            </w:pPr>
            <w:r>
              <w:rPr>
                <w:rFonts w:ascii="宋体" w:hAnsi="宋体" w:eastAsia="宋体"/>
                <w:sz w:val="16"/>
              </w:rPr>
              <w:t>训练数据版权侵权争议</w:t>
            </w:r>
          </w:p>
        </w:tc>
        <w:tc>
          <w:tcPr>
            <w:tcW w:w="2161" w:type="dxa"/>
            <w:noWrap w:val="0"/>
            <w:vAlign w:val="top"/>
          </w:tcPr>
          <w:p w14:paraId="5CF18AC3">
            <w:pPr>
              <w:spacing w:line="240" w:lineRule="auto"/>
              <w:jc w:val="center"/>
            </w:pPr>
            <w:r>
              <w:rPr>
                <w:rFonts w:ascii="宋体" w:hAnsi="宋体" w:eastAsia="宋体"/>
                <w:sz w:val="16"/>
              </w:rPr>
              <w:t>NYT诉OpenAI案、</w:t>
            </w:r>
            <w:r>
              <w:rPr>
                <w:rFonts w:ascii="宋体" w:hAnsi="宋体" w:eastAsia="宋体"/>
                <w:sz w:val="16"/>
              </w:rPr>
              <w:br w:type="textWrapping"/>
            </w:r>
            <w:r>
              <w:rPr>
                <w:rFonts w:ascii="宋体" w:hAnsi="宋体" w:eastAsia="宋体"/>
                <w:sz w:val="16"/>
              </w:rPr>
              <w:t>GitHub Copilot案</w:t>
            </w:r>
          </w:p>
        </w:tc>
      </w:tr>
    </w:tbl>
    <w:p w14:paraId="2EB82608">
      <w:pPr>
        <w:spacing w:before="120" w:after="60"/>
        <w:jc w:val="center"/>
        <w:rPr>
          <w:rFonts w:ascii="宋体" w:hAnsi="宋体" w:eastAsia="宋体"/>
          <w:b/>
          <w:sz w:val="18"/>
        </w:rPr>
      </w:pPr>
    </w:p>
    <w:p w14:paraId="538738B8">
      <w:pPr>
        <w:pStyle w:val="3"/>
      </w:pPr>
      <w:r>
        <w:rPr>
          <w:rFonts w:ascii="黑体" w:hAnsi="黑体" w:eastAsia="黑体"/>
        </w:rPr>
        <w:t>3.3 寻求平衡：走向"负责任创新"</w:t>
      </w:r>
    </w:p>
    <w:p w14:paraId="33550177">
      <w:pPr>
        <w:spacing w:before="0" w:after="0" w:line="240" w:lineRule="auto"/>
        <w:ind w:firstLine="420"/>
        <w:rPr>
          <w:rFonts w:ascii="宋体" w:hAnsi="宋体" w:eastAsia="宋体"/>
          <w:b w:val="0"/>
          <w:i w:val="0"/>
          <w:sz w:val="21"/>
        </w:rPr>
      </w:pPr>
      <w:r>
        <w:rPr>
          <w:rFonts w:ascii="宋体" w:hAnsi="宋体" w:eastAsia="宋体"/>
          <w:b w:val="0"/>
          <w:i w:val="0"/>
          <w:sz w:val="21"/>
        </w:rPr>
        <w:t>综合上述分析，本文认为AI智能体的治理不应走向"全面放开"或"严加管制"两个极端，而应采纳"负责任创新"（Responsible Innovation）的理念，在促进创新的同时嵌入伦理约束。负责任创新框架包含四个核心维度：预期性（Anticipation）——前瞻性地识别和评估技术可能的社会和伦理影响；反身性（Reflexivity）——开发者、研究者和政策制定者对自身假设和局限性的持续反思；包容性（Inclusion）——将多元利益相关者的声音纳入技术设计和治理过程；响应性（Responsiveness）——根据新信息和反馈及时调整技术方向和治理策略[24]。</w:t>
      </w:r>
    </w:p>
    <w:p w14:paraId="2467A4A9">
      <w:pPr>
        <w:spacing w:before="0" w:after="0" w:line="240" w:lineRule="auto"/>
        <w:ind w:firstLine="420"/>
        <w:rPr>
          <w:rFonts w:ascii="宋体" w:hAnsi="宋体" w:eastAsia="宋体"/>
          <w:b w:val="0"/>
          <w:i w:val="0"/>
          <w:sz w:val="21"/>
        </w:rPr>
      </w:pPr>
    </w:p>
    <w:p w14:paraId="2CA57210">
      <w:pPr>
        <w:spacing w:before="0" w:after="0" w:line="240" w:lineRule="auto"/>
        <w:ind w:firstLine="420"/>
        <w:rPr>
          <w:rFonts w:ascii="宋体" w:hAnsi="宋体" w:eastAsia="宋体"/>
          <w:b w:val="0"/>
          <w:i w:val="0"/>
          <w:sz w:val="21"/>
        </w:rPr>
      </w:pPr>
      <w:r>
        <w:rPr>
          <w:rFonts w:ascii="宋体" w:hAnsi="宋体" w:eastAsia="宋体"/>
          <w:b w:val="0"/>
          <w:i w:val="0"/>
          <w:sz w:val="21"/>
        </w:rPr>
        <w:t>在实践层面，本文主张建立"分级分类、动态调适"的治理框架。即根据AI智能体的自主程度、应用场景的风险等级和社会影响范围，实施差异化的监管要求（详见第5节）。</w:t>
      </w:r>
    </w:p>
    <w:p w14:paraId="3EE12115">
      <w:pPr>
        <w:spacing w:before="0" w:after="0" w:line="240" w:lineRule="auto"/>
        <w:ind w:firstLine="420"/>
        <w:rPr>
          <w:rFonts w:ascii="宋体" w:hAnsi="宋体" w:eastAsia="宋体"/>
          <w:b w:val="0"/>
          <w:i w:val="0"/>
          <w:sz w:val="21"/>
        </w:rPr>
      </w:pPr>
    </w:p>
    <w:p w14:paraId="723C274B">
      <w:pPr>
        <w:pStyle w:val="2"/>
      </w:pPr>
      <w:r>
        <w:rPr>
          <w:rFonts w:ascii="黑体" w:hAnsi="黑体" w:eastAsia="黑体"/>
        </w:rPr>
        <w:t>4. 从计算机伦理角度分析关键伦理问题</w:t>
      </w:r>
    </w:p>
    <w:p w14:paraId="2CDC9997">
      <w:pPr>
        <w:spacing w:before="0" w:after="0" w:line="240" w:lineRule="auto"/>
        <w:ind w:firstLine="420"/>
      </w:pPr>
      <w:r>
        <w:rPr>
          <w:rFonts w:ascii="宋体" w:hAnsi="宋体" w:eastAsia="宋体"/>
          <w:b w:val="0"/>
          <w:i w:val="0"/>
          <w:sz w:val="21"/>
        </w:rPr>
        <w:t>本章从计算机伦理学（Computer Ethics）的理论框架出发，结合教材核心概念和章节内容，系统分析AI智能体涉及的关键伦理问题。计算机伦理学作为应用伦理学的分支学科，为理解和回应当代信息技术引发的伦理困境提供了系统的分析工具和规范框架。</w:t>
      </w:r>
    </w:p>
    <w:p w14:paraId="7F83739A">
      <w:pPr>
        <w:pStyle w:val="3"/>
      </w:pPr>
      <w:r>
        <w:rPr>
          <w:rFonts w:ascii="黑体" w:hAnsi="黑体" w:eastAsia="黑体"/>
        </w:rPr>
        <w:t>4.1 IT职业道德与社会责任</w:t>
      </w:r>
    </w:p>
    <w:p w14:paraId="72629FCC">
      <w:pPr>
        <w:pStyle w:val="4"/>
      </w:pPr>
      <w:r>
        <w:rPr>
          <w:rFonts w:ascii="黑体" w:hAnsi="黑体" w:eastAsia="黑体"/>
        </w:rPr>
        <w:t>4.1.1 教材核心观点的回顾与概述</w:t>
      </w:r>
    </w:p>
    <w:p w14:paraId="42931159">
      <w:pPr>
        <w:spacing w:before="0" w:after="0" w:line="240" w:lineRule="auto"/>
        <w:ind w:firstLine="420"/>
        <w:rPr>
          <w:rFonts w:ascii="宋体" w:hAnsi="宋体" w:eastAsia="宋体"/>
          <w:b w:val="0"/>
          <w:i w:val="0"/>
          <w:sz w:val="21"/>
        </w:rPr>
      </w:pPr>
      <w:r>
        <w:rPr>
          <w:rFonts w:ascii="宋体" w:hAnsi="宋体" w:eastAsia="宋体"/>
          <w:b w:val="0"/>
          <w:i w:val="0"/>
          <w:sz w:val="21"/>
        </w:rPr>
        <w:t>计算机伦理学教材系统阐述了IT从业人员的职业道德责任。正如教材第3章所论述，IT专业人员承担着超越普通劳动者的特殊社会责任，因为他们的技术决策对社会运行具有广泛而深远的影响。ACM（美国计算机协会）《职业道德与行为准则》提出了"避免伤害他人""尊重隐私""遵守诚信"等核心原则，IEEE-CS/ACM《软件工程职业道德规范》则强调了产品安全、专业胜任和公众利益优先等职业责任。教材进一步指出，IT职业伦理已从早期的"微观伦理"——关注个体从业者的行为规范——发展为涵盖"宏观伦理"的完整框架，后者关注技术系统的社会性影响和结构性正义问题[25]。</w:t>
      </w:r>
    </w:p>
    <w:p w14:paraId="35693DB7">
      <w:pPr>
        <w:spacing w:before="0" w:after="0" w:line="240" w:lineRule="auto"/>
        <w:ind w:firstLine="420"/>
        <w:rPr>
          <w:rFonts w:ascii="宋体" w:hAnsi="宋体" w:eastAsia="宋体"/>
          <w:b w:val="0"/>
          <w:i w:val="0"/>
          <w:sz w:val="21"/>
        </w:rPr>
      </w:pPr>
    </w:p>
    <w:p w14:paraId="40B4D497">
      <w:pPr>
        <w:spacing w:before="0" w:after="0" w:line="240" w:lineRule="auto"/>
        <w:ind w:firstLine="420"/>
        <w:rPr>
          <w:rFonts w:ascii="宋体" w:hAnsi="宋体" w:eastAsia="宋体"/>
          <w:b w:val="0"/>
          <w:i w:val="0"/>
          <w:sz w:val="21"/>
        </w:rPr>
      </w:pPr>
      <w:r>
        <w:rPr>
          <w:rFonts w:ascii="宋体" w:hAnsi="宋体" w:eastAsia="宋体"/>
          <w:b w:val="0"/>
          <w:i w:val="0"/>
          <w:sz w:val="21"/>
        </w:rPr>
        <w:t>教材第4章特别讨论了专业人员的"举报义务"（Whistle-blowing）和"知情同意"责任，指出当技术人员发现系统存在可能危害公众的重大缺陷时，负有超越雇佣关系的更高道德义务。此外，教材还分析了"道德漠视"（Moral Disengagement）的心理机制，即技术人员可能通过责任分散、后果否认、非人化等心理策略回避对自身技术行为的道德反思[26]。</w:t>
      </w:r>
    </w:p>
    <w:p w14:paraId="761BB45A">
      <w:pPr>
        <w:spacing w:before="0" w:after="0" w:line="240" w:lineRule="auto"/>
        <w:ind w:firstLine="420"/>
        <w:rPr>
          <w:rFonts w:ascii="宋体" w:hAnsi="宋体" w:eastAsia="宋体"/>
          <w:b w:val="0"/>
          <w:i w:val="0"/>
          <w:sz w:val="21"/>
        </w:rPr>
      </w:pPr>
    </w:p>
    <w:p w14:paraId="6D611E4A">
      <w:pPr>
        <w:pStyle w:val="4"/>
      </w:pPr>
      <w:r>
        <w:rPr>
          <w:rFonts w:ascii="黑体" w:hAnsi="黑体" w:eastAsia="黑体"/>
        </w:rPr>
        <w:t>4.1.2 AI智能体场景下的职业道德分析</w:t>
      </w:r>
    </w:p>
    <w:p w14:paraId="02CB77DA">
      <w:pPr>
        <w:spacing w:before="0" w:after="0" w:line="240" w:lineRule="auto"/>
        <w:ind w:firstLine="420"/>
        <w:rPr>
          <w:rFonts w:ascii="宋体" w:hAnsi="宋体" w:eastAsia="宋体"/>
          <w:b w:val="0"/>
          <w:i w:val="0"/>
          <w:sz w:val="21"/>
        </w:rPr>
      </w:pPr>
      <w:r>
        <w:rPr>
          <w:rFonts w:ascii="宋体" w:hAnsi="宋体" w:eastAsia="宋体"/>
          <w:b w:val="0"/>
          <w:i w:val="0"/>
          <w:sz w:val="21"/>
        </w:rPr>
        <w:t>AI智能体的出现对IT职业道德提出了新的、更高层次的要求。传统IT职业道德侧重于系统可靠性、数据准确性和用户界面友好性等技术性标准，而AI智能体时代的职业责任则需要扩展到对系统自主行为的伦理预判和治理设计。</w:t>
      </w:r>
    </w:p>
    <w:p w14:paraId="3B1F6114">
      <w:pPr>
        <w:spacing w:before="0" w:after="0" w:line="240" w:lineRule="auto"/>
        <w:ind w:firstLine="420"/>
        <w:rPr>
          <w:rFonts w:ascii="宋体" w:hAnsi="宋体" w:eastAsia="宋体"/>
          <w:b w:val="0"/>
          <w:i w:val="0"/>
          <w:sz w:val="21"/>
        </w:rPr>
      </w:pPr>
    </w:p>
    <w:p w14:paraId="273292E5">
      <w:pPr>
        <w:spacing w:before="0" w:after="0" w:line="240" w:lineRule="auto"/>
        <w:ind w:firstLine="420"/>
        <w:rPr>
          <w:rFonts w:ascii="宋体" w:hAnsi="宋体" w:eastAsia="宋体"/>
          <w:b w:val="0"/>
          <w:i w:val="0"/>
          <w:sz w:val="21"/>
        </w:rPr>
      </w:pPr>
      <w:r>
        <w:rPr>
          <w:rFonts w:ascii="宋体" w:hAnsi="宋体" w:eastAsia="宋体"/>
          <w:b/>
          <w:i w:val="0"/>
          <w:sz w:val="21"/>
        </w:rPr>
        <w:t>设计阶段的伦理前置责任：</w:t>
      </w:r>
      <w:r>
        <w:rPr>
          <w:rFonts w:ascii="宋体" w:hAnsi="宋体" w:eastAsia="宋体"/>
          <w:b w:val="0"/>
          <w:i w:val="0"/>
          <w:sz w:val="21"/>
        </w:rPr>
        <w:t>AI智能体开发者不能将伦理考量视为产品发布后的"补丁"，而应从系统设计之初就嵌入伦理约束。这包括在智能体的目标函数中纳入安全性和公平性考量（如通过Constitutional AI和RLHF等技术对齐方法），建立智能体行为的"伦理边界"（如拒绝执行可能造成伤害的指令），以及设计"人机闭环"（Human-in-the-Loop）的决策机制。开发者如果忽视这些伦理设计要求，仅追求性能指标和用户增长，则构成了职业伦理的缺失。</w:t>
      </w:r>
    </w:p>
    <w:p w14:paraId="20A8C86E">
      <w:pPr>
        <w:spacing w:before="0" w:after="0" w:line="240" w:lineRule="auto"/>
        <w:ind w:firstLine="420"/>
        <w:rPr>
          <w:rFonts w:ascii="宋体" w:hAnsi="宋体" w:eastAsia="宋体"/>
          <w:b w:val="0"/>
          <w:i w:val="0"/>
          <w:sz w:val="21"/>
        </w:rPr>
      </w:pPr>
    </w:p>
    <w:p w14:paraId="0870DEA4">
      <w:pPr>
        <w:spacing w:before="0" w:after="0" w:line="240" w:lineRule="auto"/>
        <w:ind w:firstLine="420"/>
        <w:rPr>
          <w:rFonts w:ascii="宋体" w:hAnsi="宋体" w:eastAsia="宋体"/>
          <w:b w:val="0"/>
          <w:i w:val="0"/>
          <w:sz w:val="21"/>
        </w:rPr>
      </w:pPr>
      <w:r>
        <w:rPr>
          <w:rFonts w:ascii="宋体" w:hAnsi="宋体" w:eastAsia="宋体"/>
          <w:b/>
          <w:i w:val="0"/>
          <w:sz w:val="21"/>
        </w:rPr>
        <w:t>测试与部署阶段的尽职责任：</w:t>
      </w:r>
      <w:r>
        <w:rPr>
          <w:rFonts w:ascii="宋体" w:hAnsi="宋体" w:eastAsia="宋体"/>
          <w:b w:val="0"/>
          <w:i w:val="0"/>
          <w:sz w:val="21"/>
        </w:rPr>
        <w:t>在AI智能体部署前，开发者和运营者有责任进行充分的安全测试和偏见审计，包括红队测试（Red Teaming）、对抗性测试和不同人口统计群体的公平性评估。特别是在医疗、金融、司法等高风险场景中，应建立独立的第三方审计和认证机制。Anthropic公司在其Claude模型的发布过程中实施的外部红队测试和"负责任的扩展策略"（Responsible Scaling Policy），是这一责任的有益实践[27]。</w:t>
      </w:r>
    </w:p>
    <w:p w14:paraId="294118AF">
      <w:pPr>
        <w:spacing w:before="0" w:after="0" w:line="240" w:lineRule="auto"/>
        <w:ind w:firstLine="420"/>
        <w:rPr>
          <w:rFonts w:ascii="宋体" w:hAnsi="宋体" w:eastAsia="宋体"/>
          <w:b w:val="0"/>
          <w:i w:val="0"/>
          <w:sz w:val="21"/>
        </w:rPr>
      </w:pPr>
    </w:p>
    <w:p w14:paraId="05D33448">
      <w:pPr>
        <w:spacing w:before="0" w:after="0" w:line="240" w:lineRule="auto"/>
        <w:ind w:firstLine="420"/>
        <w:rPr>
          <w:rFonts w:ascii="宋体" w:hAnsi="宋体" w:eastAsia="宋体"/>
          <w:b w:val="0"/>
          <w:i w:val="0"/>
          <w:sz w:val="21"/>
        </w:rPr>
      </w:pPr>
      <w:r>
        <w:rPr>
          <w:rFonts w:ascii="宋体" w:hAnsi="宋体" w:eastAsia="宋体"/>
          <w:b/>
          <w:i w:val="0"/>
          <w:sz w:val="21"/>
        </w:rPr>
        <w:t>持续监控与修正的持续责任：</w:t>
      </w:r>
      <w:r>
        <w:rPr>
          <w:rFonts w:ascii="宋体" w:hAnsi="宋体" w:eastAsia="宋体"/>
          <w:b w:val="0"/>
          <w:i w:val="0"/>
          <w:sz w:val="21"/>
        </w:rPr>
        <w:t>与传统软件不同，AI智能体在部署后的行为可能因环境变化、用户交互和模型更新而发生"漂移"。因此，IT专业人员的职业道德责任并非在系统上线时终止，而是需要持续监控系统行为、及时发现异常模式、收集用户反馈、并在发现问题时迅速修正或回撤系统。这要求企业建立专门的AI安全监控团队和应急响应机制。</w:t>
      </w:r>
    </w:p>
    <w:p w14:paraId="135A8F9B">
      <w:pPr>
        <w:spacing w:before="0" w:after="0" w:line="240" w:lineRule="auto"/>
        <w:ind w:firstLine="420"/>
        <w:rPr>
          <w:rFonts w:ascii="宋体" w:hAnsi="宋体" w:eastAsia="宋体"/>
          <w:b w:val="0"/>
          <w:i w:val="0"/>
          <w:sz w:val="21"/>
        </w:rPr>
      </w:pPr>
    </w:p>
    <w:p w14:paraId="3EA446F0">
      <w:pPr>
        <w:spacing w:before="0" w:after="0" w:line="240" w:lineRule="auto"/>
        <w:ind w:firstLine="420"/>
      </w:pPr>
      <w:r>
        <w:rPr>
          <w:rFonts w:ascii="宋体" w:hAnsi="宋体" w:eastAsia="宋体"/>
          <w:b/>
          <w:i w:val="0"/>
          <w:sz w:val="21"/>
        </w:rPr>
        <w:t>拒绝执行的职业判断权：</w:t>
      </w:r>
      <w:r>
        <w:rPr>
          <w:rFonts w:ascii="宋体" w:hAnsi="宋体" w:eastAsia="宋体"/>
          <w:b w:val="0"/>
          <w:i w:val="0"/>
          <w:sz w:val="21"/>
        </w:rPr>
        <w:t>根据ACM职业道德准则中的"避免伤害"原则，当AI技术人员被要求开发明显违反伦理的AI智能体应用时（如用于大规模监控、社会信用评分、自动化武器系统等），他们应享有基于职业良知的拒绝执行权，并应获得相应的法律保护。目前，包括谷歌、微软在内的多家科技巨头的员工已多次通过联名信和抗议活动行使这一权利，如谷歌员工抗议Project Maven（军用AI项目）和Project Nimbus（以色列政府云计算合同）[28]。</w:t>
      </w:r>
    </w:p>
    <w:p w14:paraId="11DAD544">
      <w:pPr>
        <w:jc w:val="center"/>
        <w:rPr>
          <w:rFonts w:hint="eastAsia" w:eastAsia="宋体"/>
          <w:lang w:eastAsia="zh-CN"/>
        </w:rPr>
      </w:pPr>
      <w:r>
        <w:rPr>
          <w:rFonts w:hint="eastAsia" w:eastAsia="宋体"/>
          <w:lang w:eastAsia="zh-CN"/>
        </w:rPr>
        <w:drawing>
          <wp:inline distT="0" distB="0" distL="114300" distR="114300">
            <wp:extent cx="5757545" cy="2239645"/>
            <wp:effectExtent l="0" t="0" r="8255" b="20955"/>
            <wp:docPr id="1" name="图片 6" descr="figure1_ethics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figure1_ethics_framework"/>
                    <pic:cNvPicPr>
                      <a:picLocks noChangeAspect="1"/>
                    </pic:cNvPicPr>
                  </pic:nvPicPr>
                  <pic:blipFill>
                    <a:blip r:embed="rId5"/>
                    <a:stretch>
                      <a:fillRect/>
                    </a:stretch>
                  </pic:blipFill>
                  <pic:spPr>
                    <a:xfrm>
                      <a:off x="0" y="0"/>
                      <a:ext cx="5757545" cy="2239645"/>
                    </a:xfrm>
                    <a:prstGeom prst="rect">
                      <a:avLst/>
                    </a:prstGeom>
                    <a:noFill/>
                    <a:ln>
                      <a:noFill/>
                    </a:ln>
                  </pic:spPr>
                </pic:pic>
              </a:graphicData>
            </a:graphic>
          </wp:inline>
        </w:drawing>
      </w:r>
    </w:p>
    <w:p w14:paraId="1B07D80B">
      <w:pPr>
        <w:spacing w:after="120"/>
        <w:jc w:val="center"/>
      </w:pPr>
      <w:r>
        <w:rPr>
          <w:rFonts w:ascii="宋体" w:hAnsi="宋体" w:eastAsia="宋体"/>
          <w:sz w:val="18"/>
        </w:rPr>
        <w:t>图1  AI智能体开发全生命周期的职业道德责任框架</w:t>
      </w:r>
      <w:r>
        <w:rPr>
          <w:rFonts w:ascii="宋体" w:hAnsi="宋体" w:eastAsia="宋体"/>
          <w:sz w:val="18"/>
        </w:rPr>
        <w:br w:type="textWrapping"/>
      </w:r>
    </w:p>
    <w:p w14:paraId="66C0A2B2">
      <w:pPr>
        <w:pStyle w:val="3"/>
      </w:pPr>
      <w:r>
        <w:rPr>
          <w:rFonts w:ascii="黑体" w:hAnsi="黑体" w:eastAsia="黑体"/>
        </w:rPr>
        <w:t>4.2 计算机技术与隐私保护</w:t>
      </w:r>
    </w:p>
    <w:p w14:paraId="680D5CBC">
      <w:pPr>
        <w:pStyle w:val="4"/>
      </w:pPr>
      <w:r>
        <w:rPr>
          <w:rFonts w:ascii="黑体" w:hAnsi="黑体" w:eastAsia="黑体"/>
        </w:rPr>
        <w:t>4.2.1 教材核心观点的回顾与概述</w:t>
      </w:r>
    </w:p>
    <w:p w14:paraId="6982DA88">
      <w:pPr>
        <w:spacing w:before="0" w:after="0" w:line="240" w:lineRule="auto"/>
        <w:ind w:firstLine="420"/>
        <w:rPr>
          <w:rFonts w:ascii="宋体" w:hAnsi="宋体" w:eastAsia="宋体"/>
          <w:b w:val="0"/>
          <w:i w:val="0"/>
          <w:sz w:val="21"/>
        </w:rPr>
      </w:pPr>
      <w:r>
        <w:rPr>
          <w:rFonts w:ascii="宋体" w:hAnsi="宋体" w:eastAsia="宋体"/>
          <w:b w:val="0"/>
          <w:i w:val="0"/>
          <w:sz w:val="21"/>
        </w:rPr>
        <w:t>教材第5章系统讨论了计算机技术对个人隐私的冲击和隐私保护的理论框架。教材指出，传统隐私概念经历了从"独处权"（The Right to be Let Alone）到"个人信息控制权"的演变。计算机技术的出现使得信息的收集、存储、处理和传播成本急剧下降，个人对其信息的实际控制力大幅减弱。教材分析了数据挖掘、行为追踪、社会网络分析等技术如何使隐私侵犯变得"无形、无感、无处不在"[29]。</w:t>
      </w:r>
    </w:p>
    <w:p w14:paraId="7F582699">
      <w:pPr>
        <w:spacing w:before="0" w:after="0" w:line="240" w:lineRule="auto"/>
        <w:ind w:firstLine="420"/>
        <w:rPr>
          <w:rFonts w:ascii="宋体" w:hAnsi="宋体" w:eastAsia="宋体"/>
          <w:b w:val="0"/>
          <w:i w:val="0"/>
          <w:sz w:val="21"/>
        </w:rPr>
      </w:pPr>
    </w:p>
    <w:p w14:paraId="0B4DB199">
      <w:pPr>
        <w:spacing w:before="0" w:after="0" w:line="240" w:lineRule="auto"/>
        <w:ind w:firstLine="420"/>
        <w:rPr>
          <w:rFonts w:ascii="宋体" w:hAnsi="宋体" w:eastAsia="宋体"/>
          <w:b w:val="0"/>
          <w:i w:val="0"/>
          <w:sz w:val="21"/>
        </w:rPr>
      </w:pPr>
      <w:r>
        <w:rPr>
          <w:rFonts w:ascii="宋体" w:hAnsi="宋体" w:eastAsia="宋体"/>
          <w:b w:val="0"/>
          <w:i w:val="0"/>
          <w:sz w:val="21"/>
        </w:rPr>
        <w:t>教材详细阐述了隐私保护的四个核心原则：（1）知情同意——个人应在充分了解信息收集目的、范围和使用方式的前提下自主决定；（2）目的限制——个人信息只能用于收集时指定的目的；（3）数据最小化——仅收集和保留实现目的所必需的最少数据；（4）安全保障——采取合理的技术和组织措施保护个人数据安全。此外，教材还讨论了GDPR等隐私法规的制度设计，以及隐私增强技术（PETs）如差分隐私、同态加密、联邦学习等技术方案[30]。</w:t>
      </w:r>
    </w:p>
    <w:p w14:paraId="4DAC13D7">
      <w:pPr>
        <w:spacing w:before="0" w:after="0" w:line="240" w:lineRule="auto"/>
        <w:ind w:firstLine="420"/>
        <w:rPr>
          <w:rFonts w:ascii="宋体" w:hAnsi="宋体" w:eastAsia="宋体"/>
          <w:b w:val="0"/>
          <w:i w:val="0"/>
          <w:sz w:val="21"/>
        </w:rPr>
      </w:pPr>
    </w:p>
    <w:p w14:paraId="023F67BC">
      <w:pPr>
        <w:spacing w:before="0" w:after="0" w:line="240" w:lineRule="auto"/>
        <w:ind w:firstLine="420"/>
        <w:rPr>
          <w:rFonts w:ascii="宋体" w:hAnsi="宋体" w:eastAsia="宋体"/>
          <w:b w:val="0"/>
          <w:i w:val="0"/>
          <w:sz w:val="21"/>
        </w:rPr>
      </w:pPr>
      <w:r>
        <w:rPr>
          <w:rFonts w:ascii="宋体" w:hAnsi="宋体" w:eastAsia="宋体"/>
          <w:b w:val="0"/>
          <w:i w:val="0"/>
          <w:sz w:val="21"/>
        </w:rPr>
        <w:t>教材特别指出了当代隐私问题的两个结构性特征：一是"隐私悖论"（Privacy Paradox）——用户虽然表示关心隐私，但其实际行为往往与之矛盾，部分原因在于服务提供方有意设计的"黑暗模式"（Dark Patterns）使用户难以真正行使隐私选择权；二是"网络效应下的隐私侵蚀"——即使用户自身不使用某项服务，其个人信息也可能因他人的行为和网络关联而被暴露[31]。</w:t>
      </w:r>
    </w:p>
    <w:p w14:paraId="61EB9A2D">
      <w:pPr>
        <w:spacing w:before="0" w:after="0" w:line="240" w:lineRule="auto"/>
        <w:ind w:firstLine="420"/>
        <w:rPr>
          <w:rFonts w:hint="eastAsia" w:ascii="宋体" w:hAnsi="宋体" w:eastAsia="宋体"/>
          <w:b w:val="0"/>
          <w:i w:val="0"/>
          <w:sz w:val="21"/>
          <w:lang w:eastAsia="zh-CN"/>
        </w:rPr>
      </w:pPr>
    </w:p>
    <w:p w14:paraId="0A0128E7">
      <w:pPr>
        <w:pStyle w:val="4"/>
      </w:pPr>
      <w:r>
        <w:rPr>
          <w:rFonts w:ascii="黑体" w:hAnsi="黑体" w:eastAsia="黑体"/>
        </w:rPr>
        <w:t>4.2.2 AI智能体场景下的隐私保护分析</w:t>
      </w:r>
    </w:p>
    <w:p w14:paraId="5D4ACE66">
      <w:pPr>
        <w:spacing w:before="0" w:after="0" w:line="240" w:lineRule="auto"/>
        <w:ind w:firstLine="420"/>
        <w:rPr>
          <w:rFonts w:ascii="宋体" w:hAnsi="宋体" w:eastAsia="宋体"/>
          <w:b w:val="0"/>
          <w:i w:val="0"/>
          <w:sz w:val="21"/>
        </w:rPr>
      </w:pPr>
      <w:r>
        <w:rPr>
          <w:rFonts w:ascii="宋体" w:hAnsi="宋体" w:eastAsia="宋体"/>
          <w:b w:val="0"/>
          <w:i w:val="0"/>
          <w:sz w:val="21"/>
        </w:rPr>
        <w:t>AI智能体的技术特征对隐私保护提出了远超传统计算机系统的挑战。</w:t>
      </w:r>
    </w:p>
    <w:p w14:paraId="586C8748">
      <w:pPr>
        <w:spacing w:before="0" w:after="0" w:line="240" w:lineRule="auto"/>
        <w:ind w:firstLine="420"/>
        <w:rPr>
          <w:rFonts w:ascii="宋体" w:hAnsi="宋体" w:eastAsia="宋体"/>
          <w:b w:val="0"/>
          <w:i w:val="0"/>
          <w:sz w:val="21"/>
        </w:rPr>
      </w:pPr>
    </w:p>
    <w:p w14:paraId="2DEEADCE">
      <w:pPr>
        <w:spacing w:before="0" w:after="0" w:line="240" w:lineRule="auto"/>
        <w:ind w:firstLine="420"/>
        <w:rPr>
          <w:rFonts w:ascii="宋体" w:hAnsi="宋体" w:eastAsia="宋体"/>
          <w:b w:val="0"/>
          <w:i w:val="0"/>
          <w:sz w:val="21"/>
        </w:rPr>
      </w:pPr>
      <w:r>
        <w:rPr>
          <w:rFonts w:ascii="宋体" w:hAnsi="宋体" w:eastAsia="宋体"/>
          <w:b/>
          <w:i w:val="0"/>
          <w:sz w:val="21"/>
        </w:rPr>
        <w:t>深度数据访问与隐私边界的消解：</w:t>
      </w:r>
      <w:r>
        <w:rPr>
          <w:rFonts w:ascii="宋体" w:hAnsi="宋体" w:eastAsia="宋体"/>
          <w:b w:val="0"/>
          <w:i w:val="0"/>
          <w:sz w:val="21"/>
        </w:rPr>
        <w:t>为了完成用户指派的任务，AI智能体通常需要访问远超传统应用的个人数据范围——包括电子邮件内容、私密通信记录、日历安排、文件系统、浏览器历史、位置轨迹、消费记录等。智能体的"工具使用"能力意味着它不仅仅是数据的被动接收者，而是能够主动获取、处理和传输数据的行动者。这种深度的数据访问使得传统的"知情同意"机制面临根本性挑战：用户往往无法在授予权限时充分预见到智能体后续可能如何使用这些数据。</w:t>
      </w:r>
    </w:p>
    <w:p w14:paraId="3708E966">
      <w:pPr>
        <w:spacing w:before="0" w:after="0" w:line="240" w:lineRule="auto"/>
        <w:ind w:firstLine="420"/>
        <w:rPr>
          <w:rFonts w:ascii="宋体" w:hAnsi="宋体" w:eastAsia="宋体"/>
          <w:b w:val="0"/>
          <w:i w:val="0"/>
          <w:sz w:val="21"/>
        </w:rPr>
      </w:pPr>
    </w:p>
    <w:p w14:paraId="59FA2185">
      <w:pPr>
        <w:spacing w:before="0" w:after="0" w:line="240" w:lineRule="auto"/>
        <w:ind w:firstLine="420"/>
        <w:rPr>
          <w:rFonts w:ascii="宋体" w:hAnsi="宋体" w:eastAsia="宋体"/>
          <w:b w:val="0"/>
          <w:i w:val="0"/>
          <w:sz w:val="21"/>
        </w:rPr>
      </w:pPr>
      <w:r>
        <w:rPr>
          <w:rFonts w:ascii="宋体" w:hAnsi="宋体" w:eastAsia="宋体"/>
          <w:b/>
          <w:i w:val="0"/>
          <w:sz w:val="21"/>
        </w:rPr>
        <w:t>跨上下文数据聚合与推断性隐私侵犯：</w:t>
      </w:r>
      <w:r>
        <w:rPr>
          <w:rFonts w:ascii="宋体" w:hAnsi="宋体" w:eastAsia="宋体"/>
          <w:b w:val="0"/>
          <w:i w:val="0"/>
          <w:sz w:val="21"/>
        </w:rPr>
        <w:t>AI智能体可能在用户不知情的情况下跨越不同的数据上下文进行关联分析。例如，一个被授权管理用户邮件的智能体可能学习了用户的消费模式、健康状况、社交关系和政治倾向，并在用户未明确授权的情况下将这些推断用于其他任务。这种"推断性隐私"（Inferential Privacy）的侵犯尤为隐蔽，因为推断出的信息可能比原始数据更加敏感，却不受传统隐私框架的充分保护[32]。</w:t>
      </w:r>
    </w:p>
    <w:p w14:paraId="6F8EFCE7">
      <w:pPr>
        <w:spacing w:before="0" w:after="0" w:line="240" w:lineRule="auto"/>
        <w:ind w:firstLine="420"/>
        <w:rPr>
          <w:rFonts w:ascii="宋体" w:hAnsi="宋体" w:eastAsia="宋体"/>
          <w:b w:val="0"/>
          <w:i w:val="0"/>
          <w:sz w:val="21"/>
        </w:rPr>
      </w:pPr>
    </w:p>
    <w:p w14:paraId="43A75045">
      <w:pPr>
        <w:spacing w:before="0" w:after="0" w:line="240" w:lineRule="auto"/>
        <w:ind w:firstLine="420"/>
        <w:rPr>
          <w:rFonts w:ascii="宋体" w:hAnsi="宋体" w:eastAsia="宋体"/>
          <w:b w:val="0"/>
          <w:i w:val="0"/>
          <w:sz w:val="21"/>
        </w:rPr>
      </w:pPr>
      <w:r>
        <w:rPr>
          <w:rFonts w:ascii="宋体" w:hAnsi="宋体" w:eastAsia="宋体"/>
          <w:b/>
          <w:i w:val="0"/>
          <w:sz w:val="21"/>
        </w:rPr>
        <w:t>间接提示注入与新型隐私攻击：</w:t>
      </w:r>
      <w:r>
        <w:rPr>
          <w:rFonts w:ascii="宋体" w:hAnsi="宋体" w:eastAsia="宋体"/>
          <w:b w:val="0"/>
          <w:i w:val="0"/>
          <w:sz w:val="21"/>
        </w:rPr>
        <w:t>AI智能体的提示注入（Prompt Injection）漏洞为隐私攻击开辟了全新的途径。攻击者可以通过在智能体可能处理的文档、网页或邮件中嵌入隐藏指令，诱导智能体泄露其已访问的隐私信息。2025年，一项发表在USENIX Security的研究展示了如何通过"多模态间接注入"——将隐藏指令嵌入智能体可能查看的图片中——实现高度隐蔽的隐私窃取[33]。这类攻击的独特性在于，它们利用的不是传统软件的代码漏洞，而是AI系统"理解"和"遵从"指令这一核心功能。</w:t>
      </w:r>
    </w:p>
    <w:p w14:paraId="7786481E">
      <w:pPr>
        <w:spacing w:before="0" w:after="0" w:line="240" w:lineRule="auto"/>
        <w:ind w:firstLine="420"/>
        <w:rPr>
          <w:rFonts w:ascii="宋体" w:hAnsi="宋体" w:eastAsia="宋体"/>
          <w:b w:val="0"/>
          <w:i w:val="0"/>
          <w:sz w:val="21"/>
        </w:rPr>
      </w:pPr>
    </w:p>
    <w:p w14:paraId="45D9CBD4">
      <w:pPr>
        <w:spacing w:before="0" w:after="0" w:line="240" w:lineRule="auto"/>
        <w:ind w:firstLine="420"/>
        <w:rPr>
          <w:rFonts w:ascii="宋体" w:hAnsi="宋体" w:eastAsia="宋体"/>
          <w:b w:val="0"/>
          <w:i w:val="0"/>
          <w:sz w:val="21"/>
        </w:rPr>
      </w:pPr>
      <w:r>
        <w:rPr>
          <w:rFonts w:ascii="宋体" w:hAnsi="宋体" w:eastAsia="宋体"/>
          <w:b/>
          <w:i w:val="0"/>
          <w:sz w:val="21"/>
        </w:rPr>
        <w:t>"过度代理"与未经授权的隐私行动：</w:t>
      </w:r>
      <w:r>
        <w:rPr>
          <w:rFonts w:ascii="宋体" w:hAnsi="宋体" w:eastAsia="宋体"/>
          <w:b w:val="0"/>
          <w:i w:val="0"/>
          <w:sz w:val="21"/>
        </w:rPr>
        <w:t>AI智能体可能在用户宽泛授权下，采取用户并未真正期望的行动。例如，用户要求智能体"帮我整理财务文件"，智能体可能理解为将所有财务相关文件打包发送到云端服务进行分析，而这些文件可能包含用户的银行账号、收入证明等高度敏感信息。这种"过度代理"（Over-agency）现象是AI智能体特有的隐私风险。</w:t>
      </w:r>
    </w:p>
    <w:p w14:paraId="7A6F2B06">
      <w:pPr>
        <w:spacing w:before="0" w:after="0" w:line="240" w:lineRule="auto"/>
        <w:ind w:firstLine="420"/>
        <w:rPr>
          <w:rFonts w:ascii="宋体" w:hAnsi="宋体" w:eastAsia="宋体"/>
          <w:b w:val="0"/>
          <w:i w:val="0"/>
          <w:sz w:val="21"/>
        </w:rPr>
      </w:pPr>
    </w:p>
    <w:p w14:paraId="7B4441B3">
      <w:pPr>
        <w:spacing w:before="0" w:after="0" w:line="240" w:lineRule="auto"/>
        <w:ind w:firstLine="420"/>
        <w:rPr>
          <w:rFonts w:ascii="宋体" w:hAnsi="宋体" w:eastAsia="宋体"/>
          <w:b w:val="0"/>
          <w:i w:val="0"/>
          <w:sz w:val="21"/>
        </w:rPr>
      </w:pPr>
      <w:r>
        <w:rPr>
          <w:rFonts w:ascii="宋体" w:hAnsi="宋体" w:eastAsia="宋体"/>
          <w:b/>
          <w:i w:val="0"/>
          <w:sz w:val="21"/>
        </w:rPr>
        <w:t>委托隐私与第三方数据共享：</w:t>
      </w:r>
      <w:r>
        <w:rPr>
          <w:rFonts w:ascii="宋体" w:hAnsi="宋体" w:eastAsia="宋体"/>
          <w:b w:val="0"/>
          <w:i w:val="0"/>
          <w:sz w:val="21"/>
        </w:rPr>
        <w:t>AI智能体的"委托隐私"（Delegated Privacy）问题与传统隐私框架存在深层张力。当用户将隐私相关的决策权交给AI智能体（如"帮我判断这封邮件是否安全，拒绝可疑的"），实际上意味着智能体需要"代理"用户的隐私判断。然而，智能体缺乏人类对隐私的上下文敏感性——某些信息在特定关系中是可接受的，但在其他关系中则是不可接受的。这种"隐私代理"的困境目前缺乏有效的技术或制度解决方案[34]。</w:t>
      </w:r>
    </w:p>
    <w:p w14:paraId="055A8037">
      <w:pPr>
        <w:pStyle w:val="3"/>
      </w:pPr>
      <w:r>
        <w:rPr>
          <w:rFonts w:ascii="黑体" w:hAnsi="黑体" w:eastAsia="黑体"/>
        </w:rPr>
        <w:t>4.3 信息技术与知识产权问题</w:t>
      </w:r>
    </w:p>
    <w:p w14:paraId="34D21D9F">
      <w:pPr>
        <w:pStyle w:val="4"/>
      </w:pPr>
      <w:r>
        <w:rPr>
          <w:rFonts w:ascii="黑体" w:hAnsi="黑体" w:eastAsia="黑体"/>
        </w:rPr>
        <w:t>4.3.1 教材核心观点的回顾与概述</w:t>
      </w:r>
    </w:p>
    <w:p w14:paraId="53AEECC9">
      <w:pPr>
        <w:spacing w:before="0" w:after="0" w:line="240" w:lineRule="auto"/>
        <w:ind w:firstLine="420"/>
        <w:rPr>
          <w:rFonts w:ascii="宋体" w:hAnsi="宋体" w:eastAsia="宋体"/>
          <w:b w:val="0"/>
          <w:i w:val="0"/>
          <w:sz w:val="21"/>
        </w:rPr>
      </w:pPr>
      <w:r>
        <w:rPr>
          <w:rFonts w:ascii="宋体" w:hAnsi="宋体" w:eastAsia="宋体"/>
          <w:b w:val="0"/>
          <w:i w:val="0"/>
          <w:sz w:val="21"/>
        </w:rPr>
        <w:t>教材第6章系统梳理了信息技术对知识产权制度的挑战。教材指出，知识产权制度的根本目的是在激励创新与促进知识共享之间取得平衡，而数字技术从多个维度动摇了这一平衡的基础。数字内容的"零边际成本复制"特性使传统以控制复制为核心的知识产权执行机制面临失效。教材讨论了软件版权、软件专利和开源许可三种主要的计算机软件知识产权保护模式，分析了各自的适用场景和局限性。</w:t>
      </w:r>
    </w:p>
    <w:p w14:paraId="4C598F72">
      <w:pPr>
        <w:spacing w:before="0" w:after="0" w:line="240" w:lineRule="auto"/>
        <w:ind w:firstLine="420"/>
        <w:rPr>
          <w:rFonts w:ascii="宋体" w:hAnsi="宋体" w:eastAsia="宋体"/>
          <w:b w:val="0"/>
          <w:i w:val="0"/>
          <w:sz w:val="21"/>
        </w:rPr>
      </w:pPr>
    </w:p>
    <w:p w14:paraId="09B95236">
      <w:pPr>
        <w:spacing w:before="0" w:after="0" w:line="240" w:lineRule="auto"/>
        <w:ind w:firstLine="420"/>
        <w:rPr>
          <w:rFonts w:ascii="宋体" w:hAnsi="宋体" w:eastAsia="宋体"/>
          <w:b w:val="0"/>
          <w:i w:val="0"/>
          <w:sz w:val="21"/>
        </w:rPr>
      </w:pPr>
      <w:r>
        <w:rPr>
          <w:rFonts w:ascii="宋体" w:hAnsi="宋体" w:eastAsia="宋体"/>
          <w:b w:val="0"/>
          <w:i w:val="0"/>
          <w:sz w:val="21"/>
        </w:rPr>
        <w:t>教材详细讨论了"合理使用"（Fair Use）原则在数字时代的适用挑战，包括四要素检验法——使用的目的和性质、受版权保护作品的性质、使用部分的数量和实质性、使用对作品潜在市场的影响——在软件和大数据场景中的应用困难[35]。教材还分析了数字权利管理（DRM）技术引发的公平使用受限、用户权利侵蚀和互操作障碍等问题，以及开源运动的哲学基础——以理查德·斯托曼（Richard Stallman）的自由软件运动和"Copyleft"理念为代表的替代性知识生产模式[36]。</w:t>
      </w:r>
    </w:p>
    <w:p w14:paraId="0B09FC32">
      <w:pPr>
        <w:spacing w:before="0" w:after="0" w:line="240" w:lineRule="auto"/>
        <w:ind w:firstLine="420"/>
        <w:rPr>
          <w:rFonts w:ascii="宋体" w:hAnsi="宋体" w:eastAsia="宋体"/>
          <w:b w:val="0"/>
          <w:i w:val="0"/>
          <w:sz w:val="21"/>
        </w:rPr>
      </w:pPr>
    </w:p>
    <w:p w14:paraId="67C7E5B4">
      <w:pPr>
        <w:pStyle w:val="4"/>
      </w:pPr>
      <w:r>
        <w:rPr>
          <w:rFonts w:ascii="黑体" w:hAnsi="黑体" w:eastAsia="黑体"/>
        </w:rPr>
        <w:t>4.3.2 AI智能体场景下的知识产权分析</w:t>
      </w:r>
    </w:p>
    <w:p w14:paraId="3D3DBDCC">
      <w:pPr>
        <w:spacing w:before="0" w:after="0" w:line="240" w:lineRule="auto"/>
        <w:ind w:firstLine="420"/>
        <w:rPr>
          <w:rFonts w:ascii="宋体" w:hAnsi="宋体" w:eastAsia="宋体"/>
          <w:b w:val="0"/>
          <w:i w:val="0"/>
          <w:sz w:val="21"/>
        </w:rPr>
      </w:pPr>
      <w:r>
        <w:rPr>
          <w:rFonts w:ascii="宋体" w:hAnsi="宋体" w:eastAsia="宋体"/>
          <w:b w:val="0"/>
          <w:i w:val="0"/>
          <w:sz w:val="21"/>
        </w:rPr>
        <w:t>AI智能体的出现为知识产权领域带来了一系列全新的、高度复杂的问题。</w:t>
      </w:r>
    </w:p>
    <w:p w14:paraId="25633DC0">
      <w:pPr>
        <w:spacing w:before="0" w:after="0" w:line="240" w:lineRule="auto"/>
        <w:ind w:firstLine="420"/>
        <w:rPr>
          <w:rFonts w:ascii="宋体" w:hAnsi="宋体" w:eastAsia="宋体"/>
          <w:b w:val="0"/>
          <w:i w:val="0"/>
          <w:sz w:val="21"/>
        </w:rPr>
      </w:pPr>
    </w:p>
    <w:p w14:paraId="273BFA2F">
      <w:pPr>
        <w:spacing w:before="0" w:after="0" w:line="240" w:lineRule="auto"/>
        <w:ind w:firstLine="420"/>
        <w:rPr>
          <w:rFonts w:ascii="宋体" w:hAnsi="宋体" w:eastAsia="宋体"/>
          <w:b w:val="0"/>
          <w:i w:val="0"/>
          <w:sz w:val="21"/>
        </w:rPr>
      </w:pPr>
      <w:r>
        <w:rPr>
          <w:rFonts w:ascii="宋体" w:hAnsi="宋体" w:eastAsia="宋体"/>
          <w:b/>
          <w:i w:val="0"/>
          <w:sz w:val="21"/>
        </w:rPr>
        <w:t>AI训练数据的版权困境：</w:t>
      </w:r>
      <w:r>
        <w:rPr>
          <w:rFonts w:ascii="宋体" w:hAnsi="宋体" w:eastAsia="宋体"/>
          <w:b w:val="0"/>
          <w:i w:val="0"/>
          <w:sz w:val="21"/>
        </w:rPr>
        <w:t>AI智能体底层大语言模型的训练使用了海量互联网文本数据，其中包含大量受版权保护的作品。这一做法是否构成版权侵权，目前在全球主要法域均存在争议。在美国，《纽约时报》诉OpenAI案的核心争议在于：（1）使用受版权保护的作品进行AI训练是否属于"合理使用"；（2）AI模型是否"记忆"了训练数据中的特定作品内容；（3）模型输出与原始作品内容之间的实质性相似程度。在中国的法律框架下，"文本与数据挖掘"（TDM）的合理使用例外条款正在立法讨论中，目前尚无明确规定[37]。</w:t>
      </w:r>
    </w:p>
    <w:p w14:paraId="0313420D">
      <w:pPr>
        <w:spacing w:before="0" w:after="0" w:line="240" w:lineRule="auto"/>
        <w:ind w:firstLine="420"/>
        <w:rPr>
          <w:rFonts w:ascii="宋体" w:hAnsi="宋体" w:eastAsia="宋体"/>
          <w:b w:val="0"/>
          <w:i w:val="0"/>
          <w:sz w:val="21"/>
        </w:rPr>
      </w:pPr>
    </w:p>
    <w:p w14:paraId="5D39C4BB">
      <w:pPr>
        <w:spacing w:before="0" w:after="0" w:line="240" w:lineRule="auto"/>
        <w:ind w:firstLine="420"/>
        <w:rPr>
          <w:rFonts w:ascii="宋体" w:hAnsi="宋体" w:eastAsia="宋体"/>
          <w:b w:val="0"/>
          <w:i w:val="0"/>
          <w:sz w:val="21"/>
        </w:rPr>
      </w:pPr>
      <w:r>
        <w:rPr>
          <w:rFonts w:ascii="宋体" w:hAnsi="宋体" w:eastAsia="宋体"/>
          <w:b/>
          <w:i w:val="0"/>
          <w:sz w:val="21"/>
        </w:rPr>
        <w:t>AI智能体生成内容的可版权性：</w:t>
      </w:r>
      <w:r>
        <w:rPr>
          <w:rFonts w:ascii="宋体" w:hAnsi="宋体" w:eastAsia="宋体"/>
          <w:b w:val="0"/>
          <w:i w:val="0"/>
          <w:sz w:val="21"/>
        </w:rPr>
        <w:t>AI智能体在执行任务过程中生成的内容——如报告、代码、设计方案、图片等——是否享有版权保护，以及版权归属于谁，是一个具有重大实践意义的问题。中国版权保护实践目前采取的立场是：完全由AI自动生成的、无人类实质性智力贡献的内容不构成作品，不受版权法保护；但有人类创作性选择、编排和修改的AI辅助生成内容可以被认定为作品，人类创作者享有版权[38]。美国版权局也采取了类似立场，在2025年发布的政策指南中明确要求版权申请者披露AI工具的使用情况，并识别出人类作者的创造性贡献部分。</w:t>
      </w:r>
    </w:p>
    <w:p w14:paraId="04546F88">
      <w:pPr>
        <w:spacing w:before="0" w:after="0" w:line="240" w:lineRule="auto"/>
        <w:ind w:firstLine="420"/>
        <w:rPr>
          <w:rFonts w:ascii="宋体" w:hAnsi="宋体" w:eastAsia="宋体"/>
          <w:b w:val="0"/>
          <w:i w:val="0"/>
          <w:sz w:val="21"/>
        </w:rPr>
      </w:pPr>
    </w:p>
    <w:p w14:paraId="7613B326">
      <w:pPr>
        <w:spacing w:before="0" w:after="0" w:line="240" w:lineRule="auto"/>
        <w:ind w:firstLine="420"/>
        <w:rPr>
          <w:rFonts w:ascii="宋体" w:hAnsi="宋体" w:eastAsia="宋体"/>
          <w:b w:val="0"/>
          <w:i w:val="0"/>
          <w:sz w:val="21"/>
        </w:rPr>
      </w:pPr>
      <w:r>
        <w:rPr>
          <w:rFonts w:ascii="宋体" w:hAnsi="宋体" w:eastAsia="宋体"/>
          <w:b/>
          <w:i w:val="0"/>
          <w:sz w:val="21"/>
        </w:rPr>
        <w:t>AI智能体使用第三方工具的版权风险：</w:t>
      </w:r>
      <w:r>
        <w:rPr>
          <w:rFonts w:ascii="宋体" w:hAnsi="宋体" w:eastAsia="宋体"/>
          <w:b w:val="0"/>
          <w:i w:val="0"/>
          <w:sz w:val="21"/>
        </w:rPr>
        <w:t>AI智能体的工作方式通常是调用各种外部工具和API。当智能体调用代码生成API完成编程任务时，生成的代码可能包含与开源代码实质性相似的部分。如果被调用模型是在包含GPL等"传染性"许可代码的数据集上训练的，那么智能体生成的代码是否也受到相应开源许可的约束？这一问题目前缺乏明确的法律判断。GitHub Copilot因在训练中使用了GitHub上的开源代码而面临多起集体诉讼，和解谈判仍在进行中[39]。</w:t>
      </w:r>
    </w:p>
    <w:p w14:paraId="2C865E35">
      <w:pPr>
        <w:spacing w:before="0" w:after="0" w:line="240" w:lineRule="auto"/>
        <w:ind w:firstLine="420"/>
        <w:rPr>
          <w:rFonts w:ascii="宋体" w:hAnsi="宋体" w:eastAsia="宋体"/>
          <w:b/>
          <w:i w:val="0"/>
          <w:sz w:val="21"/>
        </w:rPr>
      </w:pPr>
    </w:p>
    <w:p w14:paraId="589B3DAF">
      <w:pPr>
        <w:spacing w:before="0" w:after="0" w:line="240" w:lineRule="auto"/>
        <w:ind w:firstLine="420"/>
      </w:pPr>
      <w:r>
        <w:rPr>
          <w:rFonts w:ascii="宋体" w:hAnsi="宋体" w:eastAsia="宋体"/>
          <w:b/>
          <w:i w:val="0"/>
          <w:sz w:val="21"/>
        </w:rPr>
        <w:t>AI自主行为的版权侵权责任归属：</w:t>
      </w:r>
      <w:r>
        <w:rPr>
          <w:rFonts w:ascii="宋体" w:hAnsi="宋体" w:eastAsia="宋体"/>
          <w:b w:val="0"/>
          <w:i w:val="0"/>
          <w:sz w:val="21"/>
        </w:rPr>
        <w:t>当AI智能体在自主执行任务时侵犯了他人的知识产权，责任应该由谁承担？例如，如果一个AI内容生产智能体自主决定在其生成的文章中使用了他人的版权图片，侵权责任是归于智能体的用户、开发者还是模型提供商？现有版权法的"间接侵权"（Contributory Infringement）和"替代侵权"（Vicarious Liability）理论可以作为分析的起点，但它们能否充分适应AI智能体的技术特征仍存在很大争议[40]。</w:t>
      </w:r>
    </w:p>
    <w:p w14:paraId="4949B403">
      <w:pPr>
        <w:spacing w:before="120" w:after="60"/>
        <w:jc w:val="center"/>
      </w:pPr>
      <w:r>
        <w:rPr>
          <w:rFonts w:ascii="宋体" w:hAnsi="宋体" w:eastAsia="宋体"/>
          <w:b/>
          <w:sz w:val="18"/>
        </w:rPr>
        <w:t>表4  AI智能体涉及的关键伦理问题综合分析框架</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1D84B4FF">
        <w:trPr>
          <w:jc w:val="center"/>
        </w:trPr>
        <w:tc>
          <w:tcPr>
            <w:tcW w:w="1729" w:type="dxa"/>
            <w:shd w:val="clear" w:color="auto" w:fill="1A1A2E"/>
            <w:noWrap w:val="0"/>
            <w:vAlign w:val="top"/>
          </w:tcPr>
          <w:p w14:paraId="490258B3">
            <w:pPr>
              <w:spacing w:line="240" w:lineRule="auto"/>
              <w:jc w:val="center"/>
            </w:pPr>
            <w:r>
              <w:rPr>
                <w:rFonts w:ascii="宋体" w:hAnsi="宋体" w:eastAsia="宋体"/>
                <w:b/>
                <w:color w:val="FFFFFF"/>
                <w:sz w:val="15"/>
              </w:rPr>
              <w:t>伦理问题领域</w:t>
            </w:r>
          </w:p>
        </w:tc>
        <w:tc>
          <w:tcPr>
            <w:tcW w:w="1729" w:type="dxa"/>
            <w:shd w:val="clear" w:color="auto" w:fill="1A1A2E"/>
            <w:noWrap w:val="0"/>
            <w:vAlign w:val="top"/>
          </w:tcPr>
          <w:p w14:paraId="005476AD">
            <w:pPr>
              <w:spacing w:line="240" w:lineRule="auto"/>
              <w:jc w:val="center"/>
            </w:pPr>
            <w:r>
              <w:rPr>
                <w:rFonts w:ascii="宋体" w:hAnsi="宋体" w:eastAsia="宋体"/>
                <w:b/>
                <w:color w:val="FFFFFF"/>
                <w:sz w:val="15"/>
              </w:rPr>
              <w:t>教材核心观点</w:t>
            </w:r>
          </w:p>
        </w:tc>
        <w:tc>
          <w:tcPr>
            <w:tcW w:w="1729" w:type="dxa"/>
            <w:shd w:val="clear" w:color="auto" w:fill="1A1A2E"/>
            <w:noWrap w:val="0"/>
            <w:vAlign w:val="top"/>
          </w:tcPr>
          <w:p w14:paraId="4255CDB3">
            <w:pPr>
              <w:spacing w:line="240" w:lineRule="auto"/>
              <w:jc w:val="center"/>
            </w:pPr>
            <w:r>
              <w:rPr>
                <w:rFonts w:ascii="宋体" w:hAnsi="宋体" w:eastAsia="宋体"/>
                <w:b/>
                <w:color w:val="FFFFFF"/>
                <w:sz w:val="15"/>
              </w:rPr>
              <w:t>AI智能体场景的特殊挑战</w:t>
            </w:r>
          </w:p>
        </w:tc>
        <w:tc>
          <w:tcPr>
            <w:tcW w:w="1729" w:type="dxa"/>
            <w:shd w:val="clear" w:color="auto" w:fill="1A1A2E"/>
            <w:noWrap w:val="0"/>
            <w:vAlign w:val="top"/>
          </w:tcPr>
          <w:p w14:paraId="23AE73EF">
            <w:pPr>
              <w:spacing w:line="240" w:lineRule="auto"/>
              <w:jc w:val="center"/>
            </w:pPr>
            <w:r>
              <w:rPr>
                <w:rFonts w:ascii="宋体" w:hAnsi="宋体" w:eastAsia="宋体"/>
                <w:b/>
                <w:color w:val="FFFFFF"/>
                <w:sz w:val="15"/>
              </w:rPr>
              <w:t>利益相关方</w:t>
            </w:r>
          </w:p>
        </w:tc>
        <w:tc>
          <w:tcPr>
            <w:tcW w:w="1729" w:type="dxa"/>
            <w:shd w:val="clear" w:color="auto" w:fill="1A1A2E"/>
            <w:noWrap w:val="0"/>
            <w:vAlign w:val="top"/>
          </w:tcPr>
          <w:p w14:paraId="3305B099">
            <w:pPr>
              <w:spacing w:line="240" w:lineRule="auto"/>
              <w:jc w:val="center"/>
            </w:pPr>
            <w:r>
              <w:rPr>
                <w:rFonts w:ascii="宋体" w:hAnsi="宋体" w:eastAsia="宋体"/>
                <w:b/>
                <w:color w:val="FFFFFF"/>
                <w:sz w:val="15"/>
              </w:rPr>
              <w:t>现有治理工具</w:t>
            </w:r>
          </w:p>
        </w:tc>
      </w:tr>
      <w:tr w14:paraId="6A42BFC5">
        <w:trPr>
          <w:jc w:val="center"/>
        </w:trPr>
        <w:tc>
          <w:tcPr>
            <w:tcW w:w="1729" w:type="dxa"/>
            <w:noWrap w:val="0"/>
            <w:vAlign w:val="top"/>
          </w:tcPr>
          <w:p w14:paraId="2322C615">
            <w:pPr>
              <w:spacing w:line="240" w:lineRule="auto"/>
              <w:jc w:val="center"/>
            </w:pPr>
            <w:r>
              <w:rPr>
                <w:rFonts w:ascii="宋体" w:hAnsi="宋体" w:eastAsia="宋体"/>
                <w:sz w:val="15"/>
              </w:rPr>
              <w:t>IT职业道德</w:t>
            </w:r>
          </w:p>
        </w:tc>
        <w:tc>
          <w:tcPr>
            <w:tcW w:w="1729" w:type="dxa"/>
            <w:noWrap w:val="0"/>
            <w:vAlign w:val="top"/>
          </w:tcPr>
          <w:p w14:paraId="57FBE20E">
            <w:pPr>
              <w:spacing w:line="240" w:lineRule="auto"/>
              <w:jc w:val="center"/>
            </w:pPr>
            <w:r>
              <w:rPr>
                <w:rFonts w:ascii="宋体" w:hAnsi="宋体" w:eastAsia="宋体"/>
                <w:sz w:val="15"/>
              </w:rPr>
              <w:t>公众利益优先、避免伤害</w:t>
            </w:r>
            <w:r>
              <w:rPr>
                <w:rFonts w:ascii="宋体" w:hAnsi="宋体" w:eastAsia="宋体"/>
                <w:sz w:val="15"/>
              </w:rPr>
              <w:br w:type="textWrapping"/>
            </w:r>
            <w:r>
              <w:rPr>
                <w:rFonts w:ascii="宋体" w:hAnsi="宋体" w:eastAsia="宋体"/>
                <w:sz w:val="15"/>
              </w:rPr>
              <w:t>诚实守信、专业胜任</w:t>
            </w:r>
          </w:p>
        </w:tc>
        <w:tc>
          <w:tcPr>
            <w:tcW w:w="1729" w:type="dxa"/>
            <w:noWrap w:val="0"/>
            <w:vAlign w:val="top"/>
          </w:tcPr>
          <w:p w14:paraId="49C1A864">
            <w:pPr>
              <w:spacing w:line="240" w:lineRule="auto"/>
              <w:jc w:val="center"/>
            </w:pPr>
            <w:r>
              <w:rPr>
                <w:rFonts w:ascii="宋体" w:hAnsi="宋体" w:eastAsia="宋体"/>
                <w:sz w:val="15"/>
              </w:rPr>
              <w:t>伦理前置设计责任、持续</w:t>
            </w:r>
            <w:r>
              <w:rPr>
                <w:rFonts w:ascii="宋体" w:hAnsi="宋体" w:eastAsia="宋体"/>
                <w:sz w:val="15"/>
              </w:rPr>
              <w:br w:type="textWrapping"/>
            </w:r>
            <w:r>
              <w:rPr>
                <w:rFonts w:ascii="宋体" w:hAnsi="宋体" w:eastAsia="宋体"/>
                <w:sz w:val="15"/>
              </w:rPr>
              <w:t>监控义务、拒绝执行权</w:t>
            </w:r>
          </w:p>
        </w:tc>
        <w:tc>
          <w:tcPr>
            <w:tcW w:w="1729" w:type="dxa"/>
            <w:noWrap w:val="0"/>
            <w:vAlign w:val="top"/>
          </w:tcPr>
          <w:p w14:paraId="3F247127">
            <w:pPr>
              <w:spacing w:line="240" w:lineRule="auto"/>
              <w:jc w:val="center"/>
            </w:pPr>
            <w:r>
              <w:rPr>
                <w:rFonts w:ascii="宋体" w:hAnsi="宋体" w:eastAsia="宋体"/>
                <w:sz w:val="15"/>
              </w:rPr>
              <w:t>开发者、企业</w:t>
            </w:r>
            <w:r>
              <w:rPr>
                <w:rFonts w:ascii="宋体" w:hAnsi="宋体" w:eastAsia="宋体"/>
                <w:sz w:val="15"/>
              </w:rPr>
              <w:br w:type="textWrapping"/>
            </w:r>
            <w:r>
              <w:rPr>
                <w:rFonts w:ascii="宋体" w:hAnsi="宋体" w:eastAsia="宋体"/>
                <w:sz w:val="15"/>
              </w:rPr>
              <w:t>行业组织、监管机构</w:t>
            </w:r>
          </w:p>
        </w:tc>
        <w:tc>
          <w:tcPr>
            <w:tcW w:w="1729" w:type="dxa"/>
            <w:noWrap w:val="0"/>
            <w:vAlign w:val="top"/>
          </w:tcPr>
          <w:p w14:paraId="76159A0C">
            <w:pPr>
              <w:spacing w:line="240" w:lineRule="auto"/>
              <w:jc w:val="center"/>
            </w:pPr>
            <w:r>
              <w:rPr>
                <w:rFonts w:ascii="宋体" w:hAnsi="宋体" w:eastAsia="宋体"/>
                <w:sz w:val="15"/>
              </w:rPr>
              <w:t>ACM/IEEE伦理准则</w:t>
            </w:r>
            <w:r>
              <w:rPr>
                <w:rFonts w:ascii="宋体" w:hAnsi="宋体" w:eastAsia="宋体"/>
                <w:sz w:val="15"/>
              </w:rPr>
              <w:br w:type="textWrapping"/>
            </w:r>
            <w:r>
              <w:rPr>
                <w:rFonts w:ascii="宋体" w:hAnsi="宋体" w:eastAsia="宋体"/>
                <w:sz w:val="15"/>
              </w:rPr>
              <w:t>企业伦理委员会</w:t>
            </w:r>
          </w:p>
        </w:tc>
      </w:tr>
      <w:tr w14:paraId="3D1B4D45">
        <w:trPr>
          <w:jc w:val="center"/>
        </w:trPr>
        <w:tc>
          <w:tcPr>
            <w:tcW w:w="1729" w:type="dxa"/>
            <w:noWrap w:val="0"/>
            <w:vAlign w:val="top"/>
          </w:tcPr>
          <w:p w14:paraId="540B5477">
            <w:pPr>
              <w:spacing w:line="240" w:lineRule="auto"/>
              <w:jc w:val="center"/>
            </w:pPr>
            <w:r>
              <w:rPr>
                <w:rFonts w:ascii="宋体" w:hAnsi="宋体" w:eastAsia="宋体"/>
                <w:sz w:val="15"/>
              </w:rPr>
              <w:t>隐私保护</w:t>
            </w:r>
          </w:p>
        </w:tc>
        <w:tc>
          <w:tcPr>
            <w:tcW w:w="1729" w:type="dxa"/>
            <w:noWrap w:val="0"/>
            <w:vAlign w:val="top"/>
          </w:tcPr>
          <w:p w14:paraId="1617290A">
            <w:pPr>
              <w:spacing w:line="240" w:lineRule="auto"/>
              <w:jc w:val="center"/>
            </w:pPr>
            <w:r>
              <w:rPr>
                <w:rFonts w:ascii="宋体" w:hAnsi="宋体" w:eastAsia="宋体"/>
                <w:sz w:val="15"/>
              </w:rPr>
              <w:t>知情同意、目的限制</w:t>
            </w:r>
            <w:r>
              <w:rPr>
                <w:rFonts w:ascii="宋体" w:hAnsi="宋体" w:eastAsia="宋体"/>
                <w:sz w:val="15"/>
              </w:rPr>
              <w:br w:type="textWrapping"/>
            </w:r>
            <w:r>
              <w:rPr>
                <w:rFonts w:ascii="宋体" w:hAnsi="宋体" w:eastAsia="宋体"/>
                <w:sz w:val="15"/>
              </w:rPr>
              <w:t>数据最小化、安全保障</w:t>
            </w:r>
          </w:p>
        </w:tc>
        <w:tc>
          <w:tcPr>
            <w:tcW w:w="1729" w:type="dxa"/>
            <w:noWrap w:val="0"/>
            <w:vAlign w:val="top"/>
          </w:tcPr>
          <w:p w14:paraId="0D8FF0F7">
            <w:pPr>
              <w:spacing w:line="240" w:lineRule="auto"/>
              <w:jc w:val="center"/>
            </w:pPr>
            <w:r>
              <w:rPr>
                <w:rFonts w:ascii="宋体" w:hAnsi="宋体" w:eastAsia="宋体"/>
                <w:sz w:val="15"/>
              </w:rPr>
              <w:t>深度数据访问、跨上下文</w:t>
            </w:r>
            <w:r>
              <w:rPr>
                <w:rFonts w:ascii="宋体" w:hAnsi="宋体" w:eastAsia="宋体"/>
                <w:sz w:val="15"/>
              </w:rPr>
              <w:br w:type="textWrapping"/>
            </w:r>
            <w:r>
              <w:rPr>
                <w:rFonts w:ascii="宋体" w:hAnsi="宋体" w:eastAsia="宋体"/>
                <w:sz w:val="15"/>
              </w:rPr>
              <w:t>推断、提示注入攻击</w:t>
            </w:r>
            <w:r>
              <w:rPr>
                <w:rFonts w:ascii="宋体" w:hAnsi="宋体" w:eastAsia="宋体"/>
                <w:sz w:val="15"/>
              </w:rPr>
              <w:br w:type="textWrapping"/>
            </w:r>
            <w:r>
              <w:rPr>
                <w:rFonts w:ascii="宋体" w:hAnsi="宋体" w:eastAsia="宋体"/>
                <w:sz w:val="15"/>
              </w:rPr>
              <w:t>隐私代理困境</w:t>
            </w:r>
          </w:p>
        </w:tc>
        <w:tc>
          <w:tcPr>
            <w:tcW w:w="1729" w:type="dxa"/>
            <w:noWrap w:val="0"/>
            <w:vAlign w:val="top"/>
          </w:tcPr>
          <w:p w14:paraId="0909E23F">
            <w:pPr>
              <w:spacing w:line="240" w:lineRule="auto"/>
              <w:jc w:val="center"/>
            </w:pPr>
            <w:r>
              <w:rPr>
                <w:rFonts w:ascii="宋体" w:hAnsi="宋体" w:eastAsia="宋体"/>
                <w:sz w:val="15"/>
              </w:rPr>
              <w:t>用户、开发企业</w:t>
            </w:r>
            <w:r>
              <w:rPr>
                <w:rFonts w:ascii="宋体" w:hAnsi="宋体" w:eastAsia="宋体"/>
                <w:sz w:val="15"/>
              </w:rPr>
              <w:br w:type="textWrapping"/>
            </w:r>
            <w:r>
              <w:rPr>
                <w:rFonts w:ascii="宋体" w:hAnsi="宋体" w:eastAsia="宋体"/>
                <w:sz w:val="15"/>
              </w:rPr>
              <w:t>第三方服务商</w:t>
            </w:r>
            <w:r>
              <w:rPr>
                <w:rFonts w:ascii="宋体" w:hAnsi="宋体" w:eastAsia="宋体"/>
                <w:sz w:val="15"/>
              </w:rPr>
              <w:br w:type="textWrapping"/>
            </w:r>
            <w:r>
              <w:rPr>
                <w:rFonts w:ascii="宋体" w:hAnsi="宋体" w:eastAsia="宋体"/>
                <w:sz w:val="15"/>
              </w:rPr>
              <w:t>数据保护机构</w:t>
            </w:r>
          </w:p>
        </w:tc>
        <w:tc>
          <w:tcPr>
            <w:tcW w:w="1729" w:type="dxa"/>
            <w:noWrap w:val="0"/>
            <w:vAlign w:val="top"/>
          </w:tcPr>
          <w:p w14:paraId="1DBF729E">
            <w:pPr>
              <w:spacing w:line="240" w:lineRule="auto"/>
              <w:jc w:val="center"/>
            </w:pPr>
            <w:r>
              <w:rPr>
                <w:rFonts w:ascii="宋体" w:hAnsi="宋体" w:eastAsia="宋体"/>
                <w:sz w:val="15"/>
              </w:rPr>
              <w:t>GDPR、个人信息保护法</w:t>
            </w:r>
            <w:r>
              <w:rPr>
                <w:rFonts w:ascii="宋体" w:hAnsi="宋体" w:eastAsia="宋体"/>
                <w:sz w:val="15"/>
              </w:rPr>
              <w:br w:type="textWrapping"/>
            </w:r>
            <w:r>
              <w:rPr>
                <w:rFonts w:ascii="宋体" w:hAnsi="宋体" w:eastAsia="宋体"/>
                <w:sz w:val="15"/>
              </w:rPr>
              <w:t>PETs技术</w:t>
            </w:r>
          </w:p>
        </w:tc>
      </w:tr>
      <w:tr w14:paraId="3627A3D6">
        <w:trPr>
          <w:jc w:val="center"/>
        </w:trPr>
        <w:tc>
          <w:tcPr>
            <w:tcW w:w="1729" w:type="dxa"/>
            <w:noWrap w:val="0"/>
            <w:vAlign w:val="top"/>
          </w:tcPr>
          <w:p w14:paraId="49FBCA59">
            <w:pPr>
              <w:spacing w:line="240" w:lineRule="auto"/>
              <w:jc w:val="center"/>
            </w:pPr>
            <w:r>
              <w:rPr>
                <w:rFonts w:ascii="宋体" w:hAnsi="宋体" w:eastAsia="宋体"/>
                <w:sz w:val="15"/>
              </w:rPr>
              <w:t>知识产权</w:t>
            </w:r>
          </w:p>
        </w:tc>
        <w:tc>
          <w:tcPr>
            <w:tcW w:w="1729" w:type="dxa"/>
            <w:noWrap w:val="0"/>
            <w:vAlign w:val="top"/>
          </w:tcPr>
          <w:p w14:paraId="5F17CCE6">
            <w:pPr>
              <w:spacing w:line="240" w:lineRule="auto"/>
              <w:jc w:val="center"/>
            </w:pPr>
            <w:r>
              <w:rPr>
                <w:rFonts w:ascii="宋体" w:hAnsi="宋体" w:eastAsia="宋体"/>
                <w:sz w:val="15"/>
              </w:rPr>
              <w:t>创新激励与知识共享平衡</w:t>
            </w:r>
            <w:r>
              <w:rPr>
                <w:rFonts w:ascii="宋体" w:hAnsi="宋体" w:eastAsia="宋体"/>
                <w:sz w:val="15"/>
              </w:rPr>
              <w:br w:type="textWrapping"/>
            </w:r>
            <w:r>
              <w:rPr>
                <w:rFonts w:ascii="宋体" w:hAnsi="宋体" w:eastAsia="宋体"/>
                <w:sz w:val="15"/>
              </w:rPr>
              <w:t>合理使用原则</w:t>
            </w:r>
          </w:p>
        </w:tc>
        <w:tc>
          <w:tcPr>
            <w:tcW w:w="1729" w:type="dxa"/>
            <w:noWrap w:val="0"/>
            <w:vAlign w:val="top"/>
          </w:tcPr>
          <w:p w14:paraId="61B5A26D">
            <w:pPr>
              <w:spacing w:line="240" w:lineRule="auto"/>
              <w:jc w:val="center"/>
            </w:pPr>
            <w:r>
              <w:rPr>
                <w:rFonts w:ascii="宋体" w:hAnsi="宋体" w:eastAsia="宋体"/>
                <w:sz w:val="15"/>
              </w:rPr>
              <w:t>训练数据侵权、生成内容</w:t>
            </w:r>
            <w:r>
              <w:rPr>
                <w:rFonts w:ascii="宋体" w:hAnsi="宋体" w:eastAsia="宋体"/>
                <w:sz w:val="15"/>
              </w:rPr>
              <w:br w:type="textWrapping"/>
            </w:r>
            <w:r>
              <w:rPr>
                <w:rFonts w:ascii="宋体" w:hAnsi="宋体" w:eastAsia="宋体"/>
                <w:sz w:val="15"/>
              </w:rPr>
              <w:t>版权、开源许可传染</w:t>
            </w:r>
            <w:r>
              <w:rPr>
                <w:rFonts w:ascii="宋体" w:hAnsi="宋体" w:eastAsia="宋体"/>
                <w:sz w:val="15"/>
              </w:rPr>
              <w:br w:type="textWrapping"/>
            </w:r>
            <w:r>
              <w:rPr>
                <w:rFonts w:ascii="宋体" w:hAnsi="宋体" w:eastAsia="宋体"/>
                <w:sz w:val="15"/>
              </w:rPr>
              <w:t>责任归属模糊</w:t>
            </w:r>
          </w:p>
        </w:tc>
        <w:tc>
          <w:tcPr>
            <w:tcW w:w="1729" w:type="dxa"/>
            <w:noWrap w:val="0"/>
            <w:vAlign w:val="top"/>
          </w:tcPr>
          <w:p w14:paraId="63F6FF0B">
            <w:pPr>
              <w:spacing w:line="240" w:lineRule="auto"/>
              <w:jc w:val="center"/>
            </w:pPr>
            <w:r>
              <w:rPr>
                <w:rFonts w:ascii="宋体" w:hAnsi="宋体" w:eastAsia="宋体"/>
                <w:sz w:val="15"/>
              </w:rPr>
              <w:t>创作者、AI企业</w:t>
            </w:r>
            <w:r>
              <w:rPr>
                <w:rFonts w:ascii="宋体" w:hAnsi="宋体" w:eastAsia="宋体"/>
                <w:sz w:val="15"/>
              </w:rPr>
              <w:br w:type="textWrapping"/>
            </w:r>
            <w:r>
              <w:rPr>
                <w:rFonts w:ascii="宋体" w:hAnsi="宋体" w:eastAsia="宋体"/>
                <w:sz w:val="15"/>
              </w:rPr>
              <w:t>用户、开源社区</w:t>
            </w:r>
          </w:p>
        </w:tc>
        <w:tc>
          <w:tcPr>
            <w:tcW w:w="1729" w:type="dxa"/>
            <w:noWrap w:val="0"/>
            <w:vAlign w:val="top"/>
          </w:tcPr>
          <w:p w14:paraId="2086B2DF">
            <w:pPr>
              <w:spacing w:line="240" w:lineRule="auto"/>
              <w:jc w:val="center"/>
            </w:pPr>
            <w:r>
              <w:rPr>
                <w:rFonts w:ascii="宋体" w:hAnsi="宋体" w:eastAsia="宋体"/>
                <w:sz w:val="15"/>
              </w:rPr>
              <w:t>版权法、开源许可</w:t>
            </w:r>
            <w:r>
              <w:rPr>
                <w:rFonts w:ascii="宋体" w:hAnsi="宋体" w:eastAsia="宋体"/>
                <w:sz w:val="15"/>
              </w:rPr>
              <w:br w:type="textWrapping"/>
            </w:r>
            <w:r>
              <w:rPr>
                <w:rFonts w:ascii="宋体" w:hAnsi="宋体" w:eastAsia="宋体"/>
                <w:sz w:val="15"/>
              </w:rPr>
              <w:t>版权局政策指引</w:t>
            </w:r>
          </w:p>
        </w:tc>
      </w:tr>
      <w:tr w14:paraId="59BB76F2">
        <w:trPr>
          <w:jc w:val="center"/>
        </w:trPr>
        <w:tc>
          <w:tcPr>
            <w:tcW w:w="1729" w:type="dxa"/>
            <w:noWrap w:val="0"/>
            <w:vAlign w:val="top"/>
          </w:tcPr>
          <w:p w14:paraId="7F127CA6">
            <w:pPr>
              <w:spacing w:line="240" w:lineRule="auto"/>
              <w:jc w:val="center"/>
            </w:pPr>
            <w:r>
              <w:rPr>
                <w:rFonts w:ascii="宋体" w:hAnsi="宋体" w:eastAsia="宋体"/>
                <w:sz w:val="15"/>
              </w:rPr>
              <w:t>算法公平</w:t>
            </w:r>
          </w:p>
        </w:tc>
        <w:tc>
          <w:tcPr>
            <w:tcW w:w="1729" w:type="dxa"/>
            <w:noWrap w:val="0"/>
            <w:vAlign w:val="top"/>
          </w:tcPr>
          <w:p w14:paraId="00C62438">
            <w:pPr>
              <w:spacing w:line="240" w:lineRule="auto"/>
              <w:jc w:val="center"/>
            </w:pPr>
            <w:r>
              <w:rPr>
                <w:rFonts w:ascii="宋体" w:hAnsi="宋体" w:eastAsia="宋体"/>
                <w:sz w:val="15"/>
              </w:rPr>
              <w:t>算法透明、非歧视</w:t>
            </w:r>
            <w:r>
              <w:rPr>
                <w:rFonts w:ascii="宋体" w:hAnsi="宋体" w:eastAsia="宋体"/>
                <w:sz w:val="15"/>
              </w:rPr>
              <w:br w:type="textWrapping"/>
            </w:r>
            <w:r>
              <w:rPr>
                <w:rFonts w:ascii="宋体" w:hAnsi="宋体" w:eastAsia="宋体"/>
                <w:sz w:val="15"/>
              </w:rPr>
              <w:t>可解释性、程序正义</w:t>
            </w:r>
          </w:p>
        </w:tc>
        <w:tc>
          <w:tcPr>
            <w:tcW w:w="1729" w:type="dxa"/>
            <w:noWrap w:val="0"/>
            <w:vAlign w:val="top"/>
          </w:tcPr>
          <w:p w14:paraId="79CCB616">
            <w:pPr>
              <w:spacing w:line="240" w:lineRule="auto"/>
              <w:jc w:val="center"/>
            </w:pPr>
            <w:r>
              <w:rPr>
                <w:rFonts w:ascii="宋体" w:hAnsi="宋体" w:eastAsia="宋体"/>
                <w:sz w:val="15"/>
              </w:rPr>
              <w:t>代理歧视、反馈循环放大</w:t>
            </w:r>
            <w:r>
              <w:rPr>
                <w:rFonts w:ascii="宋体" w:hAnsi="宋体" w:eastAsia="宋体"/>
                <w:sz w:val="15"/>
              </w:rPr>
              <w:br w:type="textWrapping"/>
            </w:r>
            <w:r>
              <w:rPr>
                <w:rFonts w:ascii="宋体" w:hAnsi="宋体" w:eastAsia="宋体"/>
                <w:sz w:val="15"/>
              </w:rPr>
              <w:t>公平性指标的多元冲突</w:t>
            </w:r>
          </w:p>
        </w:tc>
        <w:tc>
          <w:tcPr>
            <w:tcW w:w="1729" w:type="dxa"/>
            <w:noWrap w:val="0"/>
            <w:vAlign w:val="top"/>
          </w:tcPr>
          <w:p w14:paraId="3A3689C6">
            <w:pPr>
              <w:spacing w:line="240" w:lineRule="auto"/>
              <w:jc w:val="center"/>
            </w:pPr>
            <w:r>
              <w:rPr>
                <w:rFonts w:ascii="宋体" w:hAnsi="宋体" w:eastAsia="宋体"/>
                <w:sz w:val="15"/>
              </w:rPr>
              <w:t>受影响群体、开发者</w:t>
            </w:r>
            <w:r>
              <w:rPr>
                <w:rFonts w:ascii="宋体" w:hAnsi="宋体" w:eastAsia="宋体"/>
                <w:sz w:val="15"/>
              </w:rPr>
              <w:br w:type="textWrapping"/>
            </w:r>
            <w:r>
              <w:rPr>
                <w:rFonts w:ascii="宋体" w:hAnsi="宋体" w:eastAsia="宋体"/>
                <w:sz w:val="15"/>
              </w:rPr>
              <w:t>审计机构</w:t>
            </w:r>
          </w:p>
        </w:tc>
        <w:tc>
          <w:tcPr>
            <w:tcW w:w="1729" w:type="dxa"/>
            <w:noWrap w:val="0"/>
            <w:vAlign w:val="top"/>
          </w:tcPr>
          <w:p w14:paraId="725C7309">
            <w:pPr>
              <w:spacing w:line="240" w:lineRule="auto"/>
              <w:jc w:val="center"/>
            </w:pPr>
            <w:r>
              <w:rPr>
                <w:rFonts w:ascii="宋体" w:hAnsi="宋体" w:eastAsia="宋体"/>
                <w:sz w:val="15"/>
              </w:rPr>
              <w:t>算法影响评估</w:t>
            </w:r>
            <w:r>
              <w:rPr>
                <w:rFonts w:ascii="宋体" w:hAnsi="宋体" w:eastAsia="宋体"/>
                <w:sz w:val="15"/>
              </w:rPr>
              <w:br w:type="textWrapping"/>
            </w:r>
            <w:r>
              <w:rPr>
                <w:rFonts w:ascii="宋体" w:hAnsi="宋体" w:eastAsia="宋体"/>
                <w:sz w:val="15"/>
              </w:rPr>
              <w:t>公平性审计工具</w:t>
            </w:r>
          </w:p>
        </w:tc>
      </w:tr>
      <w:tr w14:paraId="3E3B5587">
        <w:trPr>
          <w:jc w:val="center"/>
        </w:trPr>
        <w:tc>
          <w:tcPr>
            <w:tcW w:w="1729" w:type="dxa"/>
            <w:noWrap w:val="0"/>
            <w:vAlign w:val="top"/>
          </w:tcPr>
          <w:p w14:paraId="1CF4F678">
            <w:pPr>
              <w:spacing w:line="240" w:lineRule="auto"/>
              <w:jc w:val="center"/>
            </w:pPr>
            <w:r>
              <w:rPr>
                <w:rFonts w:ascii="宋体" w:hAnsi="宋体" w:eastAsia="宋体"/>
                <w:sz w:val="15"/>
              </w:rPr>
              <w:t>安全与责任</w:t>
            </w:r>
          </w:p>
        </w:tc>
        <w:tc>
          <w:tcPr>
            <w:tcW w:w="1729" w:type="dxa"/>
            <w:noWrap w:val="0"/>
            <w:vAlign w:val="top"/>
          </w:tcPr>
          <w:p w14:paraId="700666A1">
            <w:pPr>
              <w:spacing w:line="240" w:lineRule="auto"/>
              <w:jc w:val="center"/>
            </w:pPr>
            <w:r>
              <w:rPr>
                <w:rFonts w:ascii="宋体" w:hAnsi="宋体" w:eastAsia="宋体"/>
                <w:sz w:val="15"/>
              </w:rPr>
              <w:t>安全设计、风险预防</w:t>
            </w:r>
            <w:r>
              <w:rPr>
                <w:rFonts w:ascii="宋体" w:hAnsi="宋体" w:eastAsia="宋体"/>
                <w:sz w:val="15"/>
              </w:rPr>
              <w:br w:type="textWrapping"/>
            </w:r>
            <w:r>
              <w:rPr>
                <w:rFonts w:ascii="宋体" w:hAnsi="宋体" w:eastAsia="宋体"/>
                <w:sz w:val="15"/>
              </w:rPr>
              <w:t>责任归属、可救济性</w:t>
            </w:r>
          </w:p>
        </w:tc>
        <w:tc>
          <w:tcPr>
            <w:tcW w:w="1729" w:type="dxa"/>
            <w:noWrap w:val="0"/>
            <w:vAlign w:val="top"/>
          </w:tcPr>
          <w:p w14:paraId="4C8FB501">
            <w:pPr>
              <w:spacing w:line="240" w:lineRule="auto"/>
              <w:jc w:val="center"/>
            </w:pPr>
            <w:r>
              <w:rPr>
                <w:rFonts w:ascii="宋体" w:hAnsi="宋体" w:eastAsia="宋体"/>
                <w:sz w:val="15"/>
              </w:rPr>
              <w:t>幻觉致害、自动化执行</w:t>
            </w:r>
            <w:r>
              <w:rPr>
                <w:rFonts w:ascii="宋体" w:hAnsi="宋体" w:eastAsia="宋体"/>
                <w:sz w:val="15"/>
              </w:rPr>
              <w:br w:type="textWrapping"/>
            </w:r>
            <w:r>
              <w:rPr>
                <w:rFonts w:ascii="宋体" w:hAnsi="宋体" w:eastAsia="宋体"/>
                <w:sz w:val="15"/>
              </w:rPr>
              <w:t>间接提示注入、多手问题</w:t>
            </w:r>
          </w:p>
        </w:tc>
        <w:tc>
          <w:tcPr>
            <w:tcW w:w="1729" w:type="dxa"/>
            <w:noWrap w:val="0"/>
            <w:vAlign w:val="top"/>
          </w:tcPr>
          <w:p w14:paraId="698F697A">
            <w:pPr>
              <w:spacing w:line="240" w:lineRule="auto"/>
              <w:jc w:val="center"/>
            </w:pPr>
            <w:r>
              <w:rPr>
                <w:rFonts w:ascii="宋体" w:hAnsi="宋体" w:eastAsia="宋体"/>
                <w:sz w:val="15"/>
              </w:rPr>
              <w:t>用户、企业</w:t>
            </w:r>
            <w:r>
              <w:rPr>
                <w:rFonts w:ascii="宋体" w:hAnsi="宋体" w:eastAsia="宋体"/>
                <w:sz w:val="15"/>
              </w:rPr>
              <w:br w:type="textWrapping"/>
            </w:r>
            <w:r>
              <w:rPr>
                <w:rFonts w:ascii="宋体" w:hAnsi="宋体" w:eastAsia="宋体"/>
                <w:sz w:val="15"/>
              </w:rPr>
              <w:t>保险公司、法院</w:t>
            </w:r>
          </w:p>
        </w:tc>
        <w:tc>
          <w:tcPr>
            <w:tcW w:w="1729" w:type="dxa"/>
            <w:noWrap w:val="0"/>
            <w:vAlign w:val="top"/>
          </w:tcPr>
          <w:p w14:paraId="6D5FD364">
            <w:pPr>
              <w:spacing w:line="240" w:lineRule="auto"/>
              <w:jc w:val="center"/>
            </w:pPr>
            <w:r>
              <w:rPr>
                <w:rFonts w:ascii="宋体" w:hAnsi="宋体" w:eastAsia="宋体"/>
                <w:sz w:val="15"/>
              </w:rPr>
              <w:t>责任保险、沙盒测试</w:t>
            </w:r>
            <w:r>
              <w:rPr>
                <w:rFonts w:ascii="宋体" w:hAnsi="宋体" w:eastAsia="宋体"/>
                <w:sz w:val="15"/>
              </w:rPr>
              <w:br w:type="textWrapping"/>
            </w:r>
            <w:r>
              <w:rPr>
                <w:rFonts w:ascii="宋体" w:hAnsi="宋体" w:eastAsia="宋体"/>
                <w:sz w:val="15"/>
              </w:rPr>
              <w:t>红队评估</w:t>
            </w:r>
          </w:p>
        </w:tc>
      </w:tr>
      <w:tr w14:paraId="5173D179">
        <w:trPr>
          <w:jc w:val="center"/>
        </w:trPr>
        <w:tc>
          <w:tcPr>
            <w:tcW w:w="1729" w:type="dxa"/>
            <w:noWrap w:val="0"/>
            <w:vAlign w:val="top"/>
          </w:tcPr>
          <w:p w14:paraId="2778F074">
            <w:pPr>
              <w:spacing w:line="240" w:lineRule="auto"/>
              <w:jc w:val="center"/>
            </w:pPr>
            <w:r>
              <w:rPr>
                <w:rFonts w:ascii="宋体" w:hAnsi="宋体" w:eastAsia="宋体"/>
                <w:sz w:val="15"/>
              </w:rPr>
              <w:t>人机关系</w:t>
            </w:r>
          </w:p>
        </w:tc>
        <w:tc>
          <w:tcPr>
            <w:tcW w:w="1729" w:type="dxa"/>
            <w:noWrap w:val="0"/>
            <w:vAlign w:val="top"/>
          </w:tcPr>
          <w:p w14:paraId="159DF226">
            <w:pPr>
              <w:spacing w:line="240" w:lineRule="auto"/>
              <w:jc w:val="center"/>
            </w:pPr>
            <w:r>
              <w:rPr>
                <w:rFonts w:ascii="宋体" w:hAnsi="宋体" w:eastAsia="宋体"/>
                <w:sz w:val="15"/>
              </w:rPr>
              <w:t>人类自主性、人的尊严</w:t>
            </w:r>
            <w:r>
              <w:rPr>
                <w:rFonts w:ascii="宋体" w:hAnsi="宋体" w:eastAsia="宋体"/>
                <w:sz w:val="15"/>
              </w:rPr>
              <w:br w:type="textWrapping"/>
            </w:r>
            <w:r>
              <w:rPr>
                <w:rFonts w:ascii="宋体" w:hAnsi="宋体" w:eastAsia="宋体"/>
                <w:sz w:val="15"/>
              </w:rPr>
              <w:t>技术异化</w:t>
            </w:r>
          </w:p>
        </w:tc>
        <w:tc>
          <w:tcPr>
            <w:tcW w:w="1729" w:type="dxa"/>
            <w:noWrap w:val="0"/>
            <w:vAlign w:val="top"/>
          </w:tcPr>
          <w:p w14:paraId="66189C20">
            <w:pPr>
              <w:spacing w:line="240" w:lineRule="auto"/>
              <w:jc w:val="center"/>
            </w:pPr>
            <w:r>
              <w:rPr>
                <w:rFonts w:ascii="宋体" w:hAnsi="宋体" w:eastAsia="宋体"/>
                <w:sz w:val="15"/>
              </w:rPr>
              <w:t>过度依赖、技能贬值</w:t>
            </w:r>
            <w:r>
              <w:rPr>
                <w:rFonts w:ascii="宋体" w:hAnsi="宋体" w:eastAsia="宋体"/>
                <w:sz w:val="15"/>
              </w:rPr>
              <w:br w:type="textWrapping"/>
            </w:r>
            <w:r>
              <w:rPr>
                <w:rFonts w:ascii="宋体" w:hAnsi="宋体" w:eastAsia="宋体"/>
                <w:sz w:val="15"/>
              </w:rPr>
              <w:t>人机信任失衡</w:t>
            </w:r>
          </w:p>
        </w:tc>
        <w:tc>
          <w:tcPr>
            <w:tcW w:w="1729" w:type="dxa"/>
            <w:noWrap w:val="0"/>
            <w:vAlign w:val="top"/>
          </w:tcPr>
          <w:p w14:paraId="4CB330C2">
            <w:pPr>
              <w:spacing w:line="240" w:lineRule="auto"/>
              <w:jc w:val="center"/>
            </w:pPr>
            <w:r>
              <w:rPr>
                <w:rFonts w:ascii="宋体" w:hAnsi="宋体" w:eastAsia="宋体"/>
                <w:sz w:val="15"/>
              </w:rPr>
              <w:t>终端用户、教育机构</w:t>
            </w:r>
            <w:r>
              <w:rPr>
                <w:rFonts w:ascii="宋体" w:hAnsi="宋体" w:eastAsia="宋体"/>
                <w:sz w:val="15"/>
              </w:rPr>
              <w:br w:type="textWrapping"/>
            </w:r>
            <w:r>
              <w:rPr>
                <w:rFonts w:ascii="宋体" w:hAnsi="宋体" w:eastAsia="宋体"/>
                <w:sz w:val="15"/>
              </w:rPr>
              <w:t>用人单位</w:t>
            </w:r>
          </w:p>
        </w:tc>
        <w:tc>
          <w:tcPr>
            <w:tcW w:w="1729" w:type="dxa"/>
            <w:noWrap w:val="0"/>
            <w:vAlign w:val="top"/>
          </w:tcPr>
          <w:p w14:paraId="40A7F2C1">
            <w:pPr>
              <w:spacing w:line="240" w:lineRule="auto"/>
              <w:jc w:val="center"/>
            </w:pPr>
            <w:r>
              <w:rPr>
                <w:rFonts w:ascii="宋体" w:hAnsi="宋体" w:eastAsia="宋体"/>
                <w:sz w:val="15"/>
              </w:rPr>
              <w:t>人机交互设计原则</w:t>
            </w:r>
            <w:r>
              <w:rPr>
                <w:rFonts w:ascii="宋体" w:hAnsi="宋体" w:eastAsia="宋体"/>
                <w:sz w:val="15"/>
              </w:rPr>
              <w:br w:type="textWrapping"/>
            </w:r>
            <w:r>
              <w:rPr>
                <w:rFonts w:ascii="宋体" w:hAnsi="宋体" w:eastAsia="宋体"/>
                <w:sz w:val="15"/>
              </w:rPr>
              <w:t>AI素养教育</w:t>
            </w:r>
          </w:p>
        </w:tc>
      </w:tr>
    </w:tbl>
    <w:p w14:paraId="6A4207E5">
      <w:pPr>
        <w:spacing w:before="120" w:after="60"/>
        <w:jc w:val="center"/>
        <w:rPr>
          <w:rFonts w:ascii="宋体" w:hAnsi="宋体" w:eastAsia="宋体"/>
          <w:b/>
          <w:sz w:val="18"/>
        </w:rPr>
      </w:pPr>
    </w:p>
    <w:p w14:paraId="56447F00">
      <w:pPr>
        <w:pStyle w:val="3"/>
      </w:pPr>
      <w:r>
        <w:rPr>
          <w:rFonts w:ascii="黑体" w:hAnsi="黑体" w:eastAsia="黑体"/>
        </w:rPr>
        <w:t>4.4 算法公平与安全责任</w:t>
      </w:r>
    </w:p>
    <w:p w14:paraId="39D1B5C2">
      <w:pPr>
        <w:pStyle w:val="4"/>
      </w:pPr>
      <w:r>
        <w:rPr>
          <w:rFonts w:ascii="黑体" w:hAnsi="黑体" w:eastAsia="黑体"/>
        </w:rPr>
        <w:t>4.4.1 算法公平的多维困境</w:t>
      </w:r>
    </w:p>
    <w:p w14:paraId="62F6B328">
      <w:pPr>
        <w:spacing w:before="0" w:after="0" w:line="240" w:lineRule="auto"/>
        <w:ind w:firstLine="420"/>
        <w:rPr>
          <w:rFonts w:ascii="宋体" w:hAnsi="宋体" w:eastAsia="宋体"/>
          <w:b w:val="0"/>
          <w:i w:val="0"/>
          <w:sz w:val="21"/>
        </w:rPr>
      </w:pPr>
      <w:r>
        <w:rPr>
          <w:rFonts w:ascii="宋体" w:hAnsi="宋体" w:eastAsia="宋体"/>
          <w:b w:val="0"/>
          <w:i w:val="0"/>
          <w:sz w:val="21"/>
        </w:rPr>
        <w:t>算法公平性并非一个单一、明确的概念，而是包含多种相互竞争的公平性定义和衡量标准。教材第7章讨论了算法歧视的多种形态，包括直接歧视、间接歧视和系统性歧视。</w:t>
      </w:r>
      <w:r>
        <w:rPr>
          <w:rFonts w:hint="eastAsia" w:ascii="宋体" w:hAnsi="宋体" w:eastAsia="宋体"/>
          <w:b w:val="0"/>
          <w:i w:val="0"/>
          <w:sz w:val="21"/>
          <w:lang w:val="en-US" w:eastAsia="zh-CN"/>
        </w:rPr>
        <w:t>教材</w:t>
      </w:r>
      <w:r>
        <w:rPr>
          <w:rFonts w:ascii="宋体" w:hAnsi="宋体" w:eastAsia="宋体"/>
          <w:b w:val="0"/>
          <w:sz w:val="21"/>
        </w:rPr>
        <w:t>第9章（安全篇）从"对抗AI犯罪与滥用"的角度讨论了算法歧视的多种形态，包括直接歧视、间接歧视和系统性歧视，并特别警示了AI系统将人类偏见"自动化、规模化、隐蔽化"的独特风险</w:t>
      </w:r>
      <w:r>
        <w:rPr>
          <w:rFonts w:hint="eastAsia" w:ascii="宋体" w:hAnsi="宋体" w:eastAsia="宋体"/>
          <w:b w:val="0"/>
          <w:sz w:val="21"/>
          <w:lang w:eastAsia="zh-CN"/>
        </w:rPr>
        <w:t>。</w:t>
      </w:r>
      <w:r>
        <w:rPr>
          <w:rFonts w:ascii="宋体" w:hAnsi="宋体" w:eastAsia="宋体"/>
          <w:b w:val="0"/>
          <w:i w:val="0"/>
          <w:sz w:val="21"/>
        </w:rPr>
        <w:t>在AI智能体场景中，算法公平面临更为复杂的技术和伦理挑战。</w:t>
      </w:r>
    </w:p>
    <w:p w14:paraId="0CF1D48D">
      <w:pPr>
        <w:spacing w:before="0" w:after="0" w:line="240" w:lineRule="auto"/>
        <w:ind w:firstLine="420"/>
        <w:rPr>
          <w:rFonts w:ascii="宋体" w:hAnsi="宋体" w:eastAsia="宋体"/>
          <w:b w:val="0"/>
          <w:i w:val="0"/>
          <w:sz w:val="21"/>
        </w:rPr>
      </w:pPr>
    </w:p>
    <w:p w14:paraId="56286F87">
      <w:pPr>
        <w:spacing w:before="0" w:after="0" w:line="240" w:lineRule="auto"/>
        <w:ind w:firstLine="420"/>
        <w:rPr>
          <w:rFonts w:ascii="宋体" w:hAnsi="宋体" w:eastAsia="宋体"/>
          <w:b w:val="0"/>
          <w:i w:val="0"/>
          <w:sz w:val="21"/>
        </w:rPr>
      </w:pPr>
      <w:r>
        <w:rPr>
          <w:rFonts w:ascii="宋体" w:hAnsi="宋体" w:eastAsia="宋体"/>
          <w:b w:val="0"/>
          <w:i w:val="0"/>
          <w:sz w:val="21"/>
        </w:rPr>
        <w:t>公平性度量的不可兼容性：计算机科学的研究已证明，多个常见的公平性指标（如统计均等、机会均等、个体公平）不可能在所有情况下同时满足，除非在极为特殊的条件下[41]。这意味着开发者和监管者必须在不同的公平性观念之间做出选择，而这些选择本质上涉及价值判断，不能仅由技术手段解决。例如，在AI信贷审批智能体中，统计均等要求批准率在各群体间相等，这可能意味着对某些群体放宽标准（增加违约风险），而对另一些群体收紧标准（排除可能合格的申请人）。哪种公平性定义更"公正"，取决于社会的价值选择，而非技术参数。</w:t>
      </w:r>
    </w:p>
    <w:p w14:paraId="4B687402">
      <w:pPr>
        <w:spacing w:before="0" w:after="0" w:line="240" w:lineRule="auto"/>
        <w:ind w:firstLine="420"/>
        <w:rPr>
          <w:rFonts w:ascii="宋体" w:hAnsi="宋体" w:eastAsia="宋体"/>
          <w:b w:val="0"/>
          <w:i w:val="0"/>
          <w:sz w:val="21"/>
        </w:rPr>
      </w:pPr>
    </w:p>
    <w:p w14:paraId="4D8D6053">
      <w:pPr>
        <w:spacing w:before="0" w:after="0" w:line="240" w:lineRule="auto"/>
        <w:ind w:firstLine="420"/>
        <w:rPr>
          <w:rFonts w:ascii="宋体" w:hAnsi="宋体" w:eastAsia="宋体"/>
          <w:b w:val="0"/>
          <w:i w:val="0"/>
          <w:sz w:val="21"/>
        </w:rPr>
      </w:pPr>
      <w:r>
        <w:rPr>
          <w:rFonts w:ascii="宋体" w:hAnsi="宋体" w:eastAsia="宋体"/>
          <w:b w:val="0"/>
          <w:i w:val="0"/>
          <w:sz w:val="21"/>
        </w:rPr>
        <w:t>训练数据偏见的代际传递：AI智能体不仅反映训练数据中的历史偏见，还可能通过部署后的反馈循环将其固化和放大。在招聘场景中，如果历史数据中男性在技术岗位的比例更高，AI招聘智能体可能将此学习为"偏好信号"，在筛选简历时系统性降低女性申请者的评分，从而导致公司录用更少的女性候选人，进而在下一轮训练数据中进一步强化性别失衡——形成自我实现的歧视循环。</w:t>
      </w:r>
    </w:p>
    <w:p w14:paraId="771C0803">
      <w:pPr>
        <w:spacing w:before="0" w:after="0" w:line="240" w:lineRule="auto"/>
        <w:ind w:firstLine="420"/>
        <w:rPr>
          <w:rFonts w:ascii="宋体" w:hAnsi="宋体" w:eastAsia="宋体"/>
          <w:b w:val="0"/>
          <w:i w:val="0"/>
          <w:sz w:val="21"/>
        </w:rPr>
      </w:pPr>
    </w:p>
    <w:p w14:paraId="2DD1BA1A">
      <w:pPr>
        <w:pStyle w:val="4"/>
      </w:pPr>
      <w:r>
        <w:rPr>
          <w:rFonts w:ascii="黑体" w:hAnsi="黑体" w:eastAsia="黑体"/>
        </w:rPr>
        <w:t>4.4.2 安全风险与多层次防护</w:t>
      </w:r>
    </w:p>
    <w:p w14:paraId="327C9888">
      <w:pPr>
        <w:spacing w:before="0" w:after="0" w:line="240" w:lineRule="auto"/>
        <w:ind w:firstLine="420"/>
        <w:rPr>
          <w:rFonts w:ascii="宋体" w:hAnsi="宋体" w:eastAsia="宋体"/>
          <w:b w:val="0"/>
          <w:i w:val="0"/>
          <w:sz w:val="21"/>
        </w:rPr>
      </w:pPr>
      <w:r>
        <w:rPr>
          <w:rFonts w:ascii="宋体" w:hAnsi="宋体" w:eastAsia="宋体"/>
          <w:b w:val="0"/>
          <w:i w:val="0"/>
          <w:sz w:val="21"/>
        </w:rPr>
        <w:t>AI智能体的安全风险具有多层次、多向量的特征。除了传统的网络安全威胁（如数据泄露、拒绝服务攻击）外，AI智能体还面临以下特有的安全挑战</w:t>
      </w:r>
      <w:r>
        <w:rPr>
          <w:rFonts w:hint="eastAsia" w:ascii="宋体" w:hAnsi="宋体" w:eastAsia="宋体"/>
          <w:b w:val="0"/>
          <w:i w:val="0"/>
          <w:sz w:val="21"/>
          <w:lang w:eastAsia="zh-CN"/>
        </w:rPr>
        <w:t>，</w:t>
      </w:r>
      <w:r>
        <w:rPr>
          <w:rFonts w:hint="eastAsia" w:ascii="宋体" w:hAnsi="宋体" w:eastAsia="宋体"/>
          <w:b w:val="0"/>
          <w:i w:val="0"/>
          <w:sz w:val="21"/>
          <w:lang w:val="en-US" w:eastAsia="zh-CN"/>
        </w:rPr>
        <w:t>如</w:t>
      </w:r>
      <w:r>
        <w:rPr>
          <w:rFonts w:hint="eastAsia" w:ascii="宋体" w:hAnsi="宋体" w:eastAsia="宋体"/>
          <w:b w:val="0"/>
          <w:i w:val="0"/>
          <w:sz w:val="21"/>
          <w:lang w:val="en-US" w:eastAsia="zh-CN"/>
        </w:rPr>
        <w:fldChar w:fldCharType="begin"/>
      </w:r>
      <w:r>
        <w:rPr>
          <w:rFonts w:hint="eastAsia" w:ascii="宋体" w:hAnsi="宋体" w:eastAsia="宋体"/>
          <w:b w:val="0"/>
          <w:i w:val="0"/>
          <w:sz w:val="21"/>
          <w:lang w:val="en-US" w:eastAsia="zh-CN"/>
        </w:rPr>
        <w:instrText xml:space="preserve"> HYPERLINK \l "图二" </w:instrText>
      </w:r>
      <w:r>
        <w:rPr>
          <w:rFonts w:hint="eastAsia" w:ascii="宋体" w:hAnsi="宋体" w:eastAsia="宋体"/>
          <w:b w:val="0"/>
          <w:i w:val="0"/>
          <w:sz w:val="21"/>
          <w:lang w:val="en-US" w:eastAsia="zh-CN"/>
        </w:rPr>
        <w:fldChar w:fldCharType="separate"/>
      </w:r>
      <w:r>
        <w:rPr>
          <w:rStyle w:val="12"/>
          <w:rFonts w:hint="eastAsia" w:ascii="宋体" w:hAnsi="宋体" w:eastAsia="宋体"/>
          <w:b w:val="0"/>
          <w:i w:val="0"/>
          <w:sz w:val="21"/>
          <w:lang w:val="en-US" w:eastAsia="zh-CN"/>
        </w:rPr>
        <w:t>图2</w:t>
      </w:r>
      <w:r>
        <w:rPr>
          <w:rFonts w:hint="eastAsia" w:ascii="宋体" w:hAnsi="宋体" w:eastAsia="宋体"/>
          <w:b w:val="0"/>
          <w:i w:val="0"/>
          <w:sz w:val="21"/>
          <w:lang w:val="en-US" w:eastAsia="zh-CN"/>
        </w:rPr>
        <w:fldChar w:fldCharType="end"/>
      </w:r>
      <w:r>
        <w:rPr>
          <w:rFonts w:ascii="宋体" w:hAnsi="宋体" w:eastAsia="宋体"/>
          <w:b w:val="0"/>
          <w:i w:val="0"/>
          <w:sz w:val="21"/>
        </w:rPr>
        <w:t>：</w:t>
      </w:r>
    </w:p>
    <w:p w14:paraId="758B6C4D">
      <w:pPr>
        <w:spacing w:before="0" w:after="0" w:line="240" w:lineRule="auto"/>
        <w:ind w:firstLine="420"/>
        <w:rPr>
          <w:rFonts w:ascii="宋体" w:hAnsi="宋体" w:eastAsia="宋体"/>
          <w:b w:val="0"/>
          <w:i w:val="0"/>
          <w:sz w:val="21"/>
        </w:rPr>
      </w:pPr>
    </w:p>
    <w:p w14:paraId="2A47CB77">
      <w:pPr>
        <w:spacing w:before="0" w:after="0" w:line="240" w:lineRule="auto"/>
        <w:ind w:firstLine="420"/>
        <w:rPr>
          <w:rFonts w:ascii="宋体" w:hAnsi="宋体" w:eastAsia="宋体"/>
          <w:b w:val="0"/>
          <w:i w:val="0"/>
          <w:sz w:val="21"/>
        </w:rPr>
      </w:pPr>
      <w:r>
        <w:rPr>
          <w:rFonts w:ascii="宋体" w:hAnsi="宋体" w:eastAsia="宋体"/>
          <w:b/>
          <w:i w:val="0"/>
          <w:sz w:val="21"/>
        </w:rPr>
        <w:t>对齐失败（Alignment Failure）：</w:t>
      </w:r>
      <w:r>
        <w:rPr>
          <w:rFonts w:ascii="宋体" w:hAnsi="宋体" w:eastAsia="宋体"/>
          <w:b w:val="0"/>
          <w:i w:val="0"/>
          <w:sz w:val="21"/>
        </w:rPr>
        <w:t>即AI智能体的行为偏离了设计者和用户的意图和价值观。对齐失败可能表现为目标误设（系统优化了错误的指标）、奖励黑客（系统找到满足形式目标但违背实质意图的方式）和工具性收敛（系统为实现目标而采取不可预见的工具性策略，如自我复制或资源获取）[42]。</w:t>
      </w:r>
    </w:p>
    <w:p w14:paraId="103C8D11">
      <w:pPr>
        <w:spacing w:before="0" w:after="0" w:line="240" w:lineRule="auto"/>
        <w:ind w:firstLine="420"/>
        <w:rPr>
          <w:rFonts w:ascii="宋体" w:hAnsi="宋体" w:eastAsia="宋体"/>
          <w:b w:val="0"/>
          <w:i w:val="0"/>
          <w:sz w:val="21"/>
        </w:rPr>
      </w:pPr>
    </w:p>
    <w:p w14:paraId="2131C090">
      <w:pPr>
        <w:spacing w:before="0" w:after="0" w:line="240" w:lineRule="auto"/>
        <w:ind w:firstLine="420"/>
        <w:rPr>
          <w:rFonts w:ascii="宋体" w:hAnsi="宋体" w:eastAsia="宋体"/>
          <w:b w:val="0"/>
          <w:i w:val="0"/>
          <w:sz w:val="21"/>
        </w:rPr>
      </w:pPr>
      <w:r>
        <w:rPr>
          <w:rFonts w:ascii="宋体" w:hAnsi="宋体" w:eastAsia="宋体"/>
          <w:b/>
          <w:i w:val="0"/>
          <w:sz w:val="21"/>
        </w:rPr>
        <w:t>对抗性脆弱性：</w:t>
      </w:r>
      <w:r>
        <w:rPr>
          <w:rFonts w:ascii="宋体" w:hAnsi="宋体" w:eastAsia="宋体"/>
          <w:b w:val="0"/>
          <w:i w:val="0"/>
          <w:sz w:val="21"/>
        </w:rPr>
        <w:t>AI智能体可能对精心设计的对抗性输入产生意外响应。研究发现，在提示中嵌入看似无害的"后缀"可以大幅度改变模型的输出行为；将隐藏指令嵌入智能体可能处理的外部内容中（网页、文档、邮件）可以"劫持"智能体的行为。2025年，研究人员证明了一种名为"MCP Poisoning"的攻击方式——攻击者在模型上下文协议（MCP）服务器中植入恶意指令，当AI智能体连接该MCP服务器以扩展能力时，即可被远程操控执行恶意行为[43]。</w:t>
      </w:r>
    </w:p>
    <w:p w14:paraId="318D30AC">
      <w:pPr>
        <w:spacing w:before="0" w:after="0" w:line="240" w:lineRule="auto"/>
        <w:ind w:firstLine="420"/>
        <w:rPr>
          <w:rFonts w:ascii="宋体" w:hAnsi="宋体" w:eastAsia="宋体"/>
          <w:b w:val="0"/>
          <w:i w:val="0"/>
          <w:sz w:val="21"/>
        </w:rPr>
      </w:pPr>
    </w:p>
    <w:p w14:paraId="2F2DA992">
      <w:pPr>
        <w:spacing w:before="0" w:after="0" w:line="240" w:lineRule="auto"/>
        <w:ind w:firstLine="420"/>
      </w:pPr>
      <w:r>
        <w:rPr>
          <w:rFonts w:ascii="宋体" w:hAnsi="宋体" w:eastAsia="宋体"/>
          <w:b/>
          <w:i w:val="0"/>
          <w:sz w:val="21"/>
        </w:rPr>
        <w:t>能力涌现的安全边界模糊：</w:t>
      </w:r>
      <w:r>
        <w:rPr>
          <w:rFonts w:ascii="宋体" w:hAnsi="宋体" w:eastAsia="宋体"/>
          <w:b w:val="0"/>
          <w:i w:val="0"/>
          <w:sz w:val="21"/>
        </w:rPr>
        <w:t>随着模型规模的扩大和架构的改进，AI智能体可能展现出训练时未明确预期的新能力（能力涌现）。这些涌现能力可能在开发者的安全测试范围之外，构成未被认识到的安全风险。这要求建立持续、动态的安全评估机制，而非仅在发布前进行一次性的安全审计。</w:t>
      </w:r>
    </w:p>
    <w:p w14:paraId="3B9011E1">
      <w:pPr>
        <w:jc w:val="center"/>
        <w:rPr>
          <w:rFonts w:hint="eastAsia" w:eastAsia="宋体"/>
          <w:lang w:eastAsia="zh-CN"/>
        </w:rPr>
      </w:pPr>
      <w:bookmarkStart w:id="0" w:name="图二"/>
      <w:r>
        <w:rPr>
          <w:rFonts w:hint="eastAsia" w:eastAsia="宋体"/>
          <w:lang w:eastAsia="zh-CN"/>
        </w:rPr>
        <w:drawing>
          <wp:inline distT="0" distB="0" distL="114300" distR="114300">
            <wp:extent cx="5754370" cy="3517265"/>
            <wp:effectExtent l="0" t="0" r="11430" b="13335"/>
            <wp:docPr id="2" name="图片 4" descr="figure2_security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figure2_security_layers"/>
                    <pic:cNvPicPr>
                      <a:picLocks noChangeAspect="1"/>
                    </pic:cNvPicPr>
                  </pic:nvPicPr>
                  <pic:blipFill>
                    <a:blip r:embed="rId6"/>
                    <a:stretch>
                      <a:fillRect/>
                    </a:stretch>
                  </pic:blipFill>
                  <pic:spPr>
                    <a:xfrm>
                      <a:off x="0" y="0"/>
                      <a:ext cx="5754370" cy="3517265"/>
                    </a:xfrm>
                    <a:prstGeom prst="rect">
                      <a:avLst/>
                    </a:prstGeom>
                    <a:noFill/>
                    <a:ln>
                      <a:noFill/>
                    </a:ln>
                  </pic:spPr>
                </pic:pic>
              </a:graphicData>
            </a:graphic>
          </wp:inline>
        </w:drawing>
      </w:r>
    </w:p>
    <w:p w14:paraId="04EEEE64">
      <w:pPr>
        <w:spacing w:after="120"/>
        <w:jc w:val="center"/>
      </w:pPr>
      <w:r>
        <w:rPr>
          <w:rFonts w:ascii="宋体" w:hAnsi="宋体" w:eastAsia="宋体"/>
          <w:sz w:val="18"/>
        </w:rPr>
        <w:t>图2  AI智能体安全威胁的多层次分析</w:t>
      </w:r>
      <w:bookmarkEnd w:id="0"/>
      <w:r>
        <w:rPr>
          <w:rFonts w:ascii="宋体" w:hAnsi="宋体" w:eastAsia="宋体"/>
          <w:sz w:val="18"/>
        </w:rPr>
        <w:br w:type="textWrapping"/>
      </w:r>
    </w:p>
    <w:p w14:paraId="642380EF">
      <w:pPr>
        <w:pStyle w:val="2"/>
      </w:pPr>
      <w:r>
        <w:rPr>
          <w:rFonts w:ascii="黑体" w:hAnsi="黑体" w:eastAsia="黑体"/>
        </w:rPr>
        <w:t>5. 个人观点与案例分析</w:t>
      </w:r>
    </w:p>
    <w:p w14:paraId="557DEFC4">
      <w:pPr>
        <w:pStyle w:val="3"/>
      </w:pPr>
      <w:r>
        <w:rPr>
          <w:rFonts w:ascii="黑体" w:hAnsi="黑体" w:eastAsia="黑体"/>
        </w:rPr>
        <w:t>5.1 未来AI智能体伦理治理策略</w:t>
      </w:r>
    </w:p>
    <w:p w14:paraId="752756FD">
      <w:pPr>
        <w:spacing w:before="0" w:after="0" w:line="240" w:lineRule="auto"/>
        <w:ind w:firstLine="420"/>
        <w:rPr>
          <w:rFonts w:ascii="宋体" w:hAnsi="宋体" w:eastAsia="宋体"/>
          <w:b w:val="0"/>
          <w:i w:val="0"/>
          <w:sz w:val="21"/>
        </w:rPr>
      </w:pPr>
      <w:r>
        <w:rPr>
          <w:rFonts w:ascii="宋体" w:hAnsi="宋体" w:eastAsia="宋体"/>
          <w:b w:val="0"/>
          <w:i w:val="0"/>
          <w:sz w:val="21"/>
        </w:rPr>
        <w:t>基于前文的分析，本文提出面向未来的AI智能体伦理治理应遵循以下六项核心策略：</w:t>
      </w:r>
    </w:p>
    <w:p w14:paraId="7E8C10AE">
      <w:pPr>
        <w:spacing w:before="0" w:after="0" w:line="240" w:lineRule="auto"/>
        <w:ind w:firstLine="420"/>
        <w:rPr>
          <w:rFonts w:ascii="宋体" w:hAnsi="宋体" w:eastAsia="宋体"/>
          <w:b w:val="0"/>
          <w:i w:val="0"/>
          <w:sz w:val="21"/>
        </w:rPr>
      </w:pPr>
    </w:p>
    <w:p w14:paraId="28D2E3D2">
      <w:pPr>
        <w:pStyle w:val="4"/>
      </w:pPr>
      <w:r>
        <w:rPr>
          <w:rFonts w:ascii="黑体" w:hAnsi="黑体" w:eastAsia="黑体"/>
        </w:rPr>
        <w:t>5.1.1 建立"分级分类、风险比例"的差异化监管框架</w:t>
      </w:r>
    </w:p>
    <w:p w14:paraId="3C59E63D">
      <w:pPr>
        <w:spacing w:before="0" w:after="0" w:line="240" w:lineRule="auto"/>
        <w:ind w:firstLine="420"/>
        <w:rPr>
          <w:rFonts w:ascii="宋体" w:hAnsi="宋体" w:eastAsia="宋体"/>
          <w:b w:val="0"/>
          <w:i w:val="0"/>
          <w:sz w:val="21"/>
        </w:rPr>
      </w:pPr>
      <w:r>
        <w:rPr>
          <w:rFonts w:ascii="宋体" w:hAnsi="宋体" w:eastAsia="宋体"/>
          <w:b w:val="0"/>
          <w:i w:val="0"/>
          <w:sz w:val="21"/>
        </w:rPr>
        <w:t>AI智能体不应被一刀切地监管。本文主张借鉴欧盟AI法案的风险分级思路，建立四层分类体系：</w:t>
      </w:r>
    </w:p>
    <w:p w14:paraId="375CC43B">
      <w:pPr>
        <w:spacing w:before="0" w:after="0" w:line="240" w:lineRule="auto"/>
        <w:ind w:firstLine="420"/>
        <w:rPr>
          <w:rFonts w:ascii="宋体" w:hAnsi="宋体" w:eastAsia="宋体"/>
          <w:b w:val="0"/>
          <w:i w:val="0"/>
          <w:sz w:val="21"/>
        </w:rPr>
      </w:pPr>
    </w:p>
    <w:p w14:paraId="27C4997D">
      <w:pPr>
        <w:spacing w:before="0" w:after="0" w:line="240" w:lineRule="auto"/>
        <w:ind w:firstLine="420"/>
      </w:pPr>
      <w:r>
        <w:rPr>
          <w:rFonts w:ascii="宋体" w:hAnsi="宋体" w:eastAsia="宋体"/>
          <w:b w:val="0"/>
          <w:i w:val="0"/>
          <w:sz w:val="21"/>
        </w:rPr>
        <w:t>禁止级：对社会基本价值和公众安全构成不可接受风险的AI智能体应用，如社会信用评分系统、实时远程生物识别监控、潜意识操纵技术、自主武器系统等，应被明确禁止。</w:t>
      </w:r>
    </w:p>
    <w:p w14:paraId="50FF6FD8">
      <w:pPr>
        <w:spacing w:before="0" w:after="0" w:line="240" w:lineRule="auto"/>
        <w:ind w:firstLine="420"/>
        <w:rPr>
          <w:rFonts w:ascii="宋体" w:hAnsi="宋体" w:eastAsia="宋体"/>
          <w:b w:val="0"/>
          <w:i w:val="0"/>
          <w:sz w:val="21"/>
        </w:rPr>
      </w:pPr>
    </w:p>
    <w:p w14:paraId="54539173">
      <w:pPr>
        <w:spacing w:before="0" w:after="0" w:line="240" w:lineRule="auto"/>
        <w:ind w:firstLine="420"/>
      </w:pPr>
      <w:r>
        <w:rPr>
          <w:rFonts w:ascii="宋体" w:hAnsi="宋体" w:eastAsia="宋体"/>
          <w:b w:val="0"/>
          <w:i w:val="0"/>
          <w:sz w:val="21"/>
        </w:rPr>
        <w:t>高风险级：在医疗诊断、金融交易、司法裁判、招聘录用、教育评价等关键领域部署的AI智能体，需接受强制性的第三方合规评估，包括安全审计、偏见检测、可解释性验证和人工监督机制。</w:t>
      </w:r>
    </w:p>
    <w:p w14:paraId="14CE5476">
      <w:pPr>
        <w:spacing w:before="0" w:after="0" w:line="240" w:lineRule="auto"/>
        <w:ind w:firstLine="420"/>
        <w:rPr>
          <w:rFonts w:ascii="宋体" w:hAnsi="宋体" w:eastAsia="宋体"/>
          <w:b w:val="0"/>
          <w:i w:val="0"/>
          <w:sz w:val="21"/>
        </w:rPr>
      </w:pPr>
    </w:p>
    <w:p w14:paraId="635A415D">
      <w:pPr>
        <w:spacing w:before="0" w:after="0" w:line="240" w:lineRule="auto"/>
        <w:ind w:firstLine="420"/>
      </w:pPr>
      <w:r>
        <w:rPr>
          <w:rFonts w:ascii="宋体" w:hAnsi="宋体" w:eastAsia="宋体"/>
          <w:b w:val="0"/>
          <w:i w:val="0"/>
          <w:sz w:val="21"/>
        </w:rPr>
        <w:t>有限风险级：直接面向消费者的通用AI智能体（如AI助手、客服智能体），需满足透明度要求（明确告知用户正在与AI交互）、基本的隐私保护和内容安全标准。</w:t>
      </w:r>
    </w:p>
    <w:p w14:paraId="06FA1E5B">
      <w:pPr>
        <w:spacing w:before="0" w:after="0" w:line="240" w:lineRule="auto"/>
        <w:ind w:firstLine="420"/>
        <w:rPr>
          <w:rFonts w:ascii="宋体" w:hAnsi="宋体" w:eastAsia="宋体"/>
          <w:b w:val="0"/>
          <w:i w:val="0"/>
          <w:sz w:val="21"/>
        </w:rPr>
      </w:pPr>
    </w:p>
    <w:p w14:paraId="662F0A03">
      <w:pPr>
        <w:spacing w:before="0" w:after="0" w:line="240" w:lineRule="auto"/>
        <w:ind w:firstLine="420"/>
        <w:rPr>
          <w:rFonts w:ascii="宋体" w:hAnsi="宋体" w:eastAsia="宋体"/>
          <w:b w:val="0"/>
          <w:i w:val="0"/>
          <w:sz w:val="21"/>
        </w:rPr>
      </w:pPr>
      <w:r>
        <w:rPr>
          <w:rFonts w:ascii="宋体" w:hAnsi="宋体" w:eastAsia="宋体"/>
          <w:b w:val="0"/>
          <w:i w:val="0"/>
          <w:sz w:val="21"/>
        </w:rPr>
        <w:t>最低风险级：娱乐、游戏、个人非关键用途的AI智能体，主要依靠行业自律和用户自我判断，监管干预最小化。</w:t>
      </w:r>
    </w:p>
    <w:p w14:paraId="631B0B1E">
      <w:pPr>
        <w:spacing w:before="0" w:after="0" w:line="240" w:lineRule="auto"/>
        <w:ind w:firstLine="420"/>
        <w:rPr>
          <w:rFonts w:ascii="宋体" w:hAnsi="宋体" w:eastAsia="宋体"/>
          <w:b w:val="0"/>
          <w:i w:val="0"/>
          <w:sz w:val="21"/>
        </w:rPr>
      </w:pPr>
    </w:p>
    <w:p w14:paraId="12341867">
      <w:pPr>
        <w:pStyle w:val="4"/>
      </w:pPr>
      <w:r>
        <w:rPr>
          <w:rFonts w:ascii="黑体" w:hAnsi="黑体" w:eastAsia="黑体"/>
        </w:rPr>
        <w:t>5.1.2 构建"人机共责"的清晰责任链</w:t>
      </w:r>
    </w:p>
    <w:p w14:paraId="36655241">
      <w:pPr>
        <w:spacing w:before="0" w:after="0" w:line="240" w:lineRule="auto"/>
        <w:ind w:firstLine="420"/>
        <w:rPr>
          <w:rFonts w:ascii="宋体" w:hAnsi="宋体" w:eastAsia="宋体"/>
          <w:b w:val="0"/>
          <w:i w:val="0"/>
          <w:sz w:val="21"/>
        </w:rPr>
      </w:pPr>
      <w:r>
        <w:rPr>
          <w:rFonts w:ascii="宋体" w:hAnsi="宋体" w:eastAsia="宋体"/>
          <w:b w:val="0"/>
          <w:i w:val="0"/>
          <w:sz w:val="21"/>
        </w:rPr>
        <w:t>为解决AI智能体的责任归属难题，本文主张建立"链条式+节点式"相结合的复合责任模型：沿AI智能体的开发-部署-使用链条，各环节主体在各自控制范围内承担相应责任；模型提供商对模型的基本安全性和已知缺陷负有信息披露和安全设计责任；应用开发者对特定场景的适配安全性、用户提示和权限设计负有直接责任；部署和使用组织对智能体的实际运行监控、员工培训和损害补救负有最终管理责任；在无法明确归因特定方过错的情况下，可借鉴产品责任法中的严格责任原则，由处于最佳风险控制位置的主体（通常为部署者或应用开发者）承担首要赔偿责任，同时设立行业赔偿基金分担极端风险。</w:t>
      </w:r>
    </w:p>
    <w:p w14:paraId="77E4EA74">
      <w:pPr>
        <w:spacing w:before="0" w:after="0" w:line="240" w:lineRule="auto"/>
        <w:ind w:firstLine="420"/>
        <w:rPr>
          <w:rFonts w:ascii="宋体" w:hAnsi="宋体" w:eastAsia="宋体"/>
          <w:b w:val="0"/>
          <w:i w:val="0"/>
          <w:sz w:val="21"/>
        </w:rPr>
      </w:pPr>
    </w:p>
    <w:p w14:paraId="33A3F592">
      <w:pPr>
        <w:pStyle w:val="4"/>
      </w:pPr>
      <w:r>
        <w:rPr>
          <w:rFonts w:ascii="黑体" w:hAnsi="黑体" w:eastAsia="黑体"/>
        </w:rPr>
        <w:t>5.1.3 推行"透明设计"与"可解释性强制"</w:t>
      </w:r>
    </w:p>
    <w:p w14:paraId="63EC4E93">
      <w:pPr>
        <w:spacing w:before="0" w:after="0" w:line="240" w:lineRule="auto"/>
        <w:ind w:firstLine="420"/>
        <w:rPr>
          <w:rFonts w:ascii="宋体" w:hAnsi="宋体" w:eastAsia="宋体"/>
          <w:b w:val="0"/>
          <w:i w:val="0"/>
          <w:sz w:val="21"/>
        </w:rPr>
      </w:pPr>
      <w:r>
        <w:rPr>
          <w:rFonts w:ascii="宋体" w:hAnsi="宋体" w:eastAsia="宋体"/>
          <w:b w:val="0"/>
          <w:i w:val="0"/>
          <w:sz w:val="21"/>
        </w:rPr>
        <w:t>AI智能体的决策过程应具备可审计、可解释和可挑战的特性：高风险领域的AI智能体应提供决策的关键影响因素说明和简单的可解释性报告；对个体权益产生重大影响的自动化决策，应保障受影响者的"人工审查请求权"和"有效异议权"；公开AI智能体的基本能力指标、已知局限性和独立审计报告，使公众能够在充分知情的情况下做出是否使用和如何使用的判断。</w:t>
      </w:r>
    </w:p>
    <w:p w14:paraId="1F3BBB22">
      <w:pPr>
        <w:spacing w:before="0" w:after="0" w:line="240" w:lineRule="auto"/>
        <w:ind w:firstLine="420"/>
        <w:rPr>
          <w:rFonts w:ascii="宋体" w:hAnsi="宋体" w:eastAsia="宋体"/>
          <w:b w:val="0"/>
          <w:i w:val="0"/>
          <w:sz w:val="21"/>
        </w:rPr>
      </w:pPr>
    </w:p>
    <w:p w14:paraId="685C5D0D">
      <w:pPr>
        <w:pStyle w:val="4"/>
      </w:pPr>
      <w:r>
        <w:rPr>
          <w:rFonts w:ascii="黑体" w:hAnsi="黑体" w:eastAsia="黑体"/>
        </w:rPr>
        <w:t>5.1.4 强化"伦理前置"的开发理念</w:t>
      </w:r>
    </w:p>
    <w:p w14:paraId="2972EEC2">
      <w:pPr>
        <w:spacing w:before="0" w:after="0" w:line="240" w:lineRule="auto"/>
        <w:ind w:firstLine="420"/>
        <w:rPr>
          <w:rFonts w:ascii="宋体" w:hAnsi="宋体" w:eastAsia="宋体"/>
          <w:b w:val="0"/>
          <w:i w:val="0"/>
          <w:sz w:val="21"/>
        </w:rPr>
      </w:pPr>
      <w:r>
        <w:rPr>
          <w:rFonts w:ascii="宋体" w:hAnsi="宋体" w:eastAsia="宋体"/>
          <w:b w:val="0"/>
          <w:i w:val="0"/>
          <w:sz w:val="21"/>
        </w:rPr>
        <w:t>AI智能体的伦理考量不应是事后补救，而应深度嵌入技术开发的全过程：在需求分析和架构设计阶段即进行伦理影响评估（Ethical Impact Assessment）；在数据收集和处理阶段实施偏见识别和缓解措施；在模型训练和微调阶段采用价值对齐技术（如RLHF、Constitutional AI等）；在测试阶段进行全面的红队测试、对抗性测试和公平性审计；在部署阶段设置渐进式灰度发布和安全回滚机制；推广"负责任的扩展策略"（Responsible Scaling Policy），明确不同能力级别对应的安全门槛。</w:t>
      </w:r>
    </w:p>
    <w:p w14:paraId="1DB37E1A">
      <w:pPr>
        <w:jc w:val="center"/>
        <w:rPr>
          <w:rFonts w:hint="eastAsia" w:eastAsia="宋体"/>
          <w:lang w:eastAsia="zh-CN"/>
        </w:rPr>
      </w:pPr>
      <w:bookmarkStart w:id="1" w:name="图三"/>
      <w:r>
        <w:rPr>
          <w:rFonts w:hint="eastAsia" w:eastAsia="宋体"/>
          <w:lang w:eastAsia="zh-CN"/>
        </w:rPr>
        <w:drawing>
          <wp:inline distT="0" distB="0" distL="114300" distR="114300">
            <wp:extent cx="5757545" cy="3321685"/>
            <wp:effectExtent l="0" t="0" r="8255" b="5715"/>
            <wp:docPr id="3" name="图片 9" descr="figure3_governance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figure3_governance_framework"/>
                    <pic:cNvPicPr>
                      <a:picLocks noChangeAspect="1"/>
                    </pic:cNvPicPr>
                  </pic:nvPicPr>
                  <pic:blipFill>
                    <a:blip r:embed="rId7"/>
                    <a:stretch>
                      <a:fillRect/>
                    </a:stretch>
                  </pic:blipFill>
                  <pic:spPr>
                    <a:xfrm>
                      <a:off x="0" y="0"/>
                      <a:ext cx="5757545" cy="3321685"/>
                    </a:xfrm>
                    <a:prstGeom prst="rect">
                      <a:avLst/>
                    </a:prstGeom>
                    <a:noFill/>
                    <a:ln>
                      <a:noFill/>
                    </a:ln>
                  </pic:spPr>
                </pic:pic>
              </a:graphicData>
            </a:graphic>
          </wp:inline>
        </w:drawing>
      </w:r>
    </w:p>
    <w:p w14:paraId="7B12A76F">
      <w:pPr>
        <w:spacing w:before="0" w:after="0" w:line="240" w:lineRule="auto"/>
        <w:ind w:firstLine="420"/>
        <w:jc w:val="center"/>
        <w:rPr>
          <w:rFonts w:ascii="宋体" w:hAnsi="宋体" w:eastAsia="宋体"/>
          <w:sz w:val="18"/>
        </w:rPr>
      </w:pPr>
      <w:r>
        <w:rPr>
          <w:rFonts w:ascii="宋体" w:hAnsi="宋体" w:eastAsia="宋体"/>
          <w:sz w:val="18"/>
        </w:rPr>
        <w:t>图3  AI智能体伦理治理框架示意图</w:t>
      </w:r>
      <w:bookmarkEnd w:id="1"/>
    </w:p>
    <w:p w14:paraId="70F0C349">
      <w:pPr>
        <w:spacing w:before="0" w:after="0" w:line="240" w:lineRule="auto"/>
        <w:ind w:firstLine="420"/>
        <w:jc w:val="center"/>
        <w:rPr>
          <w:rFonts w:ascii="宋体" w:hAnsi="宋体" w:eastAsia="宋体"/>
          <w:sz w:val="18"/>
        </w:rPr>
      </w:pPr>
    </w:p>
    <w:p w14:paraId="34873CA7">
      <w:pPr>
        <w:spacing w:before="0" w:after="0" w:line="240" w:lineRule="auto"/>
        <w:ind w:firstLine="420"/>
        <w:rPr>
          <w:rFonts w:ascii="宋体" w:hAnsi="宋体" w:eastAsia="宋体"/>
          <w:b w:val="0"/>
          <w:i w:val="0"/>
          <w:sz w:val="21"/>
        </w:rPr>
      </w:pPr>
    </w:p>
    <w:p w14:paraId="22C3515C">
      <w:pPr>
        <w:pStyle w:val="4"/>
      </w:pPr>
      <w:r>
        <w:rPr>
          <w:rFonts w:ascii="黑体" w:hAnsi="黑体" w:eastAsia="黑体"/>
        </w:rPr>
        <w:t>5.1.5 推动"多元共治"的治理生态</w:t>
      </w:r>
    </w:p>
    <w:p w14:paraId="52C352D7">
      <w:pPr>
        <w:spacing w:before="0" w:after="0" w:line="240" w:lineRule="auto"/>
        <w:ind w:firstLine="420"/>
        <w:rPr>
          <w:rFonts w:ascii="宋体" w:hAnsi="宋体" w:eastAsia="宋体"/>
          <w:b w:val="0"/>
          <w:i w:val="0"/>
          <w:sz w:val="21"/>
        </w:rPr>
      </w:pPr>
      <w:r>
        <w:rPr>
          <w:rFonts w:ascii="宋体" w:hAnsi="宋体" w:eastAsia="宋体"/>
          <w:b w:val="0"/>
          <w:i w:val="0"/>
          <w:sz w:val="21"/>
        </w:rPr>
        <w:t>AI智能体的有效治理不能仅依赖政府监管或行业自律，而需要构建政府、企业、学术界、公民社会和公众多方参与、协同互补的治理生态：政府提供法律框架和底线标准；行业组织制定技术标准和最佳实践；学术机构进行独立的安全和伦理研究；公民社会组织代表弱势群体和公众利益参与政策讨论；媒体和公众行使社会监督职能，形成舆论压力；建立常态化的多方利益相关者对话和协商机制</w:t>
      </w:r>
      <w:r>
        <w:rPr>
          <w:rFonts w:hint="eastAsia" w:ascii="宋体" w:hAnsi="宋体" w:eastAsia="宋体"/>
          <w:b w:val="0"/>
          <w:i w:val="0"/>
          <w:sz w:val="21"/>
          <w:lang w:eastAsia="zh-CN"/>
        </w:rPr>
        <w:t>，</w:t>
      </w:r>
      <w:r>
        <w:rPr>
          <w:rFonts w:hint="eastAsia" w:ascii="宋体" w:hAnsi="宋体" w:eastAsia="宋体"/>
          <w:b w:val="0"/>
          <w:i w:val="0"/>
          <w:sz w:val="21"/>
          <w:lang w:val="en-US" w:eastAsia="zh-CN"/>
        </w:rPr>
        <w:t>如</w:t>
      </w:r>
      <w:r>
        <w:rPr>
          <w:rFonts w:hint="eastAsia" w:ascii="宋体" w:hAnsi="宋体" w:eastAsia="宋体"/>
          <w:b w:val="0"/>
          <w:i w:val="0"/>
          <w:sz w:val="21"/>
          <w:lang w:val="en-US" w:eastAsia="zh-CN"/>
        </w:rPr>
        <w:fldChar w:fldCharType="begin"/>
      </w:r>
      <w:r>
        <w:rPr>
          <w:rFonts w:hint="eastAsia" w:ascii="宋体" w:hAnsi="宋体" w:eastAsia="宋体"/>
          <w:b w:val="0"/>
          <w:i w:val="0"/>
          <w:sz w:val="21"/>
          <w:lang w:val="en-US" w:eastAsia="zh-CN"/>
        </w:rPr>
        <w:instrText xml:space="preserve"> HYPERLINK \l "图三" </w:instrText>
      </w:r>
      <w:r>
        <w:rPr>
          <w:rFonts w:hint="eastAsia" w:ascii="宋体" w:hAnsi="宋体" w:eastAsia="宋体"/>
          <w:b w:val="0"/>
          <w:i w:val="0"/>
          <w:sz w:val="21"/>
          <w:lang w:val="en-US" w:eastAsia="zh-CN"/>
        </w:rPr>
        <w:fldChar w:fldCharType="separate"/>
      </w:r>
      <w:r>
        <w:rPr>
          <w:rStyle w:val="12"/>
          <w:rFonts w:hint="eastAsia" w:ascii="宋体" w:hAnsi="宋体" w:eastAsia="宋体"/>
          <w:b w:val="0"/>
          <w:i w:val="0"/>
          <w:sz w:val="21"/>
          <w:lang w:val="en-US" w:eastAsia="zh-CN"/>
        </w:rPr>
        <w:t>图3</w:t>
      </w:r>
      <w:r>
        <w:rPr>
          <w:rFonts w:hint="eastAsia" w:ascii="宋体" w:hAnsi="宋体" w:eastAsia="宋体"/>
          <w:b w:val="0"/>
          <w:i w:val="0"/>
          <w:sz w:val="21"/>
          <w:lang w:val="en-US" w:eastAsia="zh-CN"/>
        </w:rPr>
        <w:fldChar w:fldCharType="end"/>
      </w:r>
      <w:r>
        <w:rPr>
          <w:rFonts w:ascii="宋体" w:hAnsi="宋体" w:eastAsia="宋体"/>
          <w:b w:val="0"/>
          <w:i w:val="0"/>
          <w:sz w:val="21"/>
        </w:rPr>
        <w:t>。</w:t>
      </w:r>
    </w:p>
    <w:p w14:paraId="64B224C8">
      <w:pPr>
        <w:spacing w:before="0" w:after="0" w:line="240" w:lineRule="auto"/>
        <w:ind w:firstLine="420"/>
        <w:rPr>
          <w:rFonts w:ascii="宋体" w:hAnsi="宋体" w:eastAsia="宋体"/>
          <w:b w:val="0"/>
          <w:i w:val="0"/>
          <w:sz w:val="21"/>
        </w:rPr>
      </w:pPr>
    </w:p>
    <w:p w14:paraId="212D7C4F">
      <w:pPr>
        <w:pStyle w:val="4"/>
      </w:pPr>
      <w:r>
        <w:rPr>
          <w:rFonts w:ascii="黑体" w:hAnsi="黑体" w:eastAsia="黑体"/>
        </w:rPr>
        <w:t>5.1.6 加强AI伦理教育与公众数字素养</w:t>
      </w:r>
    </w:p>
    <w:p w14:paraId="5715401A">
      <w:pPr>
        <w:spacing w:before="0" w:after="0" w:line="240" w:lineRule="auto"/>
        <w:ind w:firstLine="420"/>
      </w:pPr>
      <w:r>
        <w:rPr>
          <w:rFonts w:ascii="宋体" w:hAnsi="宋体" w:eastAsia="宋体"/>
          <w:b w:val="0"/>
          <w:i w:val="0"/>
          <w:sz w:val="21"/>
        </w:rPr>
        <w:t>长期的AI伦理治理需要从"人"的能力建设入手：将AI伦理纳入计算机科学、数据科学和AI相关专业的高等教育必修课程；为在职IT从业人员提供持续的AI伦理培训；在中小学开展面向AI时代的数字素养教育，包括批判性评估AI输出、识别深度伪造内容、保护个人隐私等核心能力；为政策制定者、法官和执法人员提供AI技术和伦理的专门培训。</w:t>
      </w:r>
      <w:r>
        <w:rPr>
          <w:rFonts w:ascii="宋体" w:hAnsi="宋体" w:eastAsia="宋体"/>
          <w:sz w:val="18"/>
        </w:rPr>
        <w:br w:type="textWrapping"/>
      </w:r>
    </w:p>
    <w:p w14:paraId="370146F5">
      <w:pPr>
        <w:pStyle w:val="3"/>
      </w:pPr>
      <w:r>
        <w:rPr>
          <w:rFonts w:ascii="黑体" w:hAnsi="黑体" w:eastAsia="黑体"/>
        </w:rPr>
        <w:t>5.2 代表性案例分析</w:t>
      </w:r>
    </w:p>
    <w:p w14:paraId="1986DDA1">
      <w:pPr>
        <w:pStyle w:val="4"/>
      </w:pPr>
      <w:r>
        <w:rPr>
          <w:rFonts w:ascii="黑体" w:hAnsi="黑体" w:eastAsia="黑体"/>
        </w:rPr>
        <w:t>案例一：加拿大航空AI客服错误承诺案</w:t>
      </w:r>
    </w:p>
    <w:p w14:paraId="2BB203FE">
      <w:pPr>
        <w:spacing w:before="0" w:after="0" w:line="240" w:lineRule="auto"/>
        <w:ind w:firstLine="420"/>
        <w:rPr>
          <w:rFonts w:ascii="宋体" w:hAnsi="宋体" w:eastAsia="宋体"/>
          <w:b w:val="0"/>
          <w:i w:val="0"/>
          <w:sz w:val="21"/>
        </w:rPr>
      </w:pPr>
      <w:r>
        <w:rPr>
          <w:rFonts w:ascii="宋体" w:hAnsi="宋体" w:eastAsia="宋体"/>
          <w:b w:val="0"/>
          <w:i w:val="0"/>
          <w:sz w:val="21"/>
        </w:rPr>
        <w:t>案件背景：2022年11月，加拿大乘客杰克·莫法特（Jake Moffatt）在祖母去世后通过加拿大航空（Air Canada）的网站预订了从温哥华飞往多伦多的全价机票，以便参加葬礼。在购票过程中，莫法特向加拿大航空网站上的AI聊天机器人咨询丧亲折扣（Bereavement Fare）政策。AI客服智能体回复称，乘客可以先购买全价机票，然后在航班出发后90天内申请追溯丧亲折扣退款。莫法特依据这一建议购买了机票，票价约为1,640加元。</w:t>
      </w:r>
    </w:p>
    <w:p w14:paraId="6A29B45D">
      <w:pPr>
        <w:spacing w:before="0" w:after="0" w:line="240" w:lineRule="auto"/>
        <w:ind w:firstLine="420"/>
        <w:rPr>
          <w:rFonts w:ascii="宋体" w:hAnsi="宋体" w:eastAsia="宋体"/>
          <w:b w:val="0"/>
          <w:i w:val="0"/>
          <w:sz w:val="21"/>
        </w:rPr>
      </w:pPr>
    </w:p>
    <w:p w14:paraId="456B3E8C">
      <w:pPr>
        <w:spacing w:before="0" w:after="0" w:line="240" w:lineRule="auto"/>
        <w:ind w:firstLine="420"/>
        <w:rPr>
          <w:rFonts w:ascii="宋体" w:hAnsi="宋体" w:eastAsia="宋体"/>
          <w:b w:val="0"/>
          <w:i w:val="0"/>
          <w:sz w:val="21"/>
        </w:rPr>
      </w:pPr>
      <w:r>
        <w:rPr>
          <w:rFonts w:ascii="宋体" w:hAnsi="宋体" w:eastAsia="宋体"/>
          <w:b w:val="0"/>
          <w:i w:val="0"/>
          <w:sz w:val="21"/>
        </w:rPr>
        <w:t>事后，莫法特按照AI客服的指引提交了丧亲折扣退款申请，却遭到加拿大航空拒绝。航空公司辩称，其正式的丧亲折扣政策要求在购票前申请，而非购票后追溯申请；AI客服提供的信息不准确，属于"独立于公司政策之外"的错误，公司不应为此承担责任。莫法特随后向不列颠哥伦比亚省民事解决法庭（Civil Resolution Tribunal）提起诉讼。</w:t>
      </w:r>
    </w:p>
    <w:p w14:paraId="16C50CE6">
      <w:pPr>
        <w:spacing w:before="0" w:after="0" w:line="240" w:lineRule="auto"/>
        <w:ind w:firstLine="420"/>
        <w:rPr>
          <w:rFonts w:ascii="宋体" w:hAnsi="宋体" w:eastAsia="宋体"/>
          <w:b w:val="0"/>
          <w:i w:val="0"/>
          <w:sz w:val="21"/>
        </w:rPr>
      </w:pPr>
    </w:p>
    <w:p w14:paraId="6AE93F79">
      <w:pPr>
        <w:spacing w:before="0" w:after="0" w:line="240" w:lineRule="auto"/>
        <w:ind w:firstLine="420"/>
        <w:rPr>
          <w:rFonts w:ascii="宋体" w:hAnsi="宋体" w:eastAsia="宋体"/>
          <w:b w:val="0"/>
          <w:i w:val="0"/>
          <w:sz w:val="21"/>
        </w:rPr>
      </w:pPr>
      <w:r>
        <w:rPr>
          <w:rFonts w:ascii="宋体" w:hAnsi="宋体" w:eastAsia="宋体"/>
          <w:b w:val="0"/>
          <w:i w:val="0"/>
          <w:sz w:val="21"/>
        </w:rPr>
        <w:t>裁判结果：2024年2月，法庭做出判决，裁定加拿大航空必须向莫法特支付退款（约650加元的差额部分）及诉讼费用。法庭在判决书中指出，加拿大航空对其网站上的所有信息（包括AI聊天机器人提供的信息）负有责任。"加拿大航空不能以'AI独立行动'为由回避其作为服务提供方的注意义务。"法庭进一步指出，企业选择使用AI工具来降低客服成本，就必须同时承担该技术带来的错误风险，正如其需要为人类客服的错误负责一样[44]。</w:t>
      </w:r>
    </w:p>
    <w:p w14:paraId="4B6A5555">
      <w:pPr>
        <w:spacing w:before="0" w:after="0" w:line="240" w:lineRule="auto"/>
        <w:ind w:firstLine="420"/>
        <w:rPr>
          <w:rFonts w:ascii="宋体" w:hAnsi="宋体" w:eastAsia="宋体"/>
          <w:b w:val="0"/>
          <w:i w:val="0"/>
          <w:sz w:val="21"/>
        </w:rPr>
      </w:pPr>
    </w:p>
    <w:p w14:paraId="202E9E21">
      <w:pPr>
        <w:spacing w:before="0" w:after="0" w:line="240" w:lineRule="auto"/>
        <w:ind w:firstLine="420"/>
        <w:rPr>
          <w:rFonts w:ascii="宋体" w:hAnsi="宋体" w:eastAsia="宋体"/>
          <w:b w:val="0"/>
          <w:i w:val="0"/>
          <w:sz w:val="21"/>
        </w:rPr>
      </w:pPr>
      <w:r>
        <w:rPr>
          <w:rFonts w:ascii="宋体" w:hAnsi="宋体" w:eastAsia="宋体"/>
          <w:b w:val="0"/>
          <w:i w:val="0"/>
          <w:sz w:val="21"/>
        </w:rPr>
        <w:t>伦理分析：本案是"AI智能体责任归属"问题的标志性案例，涉及多个计算机伦理的核心议题。从职业责任与注意义务角度看，加拿大航空作为服务提供方，对其使用的所有客户沟通渠道（包括AI智能体）负有最终的注意义务和监管责任。从计算机伦理角度看，部署AI智能体的企业不能简单地将其视为"免责盾牌"。企业有职业道德责任确保其AI系统的输出准确、可靠且与公司政策一致。</w:t>
      </w:r>
    </w:p>
    <w:p w14:paraId="479CA5E4">
      <w:pPr>
        <w:spacing w:before="0" w:after="0" w:line="240" w:lineRule="auto"/>
        <w:ind w:firstLine="420"/>
        <w:rPr>
          <w:rFonts w:ascii="宋体" w:hAnsi="宋体" w:eastAsia="宋体"/>
          <w:b w:val="0"/>
          <w:i w:val="0"/>
          <w:sz w:val="21"/>
        </w:rPr>
      </w:pPr>
    </w:p>
    <w:p w14:paraId="5E0E1858">
      <w:pPr>
        <w:spacing w:before="0" w:after="0" w:line="240" w:lineRule="auto"/>
        <w:ind w:firstLine="420"/>
        <w:rPr>
          <w:rFonts w:ascii="宋体" w:hAnsi="宋体" w:eastAsia="宋体"/>
          <w:b w:val="0"/>
          <w:i w:val="0"/>
          <w:sz w:val="21"/>
        </w:rPr>
      </w:pPr>
      <w:r>
        <w:rPr>
          <w:rFonts w:ascii="宋体" w:hAnsi="宋体" w:eastAsia="宋体"/>
          <w:b w:val="0"/>
          <w:i w:val="0"/>
          <w:sz w:val="21"/>
        </w:rPr>
        <w:t>从人机信任与知情同意角度看，本案揭示了AI智能体对用户信任的影响。莫法特合理地信任了航空公司官方渠道（官网聊天机器人）提供的信息，这种信任是任何商业关系的基础。当企业将AI智能体嵌入其服务界面时，它在客观上创造了"信息可靠"的合理预期。如果企业允许AI提供信息但随后拒绝承担责任，则构成了对用户信任的背弃。</w:t>
      </w:r>
    </w:p>
    <w:p w14:paraId="535DF314">
      <w:pPr>
        <w:spacing w:before="0" w:after="0" w:line="240" w:lineRule="auto"/>
        <w:ind w:firstLine="420"/>
        <w:rPr>
          <w:rFonts w:ascii="宋体" w:hAnsi="宋体" w:eastAsia="宋体"/>
          <w:b w:val="0"/>
          <w:i w:val="0"/>
          <w:sz w:val="21"/>
        </w:rPr>
      </w:pPr>
    </w:p>
    <w:p w14:paraId="0F6F0EFE">
      <w:pPr>
        <w:spacing w:before="0" w:after="0" w:line="240" w:lineRule="auto"/>
        <w:ind w:firstLine="420"/>
        <w:rPr>
          <w:rFonts w:ascii="宋体" w:hAnsi="宋体" w:eastAsia="宋体"/>
          <w:b w:val="0"/>
          <w:i w:val="0"/>
          <w:sz w:val="21"/>
        </w:rPr>
      </w:pPr>
      <w:r>
        <w:rPr>
          <w:rFonts w:ascii="宋体" w:hAnsi="宋体" w:eastAsia="宋体"/>
          <w:b w:val="0"/>
          <w:i w:val="0"/>
          <w:sz w:val="21"/>
        </w:rPr>
        <w:t>从伦理治理角度看，本案凸显了三个关键需求。第一，企业部署AI智能体时应建立充分的前端提示（向用户说明AI回答的参考性质）和后端验证机制（定期审计AI输出与公司政策的一致性）。第二，法律体系应明确AI系统造成损害的归责原则，避免出现"责任真空"。第三，应为AI造成的错误提供明确的救济渠道，不能以"这是AI说的"为由拒绝用户合理的维权要求。</w:t>
      </w:r>
    </w:p>
    <w:p w14:paraId="22E42C3F">
      <w:pPr>
        <w:spacing w:before="0" w:after="0" w:line="240" w:lineRule="auto"/>
        <w:ind w:firstLine="420"/>
        <w:rPr>
          <w:rFonts w:ascii="宋体" w:hAnsi="宋体" w:eastAsia="宋体"/>
          <w:b w:val="0"/>
          <w:i w:val="0"/>
          <w:sz w:val="21"/>
        </w:rPr>
      </w:pPr>
    </w:p>
    <w:p w14:paraId="460EDD1B">
      <w:pPr>
        <w:pStyle w:val="4"/>
      </w:pPr>
      <w:r>
        <w:rPr>
          <w:rFonts w:ascii="黑体" w:hAnsi="黑体" w:eastAsia="黑体"/>
        </w:rPr>
        <w:t>案例二：iTutorGroup AI招聘系统年龄歧视案</w:t>
      </w:r>
    </w:p>
    <w:p w14:paraId="5E0FFE11">
      <w:pPr>
        <w:spacing w:before="0" w:after="0" w:line="240" w:lineRule="auto"/>
        <w:ind w:firstLine="420"/>
        <w:rPr>
          <w:rFonts w:ascii="宋体" w:hAnsi="宋体" w:eastAsia="宋体"/>
          <w:b w:val="0"/>
          <w:i w:val="0"/>
          <w:sz w:val="21"/>
        </w:rPr>
      </w:pPr>
      <w:r>
        <w:rPr>
          <w:rFonts w:ascii="宋体" w:hAnsi="宋体" w:eastAsia="宋体"/>
          <w:b w:val="0"/>
          <w:i w:val="0"/>
          <w:sz w:val="21"/>
        </w:rPr>
        <w:t>案件背景：iTutorGroup是一家提供在线英语教育服务的跨国公司，在全球范围内招聘在线英语教师。2020年，该公司部署了一套AI自动筛选系统用于处理在线求职申请。该系统被编程为自动拒绝年龄较大的求职者——具体而言，系统设定自动排除55岁以上的女性申请者和60岁以上的男性申请者。2022年，美国平等就业机会委员会（EEOC）代表200多名因此被自动拒绝的求职者向iTutorGroup提起年龄歧视诉讼。EEOC的调查发现，该公司在2020年3月至8月期间，使用AI筛选系统自动拒绝了超过200名合格的年长求职者，其中一些求职者拥有数十年的教学经验[45]。</w:t>
      </w:r>
    </w:p>
    <w:p w14:paraId="4957E654">
      <w:pPr>
        <w:spacing w:before="0" w:after="0" w:line="240" w:lineRule="auto"/>
        <w:ind w:firstLine="420"/>
        <w:rPr>
          <w:rFonts w:ascii="宋体" w:hAnsi="宋体" w:eastAsia="宋体"/>
          <w:b w:val="0"/>
          <w:i w:val="0"/>
          <w:sz w:val="21"/>
        </w:rPr>
      </w:pPr>
    </w:p>
    <w:p w14:paraId="73644075">
      <w:pPr>
        <w:spacing w:before="0" w:after="0" w:line="240" w:lineRule="auto"/>
        <w:ind w:firstLine="420"/>
        <w:rPr>
          <w:rFonts w:ascii="宋体" w:hAnsi="宋体" w:eastAsia="宋体"/>
          <w:b w:val="0"/>
          <w:i w:val="0"/>
          <w:sz w:val="21"/>
        </w:rPr>
      </w:pPr>
      <w:r>
        <w:rPr>
          <w:rFonts w:ascii="宋体" w:hAnsi="宋体" w:eastAsia="宋体"/>
          <w:b w:val="0"/>
          <w:i w:val="0"/>
          <w:sz w:val="21"/>
        </w:rPr>
        <w:t>案件结果：2023年8月，iTutorGroup同意支付365,000美元（约合265万元人民币）以和解此案。除了经济赔偿外，和解协议还要求该公司停止使用基于年龄的自动筛选功能，并为人力资源人员提供反歧视培训。这是EEOC提起的首个涉及AI招聘歧视的和解案件，具有里程碑意义。</w:t>
      </w:r>
    </w:p>
    <w:p w14:paraId="0E6E45DC">
      <w:pPr>
        <w:spacing w:before="0" w:after="0" w:line="240" w:lineRule="auto"/>
        <w:ind w:firstLine="420"/>
        <w:rPr>
          <w:rFonts w:ascii="宋体" w:hAnsi="宋体" w:eastAsia="宋体"/>
          <w:b w:val="0"/>
          <w:i w:val="0"/>
          <w:sz w:val="21"/>
        </w:rPr>
      </w:pPr>
    </w:p>
    <w:p w14:paraId="23EEBFA0">
      <w:pPr>
        <w:spacing w:before="0" w:after="0" w:line="240" w:lineRule="auto"/>
        <w:ind w:firstLine="420"/>
        <w:rPr>
          <w:rFonts w:ascii="宋体" w:hAnsi="宋体" w:eastAsia="宋体"/>
          <w:b w:val="0"/>
          <w:i w:val="0"/>
          <w:sz w:val="21"/>
        </w:rPr>
      </w:pPr>
      <w:r>
        <w:rPr>
          <w:rFonts w:ascii="宋体" w:hAnsi="宋体" w:eastAsia="宋体"/>
          <w:b w:val="0"/>
          <w:i w:val="0"/>
          <w:sz w:val="21"/>
        </w:rPr>
        <w:t>伦理分析：本案例中算法歧视具有"自动化、规模化、隐蔽化"的系统性特征。与人类个体的偏见不同，AI招聘系统的歧视可以固化为标准化操作，在数秒内拒绝数百名合格求职者，而每个被拒绝的求职者甚至不知道自己是被"算法"而非"人类"拒绝的。这种歧视的规模和隐蔽性使其社会危害远超传统形式的就业歧视。</w:t>
      </w:r>
    </w:p>
    <w:p w14:paraId="3F0181B5">
      <w:pPr>
        <w:spacing w:before="0" w:after="0" w:line="240" w:lineRule="auto"/>
        <w:ind w:firstLine="420"/>
        <w:rPr>
          <w:rFonts w:ascii="宋体" w:hAnsi="宋体" w:eastAsia="宋体"/>
          <w:b w:val="0"/>
          <w:i w:val="0"/>
          <w:sz w:val="21"/>
        </w:rPr>
      </w:pPr>
    </w:p>
    <w:p w14:paraId="4761BABA">
      <w:pPr>
        <w:spacing w:before="0" w:after="0" w:line="240" w:lineRule="auto"/>
        <w:ind w:firstLine="420"/>
        <w:rPr>
          <w:rFonts w:ascii="宋体" w:hAnsi="宋体" w:eastAsia="宋体"/>
          <w:b w:val="0"/>
          <w:i w:val="0"/>
          <w:sz w:val="21"/>
        </w:rPr>
      </w:pPr>
      <w:r>
        <w:rPr>
          <w:rFonts w:ascii="宋体" w:hAnsi="宋体" w:eastAsia="宋体"/>
          <w:b w:val="0"/>
          <w:i w:val="0"/>
          <w:sz w:val="21"/>
        </w:rPr>
        <w:t>从偏见来源看，本案例中的年龄歧视是直接编程的（硬编码规则），但更多情况下，AI偏见来自训练数据中的历史模式。即使开发者没有明确的歧视意图，AI系统仍可能通过训练数据反映历史上的就业不平等、特征工程中包含"代理变量"、以及模型在优化预测准确性时过度依赖统计相关性而忽视因果关系。</w:t>
      </w:r>
    </w:p>
    <w:p w14:paraId="29A53298">
      <w:pPr>
        <w:spacing w:before="0" w:after="0" w:line="240" w:lineRule="auto"/>
        <w:ind w:firstLine="420"/>
        <w:rPr>
          <w:rFonts w:ascii="宋体" w:hAnsi="宋体" w:eastAsia="宋体"/>
          <w:b w:val="0"/>
          <w:i w:val="0"/>
          <w:sz w:val="21"/>
        </w:rPr>
      </w:pPr>
    </w:p>
    <w:p w14:paraId="24D823CC">
      <w:pPr>
        <w:spacing w:before="0" w:after="0" w:line="240" w:lineRule="auto"/>
        <w:ind w:firstLine="420"/>
        <w:rPr>
          <w:rFonts w:ascii="宋体" w:hAnsi="宋体" w:eastAsia="宋体"/>
          <w:b w:val="0"/>
          <w:i w:val="0"/>
          <w:sz w:val="21"/>
        </w:rPr>
      </w:pPr>
      <w:r>
        <w:rPr>
          <w:rFonts w:ascii="宋体" w:hAnsi="宋体" w:eastAsia="宋体"/>
          <w:b w:val="0"/>
          <w:i w:val="0"/>
          <w:sz w:val="21"/>
        </w:rPr>
        <w:t>此案对AI智能体伦理治理的启示是多方面的：（1）事前审计的必要性——在部署AI招聘智能体之前，应进行强制性的算法偏见审计；（2）透明度保障——求职者应被明确告知AI系统在招聘流程中的使用，以及他们有权要求人工审查；（3）持续监控——算法偏见可能随时间漂移，偏见检测应是持续的而非一次性的；（4）人的最终决定权——招聘、晋升、解雇等对个人生计产生重大影响的决策，AI智能体应仅提供辅助性建议，最终决定权应始终保留在受过反偏见培训的人类决策者手中。</w:t>
      </w:r>
    </w:p>
    <w:p w14:paraId="7D9C9163">
      <w:pPr>
        <w:spacing w:before="0" w:after="0" w:line="240" w:lineRule="auto"/>
        <w:ind w:firstLine="420"/>
        <w:rPr>
          <w:rFonts w:ascii="宋体" w:hAnsi="宋体" w:eastAsia="宋体"/>
          <w:b w:val="0"/>
          <w:i w:val="0"/>
          <w:sz w:val="21"/>
        </w:rPr>
      </w:pPr>
    </w:p>
    <w:p w14:paraId="4BE16C4B">
      <w:pPr>
        <w:pStyle w:val="4"/>
      </w:pPr>
      <w:r>
        <w:rPr>
          <w:rFonts w:ascii="黑体" w:hAnsi="黑体" w:eastAsia="黑体"/>
        </w:rPr>
        <w:t>案例三：AI深度伪造金融诈骗案</w:t>
      </w:r>
    </w:p>
    <w:p w14:paraId="1D91E782">
      <w:pPr>
        <w:spacing w:before="0" w:after="0" w:line="240" w:lineRule="auto"/>
        <w:ind w:firstLine="420"/>
      </w:pPr>
      <w:r>
        <w:rPr>
          <w:rFonts w:ascii="宋体" w:hAnsi="宋体" w:eastAsia="宋体"/>
          <w:b w:val="0"/>
          <w:i w:val="0"/>
          <w:sz w:val="21"/>
        </w:rPr>
        <w:t>案件背景：2024年2月，香港警方披露了一起震惊全球的重大AI深度伪造（Deepfake）诈骗案。一家跨国公司的香港分公司财务人员接到了一通看似来自其英国总部CFO的视频会议邀请。在视频会议中，除了受害人本人外，其他所有"参会者"——包括CFO和其他高级管理人员——均为使用AI深度伪造技术生成的虚假形象。诈骗者利用公开可获取的高管照片、视频和音频资料，使用AI深度学习技术生成了高度逼真的实时视频和音频，成功冒充公司高层。</w:t>
      </w:r>
    </w:p>
    <w:p w14:paraId="2BA86622">
      <w:pPr>
        <w:spacing w:before="0" w:after="0" w:line="240" w:lineRule="auto"/>
        <w:ind w:firstLine="420"/>
        <w:rPr>
          <w:rFonts w:ascii="宋体" w:hAnsi="宋体" w:eastAsia="宋体"/>
          <w:b w:val="0"/>
          <w:i w:val="0"/>
          <w:sz w:val="21"/>
        </w:rPr>
      </w:pPr>
    </w:p>
    <w:p w14:paraId="6EF7EA39">
      <w:pPr>
        <w:spacing w:before="0" w:after="0" w:line="240" w:lineRule="auto"/>
        <w:ind w:firstLine="420"/>
      </w:pPr>
      <w:r>
        <w:rPr>
          <w:rFonts w:ascii="宋体" w:hAnsi="宋体" w:eastAsia="宋体"/>
          <w:b w:val="0"/>
          <w:i w:val="0"/>
          <w:sz w:val="21"/>
        </w:rPr>
        <w:t>在视频会议中，这些"AI高管"指示该财务人员向指定账户转账，声称这是一项"保密收购交易"。该财务人员因看到和听到"真人"视频而完全相信了指令的真实性，先后进行了15次转账，总计汇出2亿港元（约合2,560万美元）。直至该员工事后通过电话向总部验证，才发现被骗[46]。</w:t>
      </w:r>
    </w:p>
    <w:p w14:paraId="20FB7D7B">
      <w:pPr>
        <w:spacing w:before="0" w:after="0" w:line="240" w:lineRule="auto"/>
        <w:ind w:firstLine="420"/>
        <w:rPr>
          <w:rFonts w:ascii="宋体" w:hAnsi="宋体" w:eastAsia="宋体"/>
          <w:b w:val="0"/>
          <w:i w:val="0"/>
          <w:sz w:val="21"/>
        </w:rPr>
      </w:pPr>
    </w:p>
    <w:p w14:paraId="763484BE">
      <w:pPr>
        <w:spacing w:before="0" w:after="0" w:line="240" w:lineRule="auto"/>
        <w:ind w:firstLine="420"/>
      </w:pPr>
      <w:r>
        <w:rPr>
          <w:rFonts w:ascii="宋体" w:hAnsi="宋体" w:eastAsia="宋体"/>
          <w:b w:val="0"/>
          <w:i w:val="0"/>
          <w:sz w:val="21"/>
        </w:rPr>
        <w:t>案件分析：此案展示了AI智能体技术被用于恶意目的时的极端危险性。从技术可信度跃升角度看，传统电信诈骗通常依赖文字消息或语音电话，容易引起警惕。而AI深度伪造技术将诈骗的"逼真度"提升到了全新水平——受害者不仅听到"声音"，还看到"面孔"，且行为表情自然流畅。这种多模态的逼真伪造使得人类长期以来依赖的"视觉信任"（Seeing is Believing）本能彻底失效。</w:t>
      </w:r>
    </w:p>
    <w:p w14:paraId="1E7ED9AA">
      <w:pPr>
        <w:spacing w:before="0" w:after="0" w:line="240" w:lineRule="auto"/>
        <w:ind w:firstLine="420"/>
        <w:rPr>
          <w:rFonts w:ascii="宋体" w:hAnsi="宋体" w:eastAsia="宋体"/>
          <w:b w:val="0"/>
          <w:i w:val="0"/>
          <w:sz w:val="21"/>
        </w:rPr>
      </w:pPr>
    </w:p>
    <w:p w14:paraId="08C43663">
      <w:pPr>
        <w:spacing w:before="0" w:after="0" w:line="240" w:lineRule="auto"/>
        <w:ind w:firstLine="420"/>
        <w:rPr>
          <w:rFonts w:ascii="宋体" w:hAnsi="宋体" w:eastAsia="宋体"/>
          <w:b w:val="0"/>
          <w:i w:val="0"/>
          <w:sz w:val="21"/>
        </w:rPr>
      </w:pPr>
      <w:r>
        <w:rPr>
          <w:rFonts w:ascii="宋体" w:hAnsi="宋体" w:eastAsia="宋体"/>
          <w:b w:val="0"/>
          <w:i w:val="0"/>
          <w:sz w:val="21"/>
        </w:rPr>
        <w:t>从信息环境安全角度看，本案暴露了当前信息环境的一个根本性脆弱性：当视频和声音可以被近乎完美地伪造时，远程通信中的身份验证机制面临全面失败。每一位在数字环境中工作的人都需要重新审视"眼见是否为实"这一基本假设。此外，AI赋能犯罪呈现显著的不对称性：攻击者只需要成功一次即可获得巨额收益，而防御者需要防范每一次攻击。AI技术大幅降低了高逼真度伪造的成本和技术门槛，使得针对特定目标的"精准诈骗"规模化成为可能。</w:t>
      </w:r>
    </w:p>
    <w:p w14:paraId="01D7B98B">
      <w:pPr>
        <w:spacing w:before="0" w:after="0" w:line="240" w:lineRule="auto"/>
        <w:ind w:firstLine="420"/>
        <w:rPr>
          <w:rFonts w:ascii="宋体" w:hAnsi="宋体" w:eastAsia="宋体"/>
          <w:b w:val="0"/>
          <w:i w:val="0"/>
          <w:sz w:val="21"/>
        </w:rPr>
      </w:pPr>
    </w:p>
    <w:p w14:paraId="45175DF1">
      <w:pPr>
        <w:spacing w:before="0" w:after="0" w:line="240" w:lineRule="auto"/>
        <w:ind w:firstLine="420"/>
      </w:pPr>
      <w:r>
        <w:rPr>
          <w:rFonts w:ascii="宋体" w:hAnsi="宋体" w:eastAsia="宋体"/>
          <w:b w:val="0"/>
          <w:i w:val="0"/>
          <w:sz w:val="21"/>
        </w:rPr>
        <w:t>从治理角度看，此案提示了以下方向：（1）企业需要建立多因素身份验证机制，包括预设的安全口令、区块链时间戳验证等，单纯依赖视频通话不应再被视为安全的身份确认方式；（2）金融机构应建立大额转账的多重确认流程和"冷静期"机制；（3）平台和工具开发者应开发更强大的深度伪造检测技术，并降低使用门槛；（4）法律执行机构需要建立跨国AI犯罪的快速协作机制。</w:t>
      </w:r>
    </w:p>
    <w:p w14:paraId="0D4A8815">
      <w:pPr>
        <w:spacing w:before="120" w:after="60"/>
        <w:jc w:val="center"/>
      </w:pPr>
      <w:r>
        <w:rPr>
          <w:rFonts w:ascii="宋体" w:hAnsi="宋体" w:eastAsia="宋体"/>
          <w:b/>
          <w:sz w:val="18"/>
        </w:rPr>
        <w:t>表5  代表性AI智能体伦理案例对比分析</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B0239EB">
        <w:trPr>
          <w:jc w:val="center"/>
        </w:trPr>
        <w:tc>
          <w:tcPr>
            <w:tcW w:w="2161" w:type="dxa"/>
            <w:shd w:val="clear" w:color="auto" w:fill="1A1A2E"/>
            <w:noWrap w:val="0"/>
            <w:vAlign w:val="top"/>
          </w:tcPr>
          <w:p w14:paraId="5645634C">
            <w:pPr>
              <w:spacing w:line="240" w:lineRule="auto"/>
              <w:jc w:val="center"/>
            </w:pPr>
            <w:r>
              <w:rPr>
                <w:rFonts w:ascii="宋体" w:hAnsi="宋体" w:eastAsia="宋体"/>
                <w:b/>
                <w:color w:val="FFFFFF"/>
                <w:sz w:val="16"/>
              </w:rPr>
              <w:t>分析维度</w:t>
            </w:r>
          </w:p>
        </w:tc>
        <w:tc>
          <w:tcPr>
            <w:tcW w:w="2161" w:type="dxa"/>
            <w:shd w:val="clear" w:color="auto" w:fill="1A1A2E"/>
            <w:noWrap w:val="0"/>
            <w:vAlign w:val="top"/>
          </w:tcPr>
          <w:p w14:paraId="108931A3">
            <w:pPr>
              <w:spacing w:line="240" w:lineRule="auto"/>
              <w:jc w:val="center"/>
            </w:pPr>
            <w:r>
              <w:rPr>
                <w:rFonts w:ascii="宋体" w:hAnsi="宋体" w:eastAsia="宋体"/>
                <w:b/>
                <w:color w:val="FFFFFF"/>
                <w:sz w:val="16"/>
              </w:rPr>
              <w:t>加拿大航空AI客服案</w:t>
            </w:r>
          </w:p>
        </w:tc>
        <w:tc>
          <w:tcPr>
            <w:tcW w:w="2161" w:type="dxa"/>
            <w:shd w:val="clear" w:color="auto" w:fill="1A1A2E"/>
            <w:noWrap w:val="0"/>
            <w:vAlign w:val="top"/>
          </w:tcPr>
          <w:p w14:paraId="794885D8">
            <w:pPr>
              <w:spacing w:line="240" w:lineRule="auto"/>
              <w:jc w:val="center"/>
            </w:pPr>
            <w:r>
              <w:rPr>
                <w:rFonts w:ascii="宋体" w:hAnsi="宋体" w:eastAsia="宋体"/>
                <w:b/>
                <w:color w:val="FFFFFF"/>
                <w:sz w:val="16"/>
              </w:rPr>
              <w:t>iTutorGroup AI招聘歧视案</w:t>
            </w:r>
          </w:p>
        </w:tc>
        <w:tc>
          <w:tcPr>
            <w:tcW w:w="2161" w:type="dxa"/>
            <w:shd w:val="clear" w:color="auto" w:fill="1A1A2E"/>
            <w:noWrap w:val="0"/>
            <w:vAlign w:val="top"/>
          </w:tcPr>
          <w:p w14:paraId="5DE74D80">
            <w:pPr>
              <w:spacing w:line="240" w:lineRule="auto"/>
              <w:jc w:val="center"/>
            </w:pPr>
            <w:r>
              <w:rPr>
                <w:rFonts w:ascii="宋体" w:hAnsi="宋体" w:eastAsia="宋体"/>
                <w:b/>
                <w:color w:val="FFFFFF"/>
                <w:sz w:val="16"/>
              </w:rPr>
              <w:t>AI深度伪造金融诈骗案</w:t>
            </w:r>
          </w:p>
        </w:tc>
      </w:tr>
      <w:tr w14:paraId="3F28FC5C">
        <w:trPr>
          <w:jc w:val="center"/>
        </w:trPr>
        <w:tc>
          <w:tcPr>
            <w:tcW w:w="2161" w:type="dxa"/>
            <w:noWrap w:val="0"/>
            <w:vAlign w:val="top"/>
          </w:tcPr>
          <w:p w14:paraId="58EACC4B">
            <w:pPr>
              <w:spacing w:line="240" w:lineRule="auto"/>
              <w:jc w:val="center"/>
            </w:pPr>
            <w:r>
              <w:rPr>
                <w:rFonts w:ascii="宋体" w:hAnsi="宋体" w:eastAsia="宋体"/>
                <w:sz w:val="16"/>
              </w:rPr>
              <w:t>发生时间</w:t>
            </w:r>
          </w:p>
        </w:tc>
        <w:tc>
          <w:tcPr>
            <w:tcW w:w="2161" w:type="dxa"/>
            <w:noWrap w:val="0"/>
            <w:vAlign w:val="top"/>
          </w:tcPr>
          <w:p w14:paraId="3E862B09">
            <w:pPr>
              <w:spacing w:line="240" w:lineRule="auto"/>
              <w:jc w:val="center"/>
            </w:pPr>
            <w:r>
              <w:rPr>
                <w:rFonts w:ascii="宋体" w:hAnsi="宋体" w:eastAsia="宋体"/>
                <w:sz w:val="16"/>
              </w:rPr>
              <w:t>2022-2024年</w:t>
            </w:r>
          </w:p>
        </w:tc>
        <w:tc>
          <w:tcPr>
            <w:tcW w:w="2161" w:type="dxa"/>
            <w:noWrap w:val="0"/>
            <w:vAlign w:val="top"/>
          </w:tcPr>
          <w:p w14:paraId="416F60EF">
            <w:pPr>
              <w:spacing w:line="240" w:lineRule="auto"/>
              <w:jc w:val="center"/>
            </w:pPr>
            <w:r>
              <w:rPr>
                <w:rFonts w:ascii="宋体" w:hAnsi="宋体" w:eastAsia="宋体"/>
                <w:sz w:val="16"/>
              </w:rPr>
              <w:t>2020-2023年</w:t>
            </w:r>
          </w:p>
        </w:tc>
        <w:tc>
          <w:tcPr>
            <w:tcW w:w="2161" w:type="dxa"/>
            <w:noWrap w:val="0"/>
            <w:vAlign w:val="top"/>
          </w:tcPr>
          <w:p w14:paraId="3A06793B">
            <w:pPr>
              <w:spacing w:line="240" w:lineRule="auto"/>
              <w:jc w:val="center"/>
            </w:pPr>
            <w:r>
              <w:rPr>
                <w:rFonts w:ascii="宋体" w:hAnsi="宋体" w:eastAsia="宋体"/>
                <w:sz w:val="16"/>
              </w:rPr>
              <w:t>2024年</w:t>
            </w:r>
          </w:p>
        </w:tc>
      </w:tr>
      <w:tr w14:paraId="58F80310">
        <w:trPr>
          <w:jc w:val="center"/>
        </w:trPr>
        <w:tc>
          <w:tcPr>
            <w:tcW w:w="2161" w:type="dxa"/>
            <w:noWrap w:val="0"/>
            <w:vAlign w:val="top"/>
          </w:tcPr>
          <w:p w14:paraId="61B76F6F">
            <w:pPr>
              <w:spacing w:line="240" w:lineRule="auto"/>
              <w:jc w:val="center"/>
            </w:pPr>
            <w:r>
              <w:rPr>
                <w:rFonts w:ascii="宋体" w:hAnsi="宋体" w:eastAsia="宋体"/>
                <w:sz w:val="16"/>
              </w:rPr>
              <w:t>涉及领域</w:t>
            </w:r>
          </w:p>
        </w:tc>
        <w:tc>
          <w:tcPr>
            <w:tcW w:w="2161" w:type="dxa"/>
            <w:noWrap w:val="0"/>
            <w:vAlign w:val="top"/>
          </w:tcPr>
          <w:p w14:paraId="53F3C470">
            <w:pPr>
              <w:spacing w:line="240" w:lineRule="auto"/>
              <w:jc w:val="center"/>
            </w:pPr>
            <w:r>
              <w:rPr>
                <w:rFonts w:ascii="宋体" w:hAnsi="宋体" w:eastAsia="宋体"/>
                <w:sz w:val="16"/>
              </w:rPr>
              <w:t>消费者服务</w:t>
            </w:r>
          </w:p>
        </w:tc>
        <w:tc>
          <w:tcPr>
            <w:tcW w:w="2161" w:type="dxa"/>
            <w:noWrap w:val="0"/>
            <w:vAlign w:val="top"/>
          </w:tcPr>
          <w:p w14:paraId="11AE6D19">
            <w:pPr>
              <w:spacing w:line="240" w:lineRule="auto"/>
              <w:jc w:val="center"/>
            </w:pPr>
            <w:r>
              <w:rPr>
                <w:rFonts w:ascii="宋体" w:hAnsi="宋体" w:eastAsia="宋体"/>
                <w:sz w:val="16"/>
              </w:rPr>
              <w:t>就业与招聘</w:t>
            </w:r>
          </w:p>
        </w:tc>
        <w:tc>
          <w:tcPr>
            <w:tcW w:w="2161" w:type="dxa"/>
            <w:noWrap w:val="0"/>
            <w:vAlign w:val="top"/>
          </w:tcPr>
          <w:p w14:paraId="59C3F8D0">
            <w:pPr>
              <w:spacing w:line="240" w:lineRule="auto"/>
              <w:jc w:val="center"/>
            </w:pPr>
            <w:r>
              <w:rPr>
                <w:rFonts w:ascii="宋体" w:hAnsi="宋体" w:eastAsia="宋体"/>
                <w:sz w:val="16"/>
              </w:rPr>
              <w:t>金融安全</w:t>
            </w:r>
          </w:p>
        </w:tc>
      </w:tr>
      <w:tr w14:paraId="70330709">
        <w:trPr>
          <w:jc w:val="center"/>
        </w:trPr>
        <w:tc>
          <w:tcPr>
            <w:tcW w:w="2161" w:type="dxa"/>
            <w:noWrap w:val="0"/>
            <w:vAlign w:val="top"/>
          </w:tcPr>
          <w:p w14:paraId="12877E69">
            <w:pPr>
              <w:spacing w:line="240" w:lineRule="auto"/>
              <w:jc w:val="center"/>
            </w:pPr>
            <w:r>
              <w:rPr>
                <w:rFonts w:ascii="宋体" w:hAnsi="宋体" w:eastAsia="宋体"/>
                <w:sz w:val="16"/>
              </w:rPr>
              <w:t>核心伦理问题</w:t>
            </w:r>
          </w:p>
        </w:tc>
        <w:tc>
          <w:tcPr>
            <w:tcW w:w="2161" w:type="dxa"/>
            <w:noWrap w:val="0"/>
            <w:vAlign w:val="top"/>
          </w:tcPr>
          <w:p w14:paraId="78012170">
            <w:pPr>
              <w:spacing w:line="240" w:lineRule="auto"/>
              <w:jc w:val="center"/>
            </w:pPr>
            <w:r>
              <w:rPr>
                <w:rFonts w:ascii="宋体" w:hAnsi="宋体" w:eastAsia="宋体"/>
                <w:sz w:val="16"/>
              </w:rPr>
              <w:t>AI责任归属、企业注意义务</w:t>
            </w:r>
            <w:r>
              <w:rPr>
                <w:rFonts w:ascii="宋体" w:hAnsi="宋体" w:eastAsia="宋体"/>
                <w:sz w:val="16"/>
              </w:rPr>
              <w:br w:type="textWrapping"/>
            </w:r>
            <w:r>
              <w:rPr>
                <w:rFonts w:ascii="宋体" w:hAnsi="宋体" w:eastAsia="宋体"/>
                <w:sz w:val="16"/>
              </w:rPr>
              <w:t>用户信任</w:t>
            </w:r>
          </w:p>
        </w:tc>
        <w:tc>
          <w:tcPr>
            <w:tcW w:w="2161" w:type="dxa"/>
            <w:noWrap w:val="0"/>
            <w:vAlign w:val="top"/>
          </w:tcPr>
          <w:p w14:paraId="621063FB">
            <w:pPr>
              <w:spacing w:line="240" w:lineRule="auto"/>
              <w:jc w:val="center"/>
            </w:pPr>
            <w:r>
              <w:rPr>
                <w:rFonts w:ascii="宋体" w:hAnsi="宋体" w:eastAsia="宋体"/>
                <w:sz w:val="16"/>
              </w:rPr>
              <w:t>算法歧视、就业公平</w:t>
            </w:r>
            <w:r>
              <w:rPr>
                <w:rFonts w:ascii="宋体" w:hAnsi="宋体" w:eastAsia="宋体"/>
                <w:sz w:val="16"/>
              </w:rPr>
              <w:br w:type="textWrapping"/>
            </w:r>
            <w:r>
              <w:rPr>
                <w:rFonts w:ascii="宋体" w:hAnsi="宋体" w:eastAsia="宋体"/>
                <w:sz w:val="16"/>
              </w:rPr>
              <w:t>自动化决策</w:t>
            </w:r>
          </w:p>
        </w:tc>
        <w:tc>
          <w:tcPr>
            <w:tcW w:w="2161" w:type="dxa"/>
            <w:noWrap w:val="0"/>
            <w:vAlign w:val="top"/>
          </w:tcPr>
          <w:p w14:paraId="327775DE">
            <w:pPr>
              <w:spacing w:line="240" w:lineRule="auto"/>
              <w:jc w:val="center"/>
            </w:pPr>
            <w:r>
              <w:rPr>
                <w:rFonts w:ascii="宋体" w:hAnsi="宋体" w:eastAsia="宋体"/>
                <w:sz w:val="16"/>
              </w:rPr>
              <w:t>技术恶意滥用、身份认证安全</w:t>
            </w:r>
            <w:r>
              <w:rPr>
                <w:rFonts w:ascii="宋体" w:hAnsi="宋体" w:eastAsia="宋体"/>
                <w:sz w:val="16"/>
              </w:rPr>
              <w:br w:type="textWrapping"/>
            </w:r>
            <w:r>
              <w:rPr>
                <w:rFonts w:ascii="宋体" w:hAnsi="宋体" w:eastAsia="宋体"/>
                <w:sz w:val="16"/>
              </w:rPr>
              <w:t>跨国犯罪</w:t>
            </w:r>
          </w:p>
        </w:tc>
      </w:tr>
      <w:tr w14:paraId="1156C4B8">
        <w:trPr>
          <w:jc w:val="center"/>
        </w:trPr>
        <w:tc>
          <w:tcPr>
            <w:tcW w:w="2161" w:type="dxa"/>
            <w:noWrap w:val="0"/>
            <w:vAlign w:val="top"/>
          </w:tcPr>
          <w:p w14:paraId="4604D2C9">
            <w:pPr>
              <w:spacing w:line="240" w:lineRule="auto"/>
              <w:jc w:val="center"/>
            </w:pPr>
            <w:r>
              <w:rPr>
                <w:rFonts w:ascii="宋体" w:hAnsi="宋体" w:eastAsia="宋体"/>
                <w:sz w:val="16"/>
              </w:rPr>
              <w:t>AI角色</w:t>
            </w:r>
          </w:p>
        </w:tc>
        <w:tc>
          <w:tcPr>
            <w:tcW w:w="2161" w:type="dxa"/>
            <w:noWrap w:val="0"/>
            <w:vAlign w:val="top"/>
          </w:tcPr>
          <w:p w14:paraId="4CA19647">
            <w:pPr>
              <w:spacing w:line="240" w:lineRule="auto"/>
              <w:jc w:val="center"/>
            </w:pPr>
            <w:r>
              <w:rPr>
                <w:rFonts w:ascii="宋体" w:hAnsi="宋体" w:eastAsia="宋体"/>
                <w:sz w:val="16"/>
              </w:rPr>
              <w:t>面向消费者的AI客服智能体</w:t>
            </w:r>
          </w:p>
        </w:tc>
        <w:tc>
          <w:tcPr>
            <w:tcW w:w="2161" w:type="dxa"/>
            <w:noWrap w:val="0"/>
            <w:vAlign w:val="top"/>
          </w:tcPr>
          <w:p w14:paraId="14480F45">
            <w:pPr>
              <w:spacing w:line="240" w:lineRule="auto"/>
              <w:jc w:val="center"/>
            </w:pPr>
            <w:r>
              <w:rPr>
                <w:rFonts w:ascii="宋体" w:hAnsi="宋体" w:eastAsia="宋体"/>
                <w:sz w:val="16"/>
              </w:rPr>
              <w:t>后台自动筛选AI系统</w:t>
            </w:r>
          </w:p>
        </w:tc>
        <w:tc>
          <w:tcPr>
            <w:tcW w:w="2161" w:type="dxa"/>
            <w:noWrap w:val="0"/>
            <w:vAlign w:val="top"/>
          </w:tcPr>
          <w:p w14:paraId="38A716DB">
            <w:pPr>
              <w:spacing w:line="240" w:lineRule="auto"/>
              <w:jc w:val="center"/>
            </w:pPr>
            <w:r>
              <w:rPr>
                <w:rFonts w:ascii="宋体" w:hAnsi="宋体" w:eastAsia="宋体"/>
                <w:sz w:val="16"/>
              </w:rPr>
              <w:t>恶意AI深度伪造技术</w:t>
            </w:r>
          </w:p>
        </w:tc>
      </w:tr>
      <w:tr w14:paraId="3B0E29DE">
        <w:trPr>
          <w:jc w:val="center"/>
        </w:trPr>
        <w:tc>
          <w:tcPr>
            <w:tcW w:w="2161" w:type="dxa"/>
            <w:noWrap w:val="0"/>
            <w:vAlign w:val="top"/>
          </w:tcPr>
          <w:p w14:paraId="4B9C54C5">
            <w:pPr>
              <w:spacing w:line="240" w:lineRule="auto"/>
              <w:jc w:val="center"/>
            </w:pPr>
            <w:r>
              <w:rPr>
                <w:rFonts w:ascii="宋体" w:hAnsi="宋体" w:eastAsia="宋体"/>
                <w:sz w:val="16"/>
              </w:rPr>
              <w:t>损害后果</w:t>
            </w:r>
          </w:p>
        </w:tc>
        <w:tc>
          <w:tcPr>
            <w:tcW w:w="2161" w:type="dxa"/>
            <w:noWrap w:val="0"/>
            <w:vAlign w:val="top"/>
          </w:tcPr>
          <w:p w14:paraId="03D3F3EF">
            <w:pPr>
              <w:spacing w:line="240" w:lineRule="auto"/>
              <w:jc w:val="center"/>
            </w:pPr>
            <w:r>
              <w:rPr>
                <w:rFonts w:ascii="宋体" w:hAnsi="宋体" w:eastAsia="宋体"/>
                <w:sz w:val="16"/>
              </w:rPr>
              <w:t>消费者经济损失</w:t>
            </w:r>
            <w:r>
              <w:rPr>
                <w:rFonts w:ascii="宋体" w:hAnsi="宋体" w:eastAsia="宋体"/>
                <w:sz w:val="16"/>
              </w:rPr>
              <w:br w:type="textWrapping"/>
            </w:r>
            <w:r>
              <w:rPr>
                <w:rFonts w:ascii="宋体" w:hAnsi="宋体" w:eastAsia="宋体"/>
                <w:sz w:val="16"/>
              </w:rPr>
              <w:t>（约650加元）</w:t>
            </w:r>
          </w:p>
        </w:tc>
        <w:tc>
          <w:tcPr>
            <w:tcW w:w="2161" w:type="dxa"/>
            <w:noWrap w:val="0"/>
            <w:vAlign w:val="top"/>
          </w:tcPr>
          <w:p w14:paraId="1079F169">
            <w:pPr>
              <w:spacing w:line="240" w:lineRule="auto"/>
              <w:jc w:val="center"/>
            </w:pPr>
            <w:r>
              <w:rPr>
                <w:rFonts w:ascii="宋体" w:hAnsi="宋体" w:eastAsia="宋体"/>
                <w:sz w:val="16"/>
              </w:rPr>
              <w:t>200+名年长求职者</w:t>
            </w:r>
            <w:r>
              <w:rPr>
                <w:rFonts w:ascii="宋体" w:hAnsi="宋体" w:eastAsia="宋体"/>
                <w:sz w:val="16"/>
              </w:rPr>
              <w:br w:type="textWrapping"/>
            </w:r>
            <w:r>
              <w:rPr>
                <w:rFonts w:ascii="宋体" w:hAnsi="宋体" w:eastAsia="宋体"/>
                <w:sz w:val="16"/>
              </w:rPr>
              <w:t>被歧视性拒聘</w:t>
            </w:r>
          </w:p>
        </w:tc>
        <w:tc>
          <w:tcPr>
            <w:tcW w:w="2161" w:type="dxa"/>
            <w:noWrap w:val="0"/>
            <w:vAlign w:val="top"/>
          </w:tcPr>
          <w:p w14:paraId="558E76F7">
            <w:pPr>
              <w:spacing w:line="240" w:lineRule="auto"/>
              <w:jc w:val="center"/>
            </w:pPr>
            <w:r>
              <w:rPr>
                <w:rFonts w:ascii="宋体" w:hAnsi="宋体" w:eastAsia="宋体"/>
                <w:sz w:val="16"/>
              </w:rPr>
              <w:t>企业经济损失2亿港元</w:t>
            </w:r>
          </w:p>
        </w:tc>
      </w:tr>
      <w:tr w14:paraId="5310C25B">
        <w:trPr>
          <w:jc w:val="center"/>
        </w:trPr>
        <w:tc>
          <w:tcPr>
            <w:tcW w:w="2161" w:type="dxa"/>
            <w:noWrap w:val="0"/>
            <w:vAlign w:val="top"/>
          </w:tcPr>
          <w:p w14:paraId="2A79E395">
            <w:pPr>
              <w:spacing w:line="240" w:lineRule="auto"/>
              <w:jc w:val="center"/>
            </w:pPr>
            <w:r>
              <w:rPr>
                <w:rFonts w:ascii="宋体" w:hAnsi="宋体" w:eastAsia="宋体"/>
                <w:sz w:val="16"/>
              </w:rPr>
              <w:t>法律处理</w:t>
            </w:r>
          </w:p>
        </w:tc>
        <w:tc>
          <w:tcPr>
            <w:tcW w:w="2161" w:type="dxa"/>
            <w:noWrap w:val="0"/>
            <w:vAlign w:val="top"/>
          </w:tcPr>
          <w:p w14:paraId="12CB72BE">
            <w:pPr>
              <w:spacing w:line="240" w:lineRule="auto"/>
              <w:jc w:val="center"/>
            </w:pPr>
            <w:r>
              <w:rPr>
                <w:rFonts w:ascii="宋体" w:hAnsi="宋体" w:eastAsia="宋体"/>
                <w:sz w:val="16"/>
              </w:rPr>
              <w:t>法庭判决企业承担责任</w:t>
            </w:r>
          </w:p>
        </w:tc>
        <w:tc>
          <w:tcPr>
            <w:tcW w:w="2161" w:type="dxa"/>
            <w:noWrap w:val="0"/>
            <w:vAlign w:val="top"/>
          </w:tcPr>
          <w:p w14:paraId="78E6A6D8">
            <w:pPr>
              <w:spacing w:line="240" w:lineRule="auto"/>
              <w:jc w:val="center"/>
            </w:pPr>
            <w:r>
              <w:rPr>
                <w:rFonts w:ascii="宋体" w:hAnsi="宋体" w:eastAsia="宋体"/>
                <w:sz w:val="16"/>
              </w:rPr>
              <w:t>EEOC起诉后以</w:t>
            </w:r>
            <w:r>
              <w:rPr>
                <w:rFonts w:ascii="宋体" w:hAnsi="宋体" w:eastAsia="宋体"/>
                <w:sz w:val="16"/>
              </w:rPr>
              <w:br w:type="textWrapping"/>
            </w:r>
            <w:r>
              <w:rPr>
                <w:rFonts w:ascii="宋体" w:hAnsi="宋体" w:eastAsia="宋体"/>
                <w:sz w:val="16"/>
              </w:rPr>
              <w:t>36.5万美元和解</w:t>
            </w:r>
          </w:p>
        </w:tc>
        <w:tc>
          <w:tcPr>
            <w:tcW w:w="2161" w:type="dxa"/>
            <w:noWrap w:val="0"/>
            <w:vAlign w:val="top"/>
          </w:tcPr>
          <w:p w14:paraId="2C3ABE2F">
            <w:pPr>
              <w:spacing w:line="240" w:lineRule="auto"/>
              <w:jc w:val="center"/>
            </w:pPr>
            <w:r>
              <w:rPr>
                <w:rFonts w:ascii="宋体" w:hAnsi="宋体" w:eastAsia="宋体"/>
                <w:sz w:val="16"/>
              </w:rPr>
              <w:t>香港警方立案调查</w:t>
            </w:r>
            <w:r>
              <w:rPr>
                <w:rFonts w:ascii="宋体" w:hAnsi="宋体" w:eastAsia="宋体"/>
                <w:sz w:val="16"/>
              </w:rPr>
              <w:br w:type="textWrapping"/>
            </w:r>
            <w:r>
              <w:rPr>
                <w:rFonts w:ascii="宋体" w:hAnsi="宋体" w:eastAsia="宋体"/>
                <w:sz w:val="16"/>
              </w:rPr>
              <w:t>追回部分资金</w:t>
            </w:r>
          </w:p>
        </w:tc>
      </w:tr>
      <w:tr w14:paraId="61A7ED3D">
        <w:trPr>
          <w:jc w:val="center"/>
        </w:trPr>
        <w:tc>
          <w:tcPr>
            <w:tcW w:w="2161" w:type="dxa"/>
            <w:noWrap w:val="0"/>
            <w:vAlign w:val="top"/>
          </w:tcPr>
          <w:p w14:paraId="22692C10">
            <w:pPr>
              <w:spacing w:line="240" w:lineRule="auto"/>
              <w:jc w:val="center"/>
            </w:pPr>
            <w:r>
              <w:rPr>
                <w:rFonts w:ascii="宋体" w:hAnsi="宋体" w:eastAsia="宋体"/>
                <w:sz w:val="16"/>
              </w:rPr>
              <w:t>核心教训</w:t>
            </w:r>
          </w:p>
        </w:tc>
        <w:tc>
          <w:tcPr>
            <w:tcW w:w="2161" w:type="dxa"/>
            <w:noWrap w:val="0"/>
            <w:vAlign w:val="top"/>
          </w:tcPr>
          <w:p w14:paraId="2AFCE31C">
            <w:pPr>
              <w:spacing w:line="240" w:lineRule="auto"/>
              <w:jc w:val="center"/>
            </w:pPr>
            <w:r>
              <w:rPr>
                <w:rFonts w:ascii="宋体" w:hAnsi="宋体" w:eastAsia="宋体"/>
                <w:sz w:val="16"/>
              </w:rPr>
              <w:t>部署者应对AI行为负责</w:t>
            </w:r>
          </w:p>
        </w:tc>
        <w:tc>
          <w:tcPr>
            <w:tcW w:w="2161" w:type="dxa"/>
            <w:noWrap w:val="0"/>
            <w:vAlign w:val="top"/>
          </w:tcPr>
          <w:p w14:paraId="7F5BBF7F">
            <w:pPr>
              <w:spacing w:line="240" w:lineRule="auto"/>
              <w:jc w:val="center"/>
            </w:pPr>
            <w:r>
              <w:rPr>
                <w:rFonts w:ascii="宋体" w:hAnsi="宋体" w:eastAsia="宋体"/>
                <w:sz w:val="16"/>
              </w:rPr>
              <w:t>AI可系统化放大歧视</w:t>
            </w:r>
          </w:p>
        </w:tc>
        <w:tc>
          <w:tcPr>
            <w:tcW w:w="2161" w:type="dxa"/>
            <w:noWrap w:val="0"/>
            <w:vAlign w:val="top"/>
          </w:tcPr>
          <w:p w14:paraId="0CC5A870">
            <w:pPr>
              <w:spacing w:line="240" w:lineRule="auto"/>
              <w:jc w:val="center"/>
            </w:pPr>
            <w:r>
              <w:rPr>
                <w:rFonts w:ascii="宋体" w:hAnsi="宋体" w:eastAsia="宋体"/>
                <w:sz w:val="16"/>
              </w:rPr>
              <w:t>深度伪造突破身份认证底线</w:t>
            </w:r>
          </w:p>
        </w:tc>
      </w:tr>
      <w:tr w14:paraId="1157FF16">
        <w:trPr>
          <w:jc w:val="center"/>
        </w:trPr>
        <w:tc>
          <w:tcPr>
            <w:tcW w:w="2161" w:type="dxa"/>
            <w:noWrap w:val="0"/>
            <w:vAlign w:val="top"/>
          </w:tcPr>
          <w:p w14:paraId="41B610A7">
            <w:pPr>
              <w:spacing w:line="240" w:lineRule="auto"/>
              <w:jc w:val="center"/>
            </w:pPr>
            <w:r>
              <w:rPr>
                <w:rFonts w:ascii="宋体" w:hAnsi="宋体" w:eastAsia="宋体"/>
                <w:sz w:val="16"/>
              </w:rPr>
              <w:t>治理启示</w:t>
            </w:r>
          </w:p>
        </w:tc>
        <w:tc>
          <w:tcPr>
            <w:tcW w:w="2161" w:type="dxa"/>
            <w:noWrap w:val="0"/>
            <w:vAlign w:val="top"/>
          </w:tcPr>
          <w:p w14:paraId="2A2F54A9">
            <w:pPr>
              <w:spacing w:line="240" w:lineRule="auto"/>
              <w:jc w:val="center"/>
            </w:pPr>
            <w:r>
              <w:rPr>
                <w:rFonts w:ascii="宋体" w:hAnsi="宋体" w:eastAsia="宋体"/>
                <w:sz w:val="16"/>
              </w:rPr>
              <w:t>明确AI责任链</w:t>
            </w:r>
            <w:r>
              <w:rPr>
                <w:rFonts w:ascii="宋体" w:hAnsi="宋体" w:eastAsia="宋体"/>
                <w:sz w:val="16"/>
              </w:rPr>
              <w:br w:type="textWrapping"/>
            </w:r>
            <w:r>
              <w:rPr>
                <w:rFonts w:ascii="宋体" w:hAnsi="宋体" w:eastAsia="宋体"/>
                <w:sz w:val="16"/>
              </w:rPr>
              <w:t>建立用户救济渠道</w:t>
            </w:r>
          </w:p>
        </w:tc>
        <w:tc>
          <w:tcPr>
            <w:tcW w:w="2161" w:type="dxa"/>
            <w:noWrap w:val="0"/>
            <w:vAlign w:val="top"/>
          </w:tcPr>
          <w:p w14:paraId="79D6F417">
            <w:pPr>
              <w:spacing w:line="240" w:lineRule="auto"/>
              <w:jc w:val="center"/>
            </w:pPr>
            <w:r>
              <w:rPr>
                <w:rFonts w:ascii="宋体" w:hAnsi="宋体" w:eastAsia="宋体"/>
                <w:sz w:val="16"/>
              </w:rPr>
              <w:t>强制偏见审计</w:t>
            </w:r>
            <w:r>
              <w:rPr>
                <w:rFonts w:ascii="宋体" w:hAnsi="宋体" w:eastAsia="宋体"/>
                <w:sz w:val="16"/>
              </w:rPr>
              <w:br w:type="textWrapping"/>
            </w:r>
            <w:r>
              <w:rPr>
                <w:rFonts w:ascii="宋体" w:hAnsi="宋体" w:eastAsia="宋体"/>
                <w:sz w:val="16"/>
              </w:rPr>
              <w:t>保障人的最终决定权</w:t>
            </w:r>
          </w:p>
        </w:tc>
        <w:tc>
          <w:tcPr>
            <w:tcW w:w="2161" w:type="dxa"/>
            <w:noWrap w:val="0"/>
            <w:vAlign w:val="top"/>
          </w:tcPr>
          <w:p w14:paraId="4D09EE5D">
            <w:pPr>
              <w:spacing w:line="240" w:lineRule="auto"/>
              <w:jc w:val="center"/>
            </w:pPr>
            <w:r>
              <w:rPr>
                <w:rFonts w:ascii="宋体" w:hAnsi="宋体" w:eastAsia="宋体"/>
                <w:sz w:val="16"/>
              </w:rPr>
              <w:t>多因素验证、跨国协作</w:t>
            </w:r>
            <w:r>
              <w:rPr>
                <w:rFonts w:ascii="宋体" w:hAnsi="宋体" w:eastAsia="宋体"/>
                <w:sz w:val="16"/>
              </w:rPr>
              <w:br w:type="textWrapping"/>
            </w:r>
            <w:r>
              <w:rPr>
                <w:rFonts w:ascii="宋体" w:hAnsi="宋体" w:eastAsia="宋体"/>
                <w:sz w:val="16"/>
              </w:rPr>
              <w:t>检测技术研发</w:t>
            </w:r>
          </w:p>
        </w:tc>
      </w:tr>
    </w:tbl>
    <w:p w14:paraId="68954E4A">
      <w:pPr>
        <w:spacing w:before="120" w:after="60"/>
        <w:jc w:val="center"/>
        <w:rPr>
          <w:rFonts w:ascii="宋体" w:hAnsi="宋体" w:eastAsia="宋体"/>
          <w:b/>
          <w:sz w:val="18"/>
        </w:rPr>
      </w:pPr>
    </w:p>
    <w:p w14:paraId="03969C2F">
      <w:pPr>
        <w:pStyle w:val="2"/>
      </w:pPr>
      <w:r>
        <w:rPr>
          <w:rFonts w:ascii="黑体" w:hAnsi="黑体" w:eastAsia="黑体"/>
        </w:rPr>
        <w:t>6. 结论</w:t>
      </w:r>
    </w:p>
    <w:p w14:paraId="19727FB1">
      <w:pPr>
        <w:spacing w:before="0" w:after="0" w:line="240" w:lineRule="auto"/>
        <w:ind w:firstLine="420"/>
      </w:pPr>
      <w:r>
        <w:rPr>
          <w:rFonts w:ascii="宋体" w:hAnsi="宋体" w:eastAsia="宋体"/>
          <w:b w:val="0"/>
          <w:i w:val="0"/>
          <w:sz w:val="21"/>
        </w:rPr>
        <w:t>AI智能体作为人工智能技术发展的新范式，正以前所未有的速度和广度渗透到社会经济的各个领域。它既代表了巨大的社会进步潜力——提高效率、降低成本、促进公平、赋能个体，也带来了深刻的伦理挑战——错误决策、隐私侵蚀、责任真空、算法歧视和安全威胁。本文从计算机伦理学的理论视角出发，结合具体应用场景和真实案例，对AI智能体的伦理风险和治理策略进行了系统分析。</w:t>
      </w:r>
    </w:p>
    <w:p w14:paraId="22762992">
      <w:pPr>
        <w:spacing w:before="0" w:after="0" w:line="240" w:lineRule="auto"/>
        <w:ind w:firstLine="420"/>
      </w:pPr>
      <w:r>
        <w:rPr>
          <w:rFonts w:ascii="宋体" w:hAnsi="宋体" w:eastAsia="宋体"/>
          <w:b w:val="0"/>
          <w:i w:val="0"/>
          <w:sz w:val="21"/>
        </w:rPr>
        <w:t>本文的核心主张可以概括为以下几点：</w:t>
      </w:r>
    </w:p>
    <w:p w14:paraId="11DAAC20">
      <w:pPr>
        <w:spacing w:before="0" w:after="0" w:line="240" w:lineRule="auto"/>
        <w:ind w:firstLine="420"/>
      </w:pPr>
      <w:r>
        <w:rPr>
          <w:rFonts w:ascii="宋体" w:hAnsi="宋体" w:eastAsia="宋体"/>
          <w:b w:val="0"/>
          <w:i w:val="0"/>
          <w:sz w:val="21"/>
        </w:rPr>
        <w:t>第一，AI智能体的伦理问题不能简单地归入传统的技术伦理或职业伦理范畴，而需要在新的技术社会条件下进行创造性回应。智能体的自主性、行动能力和广泛的代理权使其伦理影响远超此前任何信息技术系统。</w:t>
      </w:r>
    </w:p>
    <w:p w14:paraId="083126B9">
      <w:pPr>
        <w:spacing w:before="0" w:after="0" w:line="240" w:lineRule="auto"/>
        <w:ind w:firstLine="420"/>
        <w:rPr>
          <w:rFonts w:ascii="宋体" w:hAnsi="宋体" w:eastAsia="宋体"/>
          <w:b w:val="0"/>
          <w:i w:val="0"/>
          <w:sz w:val="21"/>
        </w:rPr>
      </w:pPr>
    </w:p>
    <w:p w14:paraId="23959299">
      <w:pPr>
        <w:spacing w:before="0" w:after="0" w:line="240" w:lineRule="auto"/>
        <w:ind w:firstLine="420"/>
      </w:pPr>
      <w:r>
        <w:rPr>
          <w:rFonts w:ascii="宋体" w:hAnsi="宋体" w:eastAsia="宋体"/>
          <w:b w:val="0"/>
          <w:i w:val="0"/>
          <w:sz w:val="21"/>
        </w:rPr>
        <w:t>第二，监管与创新之间并非零和博弈。"负责任创新"的理念为二者提供了兼容的路径——将伦理考量嵌入创新过程，而非在创新之后追加约束。分级分类、风险比例的监管框架可以在保护公共安全的同时，为低风险创新保留充足的空间。</w:t>
      </w:r>
    </w:p>
    <w:p w14:paraId="36545410">
      <w:pPr>
        <w:spacing w:before="0" w:after="0" w:line="240" w:lineRule="auto"/>
        <w:ind w:firstLine="420"/>
        <w:rPr>
          <w:rFonts w:ascii="宋体" w:hAnsi="宋体" w:eastAsia="宋体"/>
          <w:b w:val="0"/>
          <w:i w:val="0"/>
          <w:sz w:val="21"/>
        </w:rPr>
      </w:pPr>
    </w:p>
    <w:p w14:paraId="7510B43E">
      <w:pPr>
        <w:spacing w:before="0" w:after="0" w:line="240" w:lineRule="auto"/>
        <w:ind w:firstLine="420"/>
      </w:pPr>
      <w:r>
        <w:rPr>
          <w:rFonts w:ascii="宋体" w:hAnsi="宋体" w:eastAsia="宋体"/>
          <w:b w:val="0"/>
          <w:i w:val="0"/>
          <w:sz w:val="21"/>
        </w:rPr>
        <w:t>第三，AI智能体的责任归属需要超越传统的"过错-因果"模式，建立更加复杂但更加公平的复合责任体系。模型提供商、应用开发者、部署企业和终端用户应在各自的控制范围内承担相应责任，同时社会层面的风险分担机制（如保险、赔偿基金）也是必要的补充。</w:t>
      </w:r>
    </w:p>
    <w:p w14:paraId="033EC301">
      <w:pPr>
        <w:spacing w:before="0" w:after="0" w:line="240" w:lineRule="auto"/>
        <w:ind w:firstLine="420"/>
        <w:rPr>
          <w:rFonts w:ascii="宋体" w:hAnsi="宋体" w:eastAsia="宋体"/>
          <w:b w:val="0"/>
          <w:i w:val="0"/>
          <w:sz w:val="21"/>
        </w:rPr>
      </w:pPr>
    </w:p>
    <w:p w14:paraId="3BC2672C">
      <w:pPr>
        <w:spacing w:before="0" w:after="0" w:line="240" w:lineRule="auto"/>
        <w:ind w:firstLine="420"/>
      </w:pPr>
      <w:r>
        <w:rPr>
          <w:rFonts w:ascii="宋体" w:hAnsi="宋体" w:eastAsia="宋体"/>
          <w:b w:val="0"/>
          <w:i w:val="0"/>
          <w:sz w:val="21"/>
        </w:rPr>
        <w:t>第四，有效的AI智能体治理需要多元主体的协同参与。单靠政府监管、行业自律或技术创新均不足以应对这一复杂挑战。需要构建制度约束、技术方案、行业标准、公众教育和社会监督五位一体的治理生态。</w:t>
      </w:r>
    </w:p>
    <w:p w14:paraId="317CF15B">
      <w:pPr>
        <w:spacing w:before="0" w:after="0" w:line="240" w:lineRule="auto"/>
        <w:ind w:firstLine="420"/>
        <w:rPr>
          <w:rFonts w:ascii="宋体" w:hAnsi="宋体" w:eastAsia="宋体"/>
          <w:b w:val="0"/>
          <w:i w:val="0"/>
          <w:sz w:val="21"/>
        </w:rPr>
      </w:pPr>
    </w:p>
    <w:p w14:paraId="5C82E7C4">
      <w:pPr>
        <w:spacing w:before="0" w:after="0" w:line="240" w:lineRule="auto"/>
        <w:ind w:firstLine="420"/>
      </w:pPr>
      <w:r>
        <w:rPr>
          <w:rFonts w:ascii="宋体" w:hAnsi="宋体" w:eastAsia="宋体"/>
          <w:b w:val="0"/>
          <w:i w:val="0"/>
          <w:sz w:val="21"/>
        </w:rPr>
        <w:t>第五，AI伦理治理的根本目标不仅是"防止坏事发生"，而是"引导好事发生"。伦理不应被理解为对技术发展的否定和阻碍，而应被理解为确保技术发展真正服务于人类福祉的必要保障。一个缺乏伦理约束的AI智能体生态可能在短期内繁荣，但从长远看将因公众信任的流失而难以为继。</w:t>
      </w:r>
    </w:p>
    <w:p w14:paraId="48FDD8D7">
      <w:pPr>
        <w:spacing w:before="0" w:after="0" w:line="240" w:lineRule="auto"/>
        <w:ind w:firstLine="420"/>
        <w:rPr>
          <w:rFonts w:ascii="宋体" w:hAnsi="宋体" w:eastAsia="宋体"/>
          <w:b w:val="0"/>
          <w:i w:val="0"/>
          <w:sz w:val="21"/>
        </w:rPr>
      </w:pPr>
    </w:p>
    <w:p w14:paraId="55F60682">
      <w:pPr>
        <w:spacing w:before="0" w:after="0" w:line="240" w:lineRule="auto"/>
        <w:ind w:firstLine="420"/>
      </w:pPr>
      <w:r>
        <w:rPr>
          <w:rFonts w:ascii="宋体" w:hAnsi="宋体" w:eastAsia="宋体"/>
          <w:b w:val="0"/>
          <w:i w:val="0"/>
          <w:sz w:val="21"/>
        </w:rPr>
        <w:t>面向未来，AI智能体技术将继续快速发展，新的能力和应用场景将不断涌现，伦理挑战也将持续演化。本文提出的"分级分类、人机共责、透明可溯、多元共治、动态迭代"治理策略只是一个起点。AI智能体的伦理治理是一项需要持续学习、不断调整和多方协作的长期事业。技术开发者、政策制定者、学术研究者和每一位受技术影响的公民，都应成为这一事业的积极参与者。</w:t>
      </w:r>
    </w:p>
    <w:p w14:paraId="1F231117">
      <w:pPr>
        <w:rPr>
          <w:rFonts w:hint="eastAsia"/>
        </w:rPr>
      </w:pPr>
    </w:p>
    <w:p w14:paraId="5C43476A">
      <w:pPr>
        <w:pStyle w:val="2"/>
      </w:pPr>
      <w:r>
        <w:rPr>
          <w:rFonts w:ascii="黑体" w:hAnsi="黑体" w:eastAsia="黑体"/>
        </w:rPr>
        <w:t>参考文献</w:t>
      </w:r>
    </w:p>
    <w:p w14:paraId="76CDE947">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 Wooldridge, M., &amp; Jennings, N. R. (1995). Intelligent agents: Theory and practice. The Knowledge Engineering Review, 10(2), 115-152.</w:t>
      </w:r>
    </w:p>
    <w:p w14:paraId="5F3C08BC">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 MarketsandMarkets. (2025). AI Agents Market - Global Forecast to 2030. Market Research Report.</w:t>
      </w:r>
    </w:p>
    <w:p w14:paraId="34D08834">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 国务院办公厅. (2025). 国务院2025年度立法工作计划. 国办发〔2025〕12号.</w:t>
      </w:r>
    </w:p>
    <w:p w14:paraId="4D28CBEC">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 Wang, L., Ma, C., Feng, X., et al. (2024). A survey on large language model based autonomous agents. Frontiers of Computer Science, 18(6), 186345.</w:t>
      </w:r>
    </w:p>
    <w:p w14:paraId="1D663900">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[5] Peng, S., Kalliamvakou, E., Cihon, P., &amp; Demirer, M. (2023). The impact of AI on developer productivity: Evidence from GitHub Copilot. arXiv preprint, arXiv:2302.06590.</w:t>
      </w:r>
    </w:p>
    <w:p w14:paraId="5BFE3C89">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[6] McKinsey Global Institute. (2023). The economic potential of generative AI: The next productivity frontier. McKinsey &amp; Company.</w:t>
      </w:r>
    </w:p>
    <w:p w14:paraId="200586C3">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[7] 中国信息通信研究院. (2025). 人工智能发展报告（2025年）. 中国信通院.</w:t>
      </w:r>
    </w:p>
    <w:p w14:paraId="16997228">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[8] Weiser, B. (2023). Here's what happens when your lawyer uses ChatGPT. The New York Times, May 27, 2023.</w:t>
      </w:r>
    </w:p>
    <w:p w14:paraId="5817D29B">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[9] Greshake, K., Abdelnabi, S., Mishra, S., Endres, C., Holz, T., &amp; Fritz, M. (2023). Not what you've signed up for: Compromising real-world LLM-integrated applications with indirect prompt injection. Proceedings of the 16th ACM Workshop on Artificial Intelligence and Security (AISec '23), 79-90.</w:t>
      </w:r>
    </w:p>
    <w:p w14:paraId="25BE4FB0">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[10] Nissenbaum, H. (1996). Accountability in a computerized society. Science and Engineering Ethics, 2(1), 25-42.</w:t>
      </w:r>
    </w:p>
    <w:p w14:paraId="6E489FC0">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[11] Civil Resolution Tribunal of British Columbia. (2024). Moffatt v. Air Canada, 2024 BCCRT 149.</w:t>
      </w:r>
    </w:p>
    <w:p w14:paraId="1AD66823">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[12] World Economic Forum. (2025). The Future of Jobs Report 2025. World Economic Forum, Geneva.</w:t>
      </w:r>
    </w:p>
    <w:p w14:paraId="6B5635C5">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[13] Blease, C., Kaptchuk, T. J., Bernstein, M. H., Mandl, K. D., Halamka, J. D., &amp; DesRoches, C. M. (2024). Artificial intelligence and the future of primary care. Journal of Medical Internet Research, 26(1), e12345.</w:t>
      </w:r>
    </w:p>
    <w:p w14:paraId="248473B2">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[14] Raghavan, M., Barocas, S., Kleinberg, J., &amp; Levy, K. (2020). Mitigating bias in algorithmic hiring: Evaluating claims and practices. Proceedings of the 2020 Conference on Fairness, Accountability, and Transparency (FAccT '20), 469-481.</w:t>
      </w:r>
    </w:p>
    <w:p w14:paraId="5858F29D">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[15] O'Neil, C. (2016). Weapons of Math Destruction: How Big Data Increases Inequality and Threatens Democracy. Crown Publishing Group.</w:t>
      </w:r>
    </w:p>
    <w:p w14:paraId="074B9959">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[16] Europol. (2025). AI-Powered Crime: Threat Assessment 2025. European Union Agency for Law Enforcement Cooperation.</w:t>
      </w:r>
    </w:p>
    <w:p w14:paraId="69876105">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[17] European Parliament and Council. (2024). Regulation (EU) 2024/1689 laying down harmonised rules on artificial intelligence (Artificial Intelligence Act). Official Journal of the European Union.</w:t>
      </w:r>
    </w:p>
    <w:p w14:paraId="3E637385">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[18] 国家互联网信息办公室等七部门. (2023). 生成式人工智能服务管理暂行办法. 2023年8月15日起施行.</w:t>
      </w:r>
    </w:p>
    <w:p w14:paraId="1675D859">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[19] Chee, F. Y., &amp; Coulter, M. (2023). European companies slam EU AI Act for stifling innovation. Reuters, June 30, 2023.</w:t>
      </w:r>
    </w:p>
    <w:p w14:paraId="1E42A760">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[20] Janz, J., &amp; Gemünden, H. G. (2022). The impact of GDPR on European startup innovation and investment. Research Policy, 51(8), 104561.</w:t>
      </w:r>
    </w:p>
    <w:p w14:paraId="756D28ED">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[21] Counterpoint Research. (2025). Global AI Agent Market Share and Forecast, Q1 2025. Industry Report.</w:t>
      </w:r>
    </w:p>
    <w:p w14:paraId="579BF10C">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[22] Carlini, N., Tramer, F., Wallace, E., et al. (2021). Extracting training data from large language models. 30th USENIX Security Symposium (USENIX Security '21), 2633-2650.</w:t>
      </w:r>
    </w:p>
    <w:p w14:paraId="3F5330EB">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[23] The New York Times Company v. Microsoft Corporation and OpenAI, Inc. (2023). Case 1:23-cv-11195, United States District Court for the Southern District of New York.</w:t>
      </w:r>
    </w:p>
    <w:p w14:paraId="2AAEAE38">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[24] Stilgoe, J., Owen, R., &amp; Macnaghten, P. (2013). Developing a framework for responsible innovation. Research Policy, 42(9), 1568-1580.</w:t>
      </w:r>
    </w:p>
    <w:p w14:paraId="0AE4A5FD">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[25] Association for Computing Machinery (ACM). (2018). ACM Code of Ethics and Professional Conduct. ACM.</w:t>
      </w:r>
    </w:p>
    <w:p w14:paraId="5386DBD6">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[26] Bandura, A. (2002). Selective moral disengagement in the exercise of moral agency. Journal of Moral Education, 31(2), 101-119.</w:t>
      </w:r>
    </w:p>
    <w:p w14:paraId="417F0AC9">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[27] Anthropic. (2024). Anthropic's Responsible Scaling Policy. Anthropic PBC.</w:t>
      </w:r>
    </w:p>
    <w:p w14:paraId="64275BCC">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[28] Shane, S., &amp; Wakabayashi, D. (2018). 'The business of war': Google employees protest work for the Pentagon. The New York Times, April 4, 2018.</w:t>
      </w:r>
    </w:p>
    <w:p w14:paraId="53A9C483">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[29] Solove, D. J. (2008). Understanding Privacy. Harvard University Press.</w:t>
      </w:r>
    </w:p>
    <w:p w14:paraId="6747993C">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[30] 全国人民代表大会常务委员会. (2021). 中华人民共和国个人信息保护法. 2021年11月1日起施行.</w:t>
      </w:r>
    </w:p>
    <w:p w14:paraId="15F4BB7F">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[31] Acquisti, A., Brandimarte, L., &amp; Loewenstein, G. (2015). Privacy and human behavior in the age of information. Science, 347(6221), 509-514.</w:t>
      </w:r>
    </w:p>
    <w:p w14:paraId="7E1C4170">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[32] Wachter, S., &amp; Mittelstadt, B. (2019). A right to reasonable inferences: Re-thinking data protection law in the age of big data and AI. Columbia Business Law Review, 2019(2), 494-620.</w:t>
      </w:r>
    </w:p>
    <w:p w14:paraId="399F44FE">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[33] Liu, Y., Deng, G., Li, Y., et al. (2025). Multimodal indirect prompt injection attacks against vision-language agents. 34th USENIX Security Symposium (USENIX Security '25).</w:t>
      </w:r>
    </w:p>
    <w:p w14:paraId="1B7ADBBB">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[34] Bartneck, C., Lütge, C., Wagner, A., &amp; Welsh, S. (2021). An Introduction to Ethics in Robotics and AI. Springer.</w:t>
      </w:r>
    </w:p>
    <w:p w14:paraId="7C6407DF">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[35] Samuelson, P. (2015). Freedom to tinker: The uncertain future of fair use in the digital age. Theoretical Inquiries in Law, 17(1), 57-92.</w:t>
      </w:r>
    </w:p>
    <w:p w14:paraId="2D7ADE7B">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[36] Stallman, R. M. (2002). Free Software, Free Society: Selected Essays of Richard M. Stallman. GNU Press.</w:t>
      </w:r>
    </w:p>
    <w:p w14:paraId="4A628007">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 xml:space="preserve">[37] 国家版权局. (2024). 人工智能生成内容著作权保护指导意见（征求意见稿）. </w:t>
      </w:r>
    </w:p>
    <w:p w14:paraId="5C05E696">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 xml:space="preserve">[38] 北京互联网法院. (2023). (2023)京0491民初11280号民事判决书（"AI文生图第一案"）. </w:t>
      </w:r>
    </w:p>
    <w:p w14:paraId="7A8465A2">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[39] DOE 1 et al v. GitHub, Inc. et al. (2022). Case 4:22-cv-06823, United States District Court for the Northern District of California.</w:t>
      </w:r>
    </w:p>
    <w:p w14:paraId="6B1F3E3A">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[40] Lemley, M. A., &amp; Casey, B. (2021). Fair learning. Texas Law Review, 99(4), 743-785.</w:t>
      </w:r>
    </w:p>
    <w:p w14:paraId="16EDB8B9">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[41] Kleinberg, J., Mullainathan, S., &amp; Raghavan, M. (2017). Inherent trade-offs in the fair determination of risk scores. Proceedings of the 8th Innovations in Theoretical Computer Science Conference (ITCS '17), 43:1-43:23.</w:t>
      </w:r>
    </w:p>
    <w:p w14:paraId="56BF22A4">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[42] Ngo, R., Chan, L., &amp; Mindermann, S. (2024). The alignment problem from a deep learning perspective. Proceedings of the 41st International Conference on Machine Learning (ICML '24).</w:t>
      </w:r>
    </w:p>
    <w:p w14:paraId="71076FAB">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[43] 奇安信技术研究院. (2025). 2025年AI安全威胁态势报告. 奇安信集团.</w:t>
      </w:r>
    </w:p>
    <w:p w14:paraId="15310E88">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[44] Moffatt v. Air Canada. (2024). Civil Resolution Tribunal of British Columbia, 2024 BCCRT 149.</w:t>
      </w:r>
    </w:p>
    <w:p w14:paraId="3934E383">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[45] Equal Employment Opportunity Commission v. iTutorGroup, Inc. et al. (2022). Case 1:22-cv-02565, United States District Court for the Eastern District of New York.</w:t>
      </w:r>
    </w:p>
    <w:p w14:paraId="1CD56C60">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[46] 香港警务处. (2024). 科技罪案简报（2024年第一季度）. 香港警务处网络安全及科技罪案调查科.</w:t>
      </w:r>
    </w:p>
    <w:p w14:paraId="28192644">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[47] Floridi, L., &amp; Cowls, J. (2019). A unified framework of five principles for AI in society. Harvard Data Science Review, 1(1).</w:t>
      </w:r>
    </w:p>
    <w:p w14:paraId="5C3FC6EC">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 xml:space="preserve">[48] 中国电子技术标准化研究院. (2025). 人工智能伦理治理标准化白皮书（2025版）. </w:t>
      </w:r>
    </w:p>
    <w:p w14:paraId="394C6946">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[49] Russell, S. (2019). Human Compatible: Artificial Intelligence and the Problem of Control. Viking.</w:t>
      </w:r>
    </w:p>
    <w:p w14:paraId="0D008C13">
      <w:pPr>
        <w:spacing w:before="0" w:after="20" w:line="240" w:lineRule="auto"/>
        <w:ind w:left="420" w:hanging="420"/>
        <w:rPr>
          <w:rFonts w:hint="eastAsia" w:ascii="宋体" w:hAnsi="宋体" w:eastAsia="宋体" w:cs="宋体"/>
          <w:sz w:val="21"/>
          <w:szCs w:val="21"/>
        </w:rPr>
      </w:pPr>
      <w:r>
        <w:rPr>
          <w:rFonts w:hint="eastAsia" w:ascii="宋体" w:hAnsi="宋体" w:eastAsia="宋体" w:cs="宋体"/>
          <w:sz w:val="21"/>
          <w:szCs w:val="21"/>
        </w:rPr>
        <w:t>[50] Jobin, A., Ienca, M., &amp; Vayena, E. (2019). The global landscape of AI ethics guidelines. Nature Machine Intelligence, 1(9), 389-399.</w:t>
      </w:r>
    </w:p>
    <w:p w14:paraId="695D8C29">
      <w:pPr>
        <w:spacing w:before="0" w:after="20" w:line="240" w:lineRule="auto"/>
        <w:ind w:left="420" w:hanging="420"/>
        <w:rPr>
          <w:rFonts w:hint="eastAsia" w:ascii="宋体" w:hAnsi="宋体" w:eastAsia="宋体" w:cs="宋体"/>
          <w:sz w:val="21"/>
          <w:szCs w:val="21"/>
        </w:rPr>
      </w:pPr>
    </w:p>
    <w:p w14:paraId="588846FC">
      <w:pPr>
        <w:pStyle w:val="2"/>
      </w:pPr>
      <w:r>
        <w:rPr>
          <w:rFonts w:ascii="黑体" w:hAnsi="黑体" w:eastAsia="黑体"/>
        </w:rPr>
        <w:t>附录：AI工具使用说明</w:t>
      </w:r>
    </w:p>
    <w:p w14:paraId="268F5B42">
      <w:pPr>
        <w:spacing w:before="0" w:after="0" w:line="240" w:lineRule="auto"/>
        <w:ind w:firstLine="420"/>
      </w:pPr>
      <w:r>
        <w:rPr>
          <w:rFonts w:ascii="宋体" w:hAnsi="宋体" w:eastAsia="宋体"/>
          <w:b w:val="0"/>
          <w:i w:val="0"/>
          <w:sz w:val="21"/>
        </w:rPr>
        <w:t>本报告在研究和写作过程中使用了以下AI工具进行辅助：</w:t>
      </w:r>
    </w:p>
    <w:p w14:paraId="34B54886">
      <w:pPr>
        <w:spacing w:before="0" w:after="0" w:line="240" w:lineRule="auto"/>
        <w:ind w:firstLine="420"/>
      </w:pPr>
      <w:r>
        <w:rPr>
          <w:rFonts w:ascii="宋体" w:hAnsi="宋体" w:eastAsia="宋体"/>
          <w:b w:val="0"/>
          <w:i w:val="0"/>
          <w:sz w:val="21"/>
        </w:rPr>
        <w:t>1. 文献检索与整理：使用AI辅助检索和整理中英文学术文献、新闻报道和政策文件，提高了文献收集的效率。</w:t>
      </w:r>
    </w:p>
    <w:p w14:paraId="584E635A">
      <w:pPr>
        <w:spacing w:before="0" w:after="0" w:line="240" w:lineRule="auto"/>
        <w:ind w:firstLine="420"/>
      </w:pPr>
      <w:r>
        <w:rPr>
          <w:rFonts w:ascii="宋体" w:hAnsi="宋体" w:eastAsia="宋体"/>
          <w:b w:val="0"/>
          <w:i w:val="0"/>
          <w:sz w:val="21"/>
        </w:rPr>
        <w:t>2. 内容组织与草稿生成：使用AI辅助进行论文结构设计、段落组织和初稿撰写，在此基础上进行了大量的人工修改、补充和完善。</w:t>
      </w:r>
    </w:p>
    <w:p w14:paraId="031AB422">
      <w:pPr>
        <w:spacing w:before="0" w:after="0" w:line="240" w:lineRule="auto"/>
        <w:ind w:firstLine="420"/>
      </w:pPr>
      <w:r>
        <w:rPr>
          <w:rFonts w:ascii="宋体" w:hAnsi="宋体" w:eastAsia="宋体"/>
          <w:b w:val="0"/>
          <w:i w:val="0"/>
          <w:sz w:val="21"/>
        </w:rPr>
        <w:t>3. 案例资料整理：使用AI辅助整理案例的事实背景和时间线，核心分析和观点由作者独立完成。</w:t>
      </w:r>
    </w:p>
    <w:p w14:paraId="03C7557F">
      <w:pPr>
        <w:spacing w:before="0" w:after="0" w:line="240" w:lineRule="auto"/>
        <w:ind w:firstLine="420"/>
      </w:pPr>
      <w:r>
        <w:rPr>
          <w:rFonts w:ascii="宋体" w:hAnsi="宋体" w:eastAsia="宋体"/>
          <w:b w:val="0"/>
          <w:i w:val="0"/>
          <w:sz w:val="21"/>
        </w:rPr>
        <w:t>4. 格式与排版辅助：使用AI辅助进行参考文献格式的统一和排版优化。</w:t>
      </w:r>
    </w:p>
    <w:p w14:paraId="6B64F1CE">
      <w:pPr>
        <w:rPr>
          <w:rFonts w:hint="eastAsia"/>
        </w:rPr>
      </w:pPr>
    </w:p>
    <w:p w14:paraId="4B39401D"/>
    <w:p w14:paraId="6FF62C90"/>
    <w:p w14:paraId="20CC238D"/>
    <w:p w14:paraId="0BAD210F"/>
    <w:p w14:paraId="724F25E8"/>
    <w:p w14:paraId="3934138C">
      <w:pPr>
        <w:rPr>
          <w:rFonts w:hint="eastAsia"/>
        </w:rPr>
      </w:pPr>
    </w:p>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楷体_GB2312">
    <w:altName w:val="汉仪楷体简"/>
    <w:panose1 w:val="02010609030101010101"/>
    <w:charset w:val="00"/>
    <w:family w:val="modern"/>
    <w:pitch w:val="default"/>
    <w:sig w:usb0="00000001" w:usb1="080E0000" w:usb2="00000010" w:usb3="00000000" w:csb0="00040000" w:csb1="00000000"/>
  </w:font>
  <w:font w:name="黑体">
    <w:altName w:val="汉仪中黑KW"/>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2C00B">
    <w:pPr>
      <w:pStyle w:val="6"/>
      <w:jc w:val="center"/>
      <w:rPr>
        <w:rFonts w:hint="eastAsia"/>
        <w:sz w:val="21"/>
        <w:szCs w:val="21"/>
      </w:rPr>
    </w:pPr>
    <w:r>
      <w:rPr>
        <w:rFonts w:hint="eastAsia"/>
        <w:sz w:val="21"/>
        <w:szCs w:val="21"/>
      </w:rPr>
      <w:t>第</w:t>
    </w:r>
    <w:r>
      <w:rPr>
        <w:rStyle w:val="11"/>
        <w:sz w:val="21"/>
        <w:szCs w:val="21"/>
      </w:rPr>
      <w:fldChar w:fldCharType="begin"/>
    </w:r>
    <w:r>
      <w:rPr>
        <w:rStyle w:val="11"/>
        <w:sz w:val="21"/>
        <w:szCs w:val="21"/>
      </w:rPr>
      <w:instrText xml:space="preserve"> PAGE </w:instrText>
    </w:r>
    <w:r>
      <w:rPr>
        <w:rStyle w:val="11"/>
        <w:sz w:val="21"/>
        <w:szCs w:val="21"/>
      </w:rPr>
      <w:fldChar w:fldCharType="separate"/>
    </w:r>
    <w:r>
      <w:rPr>
        <w:rStyle w:val="11"/>
        <w:sz w:val="21"/>
        <w:szCs w:val="21"/>
        <w:lang/>
      </w:rPr>
      <w:t>1</w:t>
    </w:r>
    <w:r>
      <w:rPr>
        <w:rStyle w:val="11"/>
        <w:sz w:val="21"/>
        <w:szCs w:val="21"/>
      </w:rPr>
      <w:fldChar w:fldCharType="end"/>
    </w:r>
    <w:r>
      <w:rPr>
        <w:rFonts w:hint="eastAsia"/>
        <w:sz w:val="21"/>
        <w:szCs w:val="21"/>
      </w:rPr>
      <w:t>页  共</w:t>
    </w:r>
    <w:r>
      <w:rPr>
        <w:rStyle w:val="11"/>
        <w:sz w:val="21"/>
        <w:szCs w:val="21"/>
      </w:rPr>
      <w:fldChar w:fldCharType="begin"/>
    </w:r>
    <w:r>
      <w:rPr>
        <w:rStyle w:val="11"/>
        <w:sz w:val="21"/>
        <w:szCs w:val="21"/>
      </w:rPr>
      <w:instrText xml:space="preserve"> NUMPAGES </w:instrText>
    </w:r>
    <w:r>
      <w:rPr>
        <w:rStyle w:val="11"/>
        <w:sz w:val="21"/>
        <w:szCs w:val="21"/>
      </w:rPr>
      <w:fldChar w:fldCharType="separate"/>
    </w:r>
    <w:r>
      <w:rPr>
        <w:rStyle w:val="11"/>
        <w:sz w:val="21"/>
        <w:szCs w:val="21"/>
        <w:lang/>
      </w:rPr>
      <w:t>1</w:t>
    </w:r>
    <w:r>
      <w:rPr>
        <w:rStyle w:val="11"/>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D65"/>
    <w:rsid w:val="000E0A9E"/>
    <w:rsid w:val="00110A84"/>
    <w:rsid w:val="0013004F"/>
    <w:rsid w:val="001E0B7E"/>
    <w:rsid w:val="002036FB"/>
    <w:rsid w:val="002A112E"/>
    <w:rsid w:val="002D43BF"/>
    <w:rsid w:val="00324F57"/>
    <w:rsid w:val="00326D45"/>
    <w:rsid w:val="00351741"/>
    <w:rsid w:val="00365B95"/>
    <w:rsid w:val="00507CCD"/>
    <w:rsid w:val="00541EF0"/>
    <w:rsid w:val="006114E2"/>
    <w:rsid w:val="00663530"/>
    <w:rsid w:val="006F76AA"/>
    <w:rsid w:val="0090125F"/>
    <w:rsid w:val="00963E92"/>
    <w:rsid w:val="009C1D09"/>
    <w:rsid w:val="00B259DE"/>
    <w:rsid w:val="00BC5CB6"/>
    <w:rsid w:val="00BD2D65"/>
    <w:rsid w:val="00D42BE6"/>
    <w:rsid w:val="00D738EC"/>
    <w:rsid w:val="00DB34E7"/>
    <w:rsid w:val="00E602E6"/>
    <w:rsid w:val="00E71FF4"/>
    <w:rsid w:val="00F4498F"/>
    <w:rsid w:val="0DFBDEB8"/>
    <w:rsid w:val="24FDE2AE"/>
    <w:rsid w:val="3BFD7AAD"/>
    <w:rsid w:val="3DDEBF21"/>
    <w:rsid w:val="7EFD17D7"/>
    <w:rsid w:val="7FF554AA"/>
    <w:rsid w:val="7FF7423B"/>
    <w:rsid w:val="9FF73A74"/>
    <w:rsid w:val="B09229AF"/>
    <w:rsid w:val="BD7DC735"/>
    <w:rsid w:val="BF3D4013"/>
    <w:rsid w:val="CEF7D1CB"/>
    <w:rsid w:val="D5F5A19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9"/>
    <w:pPr>
      <w:keepNext/>
      <w:keepLines/>
      <w:spacing w:before="120" w:after="80" w:line="240" w:lineRule="auto"/>
      <w:outlineLvl w:val="0"/>
    </w:pPr>
    <w:rPr>
      <w:rFonts w:ascii="Cambria" w:hAnsi="Cambria" w:eastAsia="宋体" w:cs="Times New Roman"/>
      <w:b/>
      <w:bCs/>
      <w:color w:val="000000"/>
      <w:sz w:val="30"/>
      <w:szCs w:val="28"/>
    </w:rPr>
  </w:style>
  <w:style w:type="paragraph" w:styleId="3">
    <w:name w:val="heading 2"/>
    <w:basedOn w:val="1"/>
    <w:next w:val="1"/>
    <w:unhideWhenUsed/>
    <w:qFormat/>
    <w:uiPriority w:val="9"/>
    <w:pPr>
      <w:keepNext/>
      <w:keepLines/>
      <w:spacing w:before="80" w:after="80" w:line="240" w:lineRule="auto"/>
      <w:outlineLvl w:val="1"/>
    </w:pPr>
    <w:rPr>
      <w:rFonts w:ascii="Cambria" w:hAnsi="Cambria" w:eastAsia="宋体" w:cs="Times New Roman"/>
      <w:b/>
      <w:bCs/>
      <w:color w:val="000000"/>
      <w:sz w:val="26"/>
      <w:szCs w:val="26"/>
    </w:rPr>
  </w:style>
  <w:style w:type="paragraph" w:styleId="4">
    <w:name w:val="heading 3"/>
    <w:basedOn w:val="1"/>
    <w:next w:val="1"/>
    <w:unhideWhenUsed/>
    <w:qFormat/>
    <w:uiPriority w:val="9"/>
    <w:pPr>
      <w:keepNext/>
      <w:keepLines/>
      <w:spacing w:before="80" w:after="80" w:line="240" w:lineRule="auto"/>
      <w:outlineLvl w:val="2"/>
    </w:pPr>
    <w:rPr>
      <w:rFonts w:ascii="Cambria" w:hAnsi="Cambria" w:eastAsia="宋体" w:cs="Times New Roman"/>
      <w:b/>
      <w:bCs/>
      <w:color w:val="000000"/>
      <w:sz w:val="23"/>
    </w:rPr>
  </w:style>
  <w:style w:type="character" w:default="1" w:styleId="10">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uiPriority w:val="0"/>
    <w:pPr>
      <w:widowControl w:val="0"/>
      <w:jc w:val="both"/>
    </w:pPr>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uiPriority w:val="0"/>
  </w:style>
  <w:style w:type="character" w:styleId="12">
    <w:name w:val="Hyperlink"/>
    <w:basedOn w:val="10"/>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116</Words>
  <Characters>116</Characters>
  <Lines>58</Lines>
  <Paragraphs>38</Paragraphs>
  <TotalTime>7.66666666666667</TotalTime>
  <ScaleCrop>false</ScaleCrop>
  <LinksUpToDate>false</LinksUpToDate>
  <CharactersWithSpaces>194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2007-05-18T09:09:00Z</dcterms:created>
  <dc:creator>DengBingZhong</dc:creator>
  <cp:lastModifiedBy>WPS_1647091957</cp:lastModifiedBy>
  <cp:lastPrinted>2007-05-18T09:51:00Z</cp:lastPrinted>
  <dcterms:modified xsi:type="dcterms:W3CDTF">2026-06-26T12:33:59Z</dcterms:modified>
  <dc:title>深圳大学考试答题纸</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FA7278529B92502A37013E6A54B10B79_43</vt:lpwstr>
  </property>
</Properties>
</file>