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F9D84">
      <w:pPr>
        <w:jc w:val="center"/>
        <w:rPr>
          <w:rFonts w:hint="eastAsia"/>
          <w:sz w:val="44"/>
          <w:szCs w:val="44"/>
          <w:u w:val="none"/>
        </w:rPr>
      </w:pPr>
      <w:r>
        <w:rPr>
          <w:rFonts w:hint="eastAsia"/>
          <w:sz w:val="44"/>
          <w:szCs w:val="44"/>
          <w:u w:val="none"/>
        </w:rPr>
        <w:t>深圳大学考试答题纸</w:t>
      </w:r>
    </w:p>
    <w:p w14:paraId="4E03BF72">
      <w:pPr>
        <w:jc w:val="center"/>
        <w:rPr>
          <w:sz w:val="24"/>
          <w:u w:val="none"/>
        </w:rPr>
      </w:pPr>
      <w:r>
        <w:rPr>
          <w:rFonts w:hint="eastAsia"/>
          <w:sz w:val="24"/>
          <w:u w:val="none"/>
        </w:rPr>
        <w:t>(以论文、报告等形式考核专用)</w:t>
      </w:r>
      <w:r>
        <w:rPr>
          <w:sz w:val="24"/>
          <w:u w:val="none"/>
        </w:rPr>
        <w:br w:type="textWrapping"/>
      </w:r>
      <w:r>
        <w:rPr>
          <w:rFonts w:hint="eastAsia"/>
          <w:sz w:val="24"/>
          <w:u w:val="none"/>
        </w:rPr>
        <w:t>二○二</w:t>
      </w:r>
      <w:r>
        <w:rPr>
          <w:rFonts w:hint="eastAsia"/>
          <w:sz w:val="24"/>
          <w:u w:val="none"/>
          <w:lang w:val="en-US" w:eastAsia="zh-CN"/>
        </w:rPr>
        <w:t>五</w:t>
      </w:r>
      <w:r>
        <w:rPr>
          <w:rFonts w:hint="eastAsia"/>
          <w:sz w:val="24"/>
          <w:u w:val="none"/>
        </w:rPr>
        <w:t>～二○二</w:t>
      </w:r>
      <w:r>
        <w:rPr>
          <w:rFonts w:hint="eastAsia"/>
          <w:sz w:val="24"/>
          <w:u w:val="none"/>
          <w:lang w:val="en-US" w:eastAsia="zh-CN"/>
        </w:rPr>
        <w:t>六</w:t>
      </w:r>
      <w:r>
        <w:rPr>
          <w:rFonts w:hint="eastAsia"/>
          <w:sz w:val="24"/>
          <w:u w:val="none"/>
        </w:rPr>
        <w:t xml:space="preserve">学年度第  </w:t>
      </w:r>
      <w:r>
        <w:rPr>
          <w:rFonts w:hint="eastAsia"/>
          <w:sz w:val="24"/>
          <w:u w:val="none"/>
          <w:lang w:val="en-US" w:eastAsia="zh-CN"/>
        </w:rPr>
        <w:t xml:space="preserve">二 </w:t>
      </w:r>
      <w:r>
        <w:rPr>
          <w:rFonts w:hint="eastAsia"/>
          <w:sz w:val="24"/>
          <w:u w:val="none"/>
        </w:rPr>
        <w:t xml:space="preserve"> 学期</w:t>
      </w:r>
    </w:p>
    <w:p w14:paraId="4F99E0E8">
      <w:pPr>
        <w:jc w:val="center"/>
        <w:rPr>
          <w:rFonts w:hint="eastAsia"/>
          <w:sz w:val="10"/>
          <w:szCs w:val="10"/>
          <w:u w:val="none"/>
        </w:rPr>
      </w:pPr>
    </w:p>
    <w:tbl>
      <w:tblPr>
        <w:tblStyle w:val="9"/>
        <w:tblW w:w="10067" w:type="dxa"/>
        <w:jc w:val="center"/>
        <w:tblLayout w:type="fixed"/>
        <w:tblCellMar>
          <w:top w:w="0" w:type="dxa"/>
          <w:left w:w="108" w:type="dxa"/>
          <w:bottom w:w="0" w:type="dxa"/>
          <w:right w:w="108" w:type="dxa"/>
        </w:tblCellMar>
      </w:tblPr>
      <w:tblGrid>
        <w:gridCol w:w="1066"/>
        <w:gridCol w:w="792"/>
        <w:gridCol w:w="342"/>
        <w:gridCol w:w="738"/>
        <w:gridCol w:w="113"/>
        <w:gridCol w:w="567"/>
        <w:gridCol w:w="1061"/>
        <w:gridCol w:w="380"/>
        <w:gridCol w:w="895"/>
        <w:gridCol w:w="284"/>
        <w:gridCol w:w="850"/>
        <w:gridCol w:w="1683"/>
        <w:gridCol w:w="160"/>
        <w:gridCol w:w="709"/>
        <w:gridCol w:w="427"/>
      </w:tblGrid>
      <w:tr w14:paraId="7A39E3C2">
        <w:trPr>
          <w:trHeight w:val="445" w:hRule="atLeast"/>
          <w:jc w:val="center"/>
        </w:trPr>
        <w:tc>
          <w:tcPr>
            <w:tcW w:w="1066" w:type="dxa"/>
            <w:noWrap w:val="0"/>
            <w:vAlign w:val="center"/>
          </w:tcPr>
          <w:p w14:paraId="000D6F7E">
            <w:pPr>
              <w:rPr>
                <w:rFonts w:hint="eastAsia" w:eastAsia="楷体_GB2312"/>
                <w:szCs w:val="21"/>
                <w:u w:val="none"/>
              </w:rPr>
            </w:pPr>
            <w:r>
              <w:rPr>
                <w:rFonts w:hint="eastAsia" w:eastAsia="楷体_GB2312"/>
                <w:szCs w:val="21"/>
                <w:u w:val="none"/>
              </w:rPr>
              <w:t>课程编号</w:t>
            </w:r>
          </w:p>
        </w:tc>
        <w:tc>
          <w:tcPr>
            <w:tcW w:w="1134" w:type="dxa"/>
            <w:gridSpan w:val="2"/>
            <w:tcBorders>
              <w:bottom w:val="single" w:color="auto" w:sz="4" w:space="0"/>
            </w:tcBorders>
            <w:noWrap w:val="0"/>
            <w:vAlign w:val="center"/>
          </w:tcPr>
          <w:p w14:paraId="55036ED8">
            <w:pPr>
              <w:rPr>
                <w:rFonts w:hint="default" w:eastAsia="楷体_GB2312"/>
                <w:sz w:val="18"/>
                <w:szCs w:val="18"/>
                <w:u w:val="none"/>
                <w:lang w:val="en-US" w:eastAsia="zh-CN"/>
              </w:rPr>
            </w:pPr>
            <w:r>
              <w:rPr>
                <w:rFonts w:hint="eastAsia" w:eastAsia="楷体_GB2312"/>
                <w:sz w:val="18"/>
                <w:szCs w:val="18"/>
                <w:u w:val="none"/>
                <w:lang w:val="en-US" w:eastAsia="zh-CN"/>
              </w:rPr>
              <w:t>2400980001</w:t>
            </w:r>
          </w:p>
        </w:tc>
        <w:tc>
          <w:tcPr>
            <w:tcW w:w="851" w:type="dxa"/>
            <w:gridSpan w:val="2"/>
            <w:noWrap w:val="0"/>
            <w:vAlign w:val="center"/>
          </w:tcPr>
          <w:p w14:paraId="47A37B1F">
            <w:pPr>
              <w:rPr>
                <w:rFonts w:hint="eastAsia" w:eastAsia="楷体_GB2312"/>
                <w:szCs w:val="21"/>
                <w:u w:val="none"/>
              </w:rPr>
            </w:pPr>
            <w:r>
              <w:rPr>
                <w:rFonts w:hint="eastAsia" w:eastAsia="楷体_GB2312"/>
                <w:szCs w:val="21"/>
                <w:u w:val="none"/>
              </w:rPr>
              <w:t>课序号</w:t>
            </w:r>
          </w:p>
        </w:tc>
        <w:tc>
          <w:tcPr>
            <w:tcW w:w="567" w:type="dxa"/>
            <w:tcBorders>
              <w:bottom w:val="single" w:color="auto" w:sz="4" w:space="0"/>
            </w:tcBorders>
            <w:noWrap w:val="0"/>
            <w:vAlign w:val="center"/>
          </w:tcPr>
          <w:p w14:paraId="7AF5898D">
            <w:pPr>
              <w:rPr>
                <w:rFonts w:hint="eastAsia" w:eastAsia="楷体_GB2312"/>
                <w:szCs w:val="21"/>
                <w:u w:val="none"/>
              </w:rPr>
            </w:pPr>
            <w:r>
              <w:rPr>
                <w:rFonts w:hint="eastAsia" w:eastAsia="楷体_GB2312"/>
                <w:szCs w:val="21"/>
                <w:u w:val="none"/>
              </w:rPr>
              <w:t xml:space="preserve"> </w:t>
            </w:r>
            <w:r>
              <w:rPr>
                <w:rFonts w:hint="eastAsia" w:eastAsia="楷体_GB2312"/>
                <w:szCs w:val="21"/>
                <w:u w:val="none"/>
                <w:lang w:val="en-US" w:eastAsia="zh-CN"/>
              </w:rPr>
              <w:t>01</w:t>
            </w:r>
            <w:r>
              <w:rPr>
                <w:rFonts w:eastAsia="楷体_GB2312"/>
                <w:szCs w:val="21"/>
                <w:u w:val="none"/>
              </w:rPr>
              <w:t xml:space="preserve">   </w:t>
            </w:r>
          </w:p>
        </w:tc>
        <w:tc>
          <w:tcPr>
            <w:tcW w:w="1061" w:type="dxa"/>
            <w:noWrap w:val="0"/>
            <w:vAlign w:val="center"/>
          </w:tcPr>
          <w:p w14:paraId="69AA54E7">
            <w:pPr>
              <w:rPr>
                <w:rFonts w:hint="eastAsia" w:eastAsia="楷体_GB2312"/>
                <w:szCs w:val="21"/>
                <w:u w:val="none"/>
              </w:rPr>
            </w:pPr>
            <w:r>
              <w:rPr>
                <w:rFonts w:hint="eastAsia" w:eastAsia="楷体_GB2312"/>
                <w:szCs w:val="21"/>
                <w:u w:val="none"/>
              </w:rPr>
              <w:t>课程名称</w:t>
            </w:r>
          </w:p>
        </w:tc>
        <w:tc>
          <w:tcPr>
            <w:tcW w:w="1275" w:type="dxa"/>
            <w:gridSpan w:val="2"/>
            <w:tcBorders>
              <w:bottom w:val="single" w:color="auto" w:sz="4" w:space="0"/>
            </w:tcBorders>
            <w:noWrap w:val="0"/>
            <w:vAlign w:val="center"/>
          </w:tcPr>
          <w:p w14:paraId="69506D45">
            <w:pPr>
              <w:rPr>
                <w:rFonts w:hint="eastAsia" w:eastAsia="楷体_GB2312"/>
                <w:szCs w:val="21"/>
                <w:u w:val="none"/>
              </w:rPr>
            </w:pPr>
            <w:r>
              <w:rPr>
                <w:rFonts w:hint="eastAsia" w:eastAsia="楷体_GB2312"/>
                <w:sz w:val="18"/>
                <w:szCs w:val="18"/>
                <w:u w:val="none"/>
              </w:rPr>
              <w:t>发展心理学</w:t>
            </w:r>
          </w:p>
        </w:tc>
        <w:tc>
          <w:tcPr>
            <w:tcW w:w="1134" w:type="dxa"/>
            <w:gridSpan w:val="2"/>
            <w:tcBorders>
              <w:left w:val="nil"/>
            </w:tcBorders>
            <w:noWrap w:val="0"/>
            <w:vAlign w:val="center"/>
          </w:tcPr>
          <w:p w14:paraId="34FE618C">
            <w:pPr>
              <w:rPr>
                <w:rFonts w:hint="eastAsia" w:eastAsia="楷体_GB2312"/>
                <w:szCs w:val="21"/>
                <w:u w:val="none"/>
              </w:rPr>
            </w:pPr>
            <w:r>
              <w:rPr>
                <w:rFonts w:hint="eastAsia" w:eastAsia="楷体_GB2312"/>
                <w:szCs w:val="21"/>
                <w:u w:val="none"/>
              </w:rPr>
              <w:t>主讲教师</w:t>
            </w:r>
          </w:p>
        </w:tc>
        <w:tc>
          <w:tcPr>
            <w:tcW w:w="1843" w:type="dxa"/>
            <w:gridSpan w:val="2"/>
            <w:tcBorders>
              <w:left w:val="nil"/>
              <w:bottom w:val="single" w:color="auto" w:sz="4" w:space="0"/>
            </w:tcBorders>
            <w:noWrap w:val="0"/>
            <w:vAlign w:val="center"/>
          </w:tcPr>
          <w:p w14:paraId="44F9D5A7">
            <w:pPr>
              <w:rPr>
                <w:rFonts w:eastAsia="楷体_GB2312"/>
                <w:sz w:val="18"/>
                <w:szCs w:val="18"/>
                <w:u w:val="none"/>
              </w:rPr>
            </w:pPr>
            <w:r>
              <w:rPr>
                <w:rFonts w:hint="eastAsia" w:eastAsia="楷体_GB2312"/>
                <w:sz w:val="18"/>
                <w:szCs w:val="18"/>
                <w:u w:val="none"/>
              </w:rPr>
              <w:t>李晓东，李小青</w:t>
            </w:r>
          </w:p>
          <w:p w14:paraId="4B79DAAA">
            <w:pPr>
              <w:rPr>
                <w:rFonts w:hint="eastAsia" w:eastAsia="楷体_GB2312"/>
                <w:sz w:val="18"/>
                <w:szCs w:val="18"/>
                <w:u w:val="none"/>
              </w:rPr>
            </w:pPr>
            <w:r>
              <w:rPr>
                <w:rFonts w:hint="eastAsia" w:eastAsia="楷体_GB2312"/>
                <w:sz w:val="18"/>
                <w:szCs w:val="18"/>
                <w:u w:val="none"/>
              </w:rPr>
              <w:t>高秋凤，江荣焕</w:t>
            </w:r>
          </w:p>
          <w:p w14:paraId="11D5A218">
            <w:pPr>
              <w:rPr>
                <w:rFonts w:hint="default" w:eastAsia="楷体_GB2312"/>
                <w:sz w:val="18"/>
                <w:szCs w:val="18"/>
                <w:u w:val="none"/>
                <w:lang w:val="en-US" w:eastAsia="zh-CN"/>
              </w:rPr>
            </w:pPr>
            <w:r>
              <w:rPr>
                <w:rFonts w:hint="eastAsia" w:eastAsia="楷体_GB2312"/>
                <w:sz w:val="18"/>
                <w:szCs w:val="18"/>
                <w:u w:val="none"/>
                <w:lang w:val="en-US" w:eastAsia="zh-CN"/>
              </w:rPr>
              <w:t>周小梅</w:t>
            </w:r>
          </w:p>
        </w:tc>
        <w:tc>
          <w:tcPr>
            <w:tcW w:w="709" w:type="dxa"/>
            <w:noWrap w:val="0"/>
            <w:vAlign w:val="center"/>
          </w:tcPr>
          <w:p w14:paraId="7FBF92F5">
            <w:pPr>
              <w:rPr>
                <w:rFonts w:hint="eastAsia" w:eastAsia="楷体_GB2312"/>
                <w:szCs w:val="21"/>
                <w:u w:val="none"/>
              </w:rPr>
            </w:pPr>
            <w:r>
              <w:rPr>
                <w:rFonts w:hint="eastAsia" w:eastAsia="楷体_GB2312"/>
                <w:szCs w:val="21"/>
                <w:u w:val="none"/>
              </w:rPr>
              <w:t>评分</w:t>
            </w:r>
          </w:p>
        </w:tc>
        <w:tc>
          <w:tcPr>
            <w:tcW w:w="427" w:type="dxa"/>
            <w:tcBorders>
              <w:bottom w:val="single" w:color="auto" w:sz="4" w:space="0"/>
            </w:tcBorders>
            <w:noWrap w:val="0"/>
            <w:vAlign w:val="center"/>
          </w:tcPr>
          <w:p w14:paraId="1F0A1A40">
            <w:pPr>
              <w:rPr>
                <w:rFonts w:hint="eastAsia" w:eastAsia="楷体_GB2312"/>
                <w:sz w:val="24"/>
                <w:u w:val="none"/>
              </w:rPr>
            </w:pPr>
          </w:p>
        </w:tc>
      </w:tr>
      <w:tr w14:paraId="2A6AC1DA">
        <w:trPr>
          <w:trHeight w:val="397" w:hRule="atLeast"/>
          <w:jc w:val="center"/>
        </w:trPr>
        <w:tc>
          <w:tcPr>
            <w:tcW w:w="1066" w:type="dxa"/>
            <w:noWrap w:val="0"/>
            <w:vAlign w:val="bottom"/>
          </w:tcPr>
          <w:p w14:paraId="0C5CE19A">
            <w:pPr>
              <w:rPr>
                <w:rFonts w:hint="eastAsia" w:eastAsia="楷体_GB2312"/>
                <w:szCs w:val="21"/>
                <w:u w:val="none"/>
              </w:rPr>
            </w:pPr>
            <w:r>
              <w:rPr>
                <w:rFonts w:hint="eastAsia" w:eastAsia="楷体_GB2312"/>
                <w:szCs w:val="21"/>
                <w:u w:val="none"/>
              </w:rPr>
              <w:t>学    号</w:t>
            </w:r>
          </w:p>
        </w:tc>
        <w:tc>
          <w:tcPr>
            <w:tcW w:w="1872" w:type="dxa"/>
            <w:gridSpan w:val="3"/>
            <w:tcBorders>
              <w:bottom w:val="single" w:color="auto" w:sz="4" w:space="0"/>
            </w:tcBorders>
            <w:noWrap w:val="0"/>
            <w:vAlign w:val="bottom"/>
          </w:tcPr>
          <w:p w14:paraId="1A888E51">
            <w:pPr>
              <w:rPr>
                <w:rFonts w:hint="default" w:eastAsia="楷体_GB2312"/>
                <w:szCs w:val="21"/>
                <w:u w:val="none"/>
                <w:lang w:val="en-US" w:eastAsia="zh-CN"/>
              </w:rPr>
            </w:pPr>
            <w:r>
              <w:rPr>
                <w:rFonts w:hint="eastAsia" w:eastAsia="楷体_GB2312"/>
                <w:szCs w:val="21"/>
                <w:u w:val="none"/>
                <w:lang w:val="en-US" w:eastAsia="zh-CN"/>
              </w:rPr>
              <w:t>2024150040</w:t>
            </w:r>
          </w:p>
        </w:tc>
        <w:tc>
          <w:tcPr>
            <w:tcW w:w="680" w:type="dxa"/>
            <w:gridSpan w:val="2"/>
            <w:noWrap w:val="0"/>
            <w:vAlign w:val="bottom"/>
          </w:tcPr>
          <w:p w14:paraId="1ABBFA33">
            <w:pPr>
              <w:jc w:val="right"/>
              <w:rPr>
                <w:rFonts w:hint="eastAsia" w:eastAsia="楷体_GB2312"/>
                <w:szCs w:val="21"/>
                <w:u w:val="none"/>
              </w:rPr>
            </w:pPr>
            <w:r>
              <w:rPr>
                <w:rFonts w:hint="eastAsia" w:eastAsia="楷体_GB2312"/>
                <w:szCs w:val="21"/>
                <w:u w:val="none"/>
              </w:rPr>
              <w:t>姓名</w:t>
            </w:r>
          </w:p>
        </w:tc>
        <w:tc>
          <w:tcPr>
            <w:tcW w:w="1441" w:type="dxa"/>
            <w:gridSpan w:val="2"/>
            <w:tcBorders>
              <w:bottom w:val="single" w:color="auto" w:sz="4" w:space="0"/>
            </w:tcBorders>
            <w:noWrap w:val="0"/>
            <w:vAlign w:val="bottom"/>
          </w:tcPr>
          <w:p w14:paraId="4CBE67DA">
            <w:pPr>
              <w:rPr>
                <w:rFonts w:hint="default" w:eastAsia="楷体_GB2312"/>
                <w:szCs w:val="21"/>
                <w:u w:val="none"/>
                <w:lang w:val="en-US" w:eastAsia="zh-CN"/>
              </w:rPr>
            </w:pPr>
            <w:r>
              <w:rPr>
                <w:rFonts w:hint="eastAsia" w:eastAsia="楷体_GB2312"/>
                <w:szCs w:val="21"/>
                <w:u w:val="none"/>
                <w:lang w:val="en-US" w:eastAsia="zh-CN"/>
              </w:rPr>
              <w:t>邓瑞霖</w:t>
            </w:r>
          </w:p>
        </w:tc>
        <w:tc>
          <w:tcPr>
            <w:tcW w:w="1179" w:type="dxa"/>
            <w:gridSpan w:val="2"/>
            <w:tcBorders>
              <w:left w:val="nil"/>
            </w:tcBorders>
            <w:noWrap w:val="0"/>
            <w:vAlign w:val="bottom"/>
          </w:tcPr>
          <w:p w14:paraId="73536E25">
            <w:pPr>
              <w:rPr>
                <w:rFonts w:hint="eastAsia" w:eastAsia="楷体_GB2312"/>
                <w:szCs w:val="21"/>
                <w:u w:val="none"/>
              </w:rPr>
            </w:pPr>
            <w:r>
              <w:rPr>
                <w:rFonts w:hint="eastAsia" w:eastAsia="楷体_GB2312"/>
                <w:szCs w:val="21"/>
                <w:u w:val="none"/>
              </w:rPr>
              <w:t>专业年级</w:t>
            </w:r>
          </w:p>
        </w:tc>
        <w:tc>
          <w:tcPr>
            <w:tcW w:w="3829" w:type="dxa"/>
            <w:gridSpan w:val="5"/>
            <w:tcBorders>
              <w:bottom w:val="single" w:color="auto" w:sz="4" w:space="0"/>
            </w:tcBorders>
            <w:noWrap w:val="0"/>
            <w:vAlign w:val="bottom"/>
          </w:tcPr>
          <w:p w14:paraId="06A0802E">
            <w:pPr>
              <w:rPr>
                <w:rFonts w:hint="default" w:eastAsia="楷体_GB2312"/>
                <w:szCs w:val="21"/>
                <w:u w:val="none"/>
                <w:lang w:val="en-US" w:eastAsia="zh-CN"/>
              </w:rPr>
            </w:pPr>
            <w:r>
              <w:rPr>
                <w:rFonts w:hint="eastAsia" w:eastAsia="楷体_GB2312"/>
                <w:szCs w:val="21"/>
                <w:u w:val="none"/>
                <w:lang w:val="en-US" w:eastAsia="zh-CN"/>
              </w:rPr>
              <w:t>大二 人工智能卓越班</w:t>
            </w:r>
          </w:p>
        </w:tc>
      </w:tr>
      <w:tr w14:paraId="61535E57">
        <w:trPr>
          <w:trHeight w:val="113" w:hRule="exact"/>
          <w:jc w:val="center"/>
        </w:trPr>
        <w:tc>
          <w:tcPr>
            <w:tcW w:w="10067" w:type="dxa"/>
            <w:gridSpan w:val="15"/>
            <w:tcBorders>
              <w:bottom w:val="single" w:color="auto" w:sz="4" w:space="0"/>
            </w:tcBorders>
            <w:noWrap w:val="0"/>
            <w:vAlign w:val="bottom"/>
          </w:tcPr>
          <w:p w14:paraId="0770C729">
            <w:pPr>
              <w:rPr>
                <w:rFonts w:hint="eastAsia" w:eastAsia="楷体_GB2312"/>
                <w:szCs w:val="21"/>
                <w:u w:val="none"/>
              </w:rPr>
            </w:pPr>
          </w:p>
        </w:tc>
      </w:tr>
      <w:tr w14:paraId="67BF79AB">
        <w:trPr>
          <w:trHeight w:val="1395" w:hRule="atLeast"/>
          <w:jc w:val="center"/>
        </w:trPr>
        <w:tc>
          <w:tcPr>
            <w:tcW w:w="10067" w:type="dxa"/>
            <w:gridSpan w:val="15"/>
            <w:tcBorders>
              <w:top w:val="single" w:color="auto" w:sz="4" w:space="0"/>
              <w:left w:val="single" w:color="auto" w:sz="4" w:space="0"/>
              <w:right w:val="single" w:color="auto" w:sz="4" w:space="0"/>
            </w:tcBorders>
            <w:noWrap w:val="0"/>
            <w:vAlign w:val="top"/>
          </w:tcPr>
          <w:p w14:paraId="354B8C9B">
            <w:pPr>
              <w:rPr>
                <w:rFonts w:hint="eastAsia" w:eastAsia="楷体_GB2312"/>
                <w:szCs w:val="21"/>
                <w:u w:val="none"/>
              </w:rPr>
            </w:pPr>
            <w:r>
              <w:rPr>
                <w:rFonts w:hint="eastAsia" w:eastAsia="楷体_GB2312"/>
                <w:szCs w:val="21"/>
                <w:u w:val="none"/>
              </w:rPr>
              <w:t>教师评语：</w:t>
            </w:r>
          </w:p>
        </w:tc>
      </w:tr>
      <w:tr w14:paraId="33575282">
        <w:trPr>
          <w:trHeight w:val="765" w:hRule="atLeast"/>
          <w:jc w:val="center"/>
        </w:trPr>
        <w:tc>
          <w:tcPr>
            <w:tcW w:w="1858" w:type="dxa"/>
            <w:gridSpan w:val="2"/>
            <w:tcBorders>
              <w:top w:val="single" w:color="auto" w:sz="4" w:space="0"/>
            </w:tcBorders>
            <w:noWrap w:val="0"/>
            <w:vAlign w:val="center"/>
          </w:tcPr>
          <w:p w14:paraId="38F7E4BB">
            <w:pPr>
              <w:wordWrap w:val="0"/>
              <w:jc w:val="center"/>
              <w:rPr>
                <w:rFonts w:hint="eastAsia" w:eastAsia="楷体_GB2312"/>
                <w:sz w:val="24"/>
                <w:u w:val="none"/>
              </w:rPr>
            </w:pPr>
            <w:r>
              <w:rPr>
                <w:rFonts w:hint="eastAsia" w:eastAsia="楷体_GB2312"/>
                <w:sz w:val="24"/>
                <w:u w:val="none"/>
              </w:rPr>
              <w:t>题目：</w:t>
            </w:r>
          </w:p>
        </w:tc>
        <w:tc>
          <w:tcPr>
            <w:tcW w:w="6913" w:type="dxa"/>
            <w:gridSpan w:val="10"/>
            <w:tcBorders>
              <w:top w:val="single" w:color="auto" w:sz="4" w:space="0"/>
              <w:bottom w:val="single" w:color="auto" w:sz="4" w:space="0"/>
            </w:tcBorders>
            <w:noWrap w:val="0"/>
            <w:vAlign w:val="center"/>
          </w:tcPr>
          <w:p w14:paraId="749C2938">
            <w:pPr>
              <w:jc w:val="center"/>
              <w:rPr>
                <w:rFonts w:hint="eastAsia" w:ascii="黑体" w:eastAsia="黑体"/>
                <w:sz w:val="28"/>
                <w:szCs w:val="28"/>
                <w:u w:val="none"/>
              </w:rPr>
            </w:pPr>
            <w:r>
              <w:rPr>
                <w:rFonts w:hint="eastAsia" w:ascii="黑体" w:eastAsia="黑体"/>
                <w:sz w:val="28"/>
                <w:szCs w:val="28"/>
                <w:u w:val="none"/>
              </w:rPr>
              <w:t>"奥德赛时期"大学生的自我认同困境：在漂泊与锚定之间寻找方向</w:t>
            </w:r>
          </w:p>
        </w:tc>
        <w:tc>
          <w:tcPr>
            <w:tcW w:w="1296" w:type="dxa"/>
            <w:gridSpan w:val="3"/>
            <w:tcBorders>
              <w:top w:val="single" w:color="auto" w:sz="4" w:space="0"/>
            </w:tcBorders>
            <w:noWrap w:val="0"/>
            <w:vAlign w:val="center"/>
          </w:tcPr>
          <w:p w14:paraId="11CF34FC">
            <w:pPr>
              <w:jc w:val="center"/>
              <w:rPr>
                <w:rFonts w:hint="eastAsia" w:eastAsia="楷体_GB2312"/>
                <w:sz w:val="24"/>
                <w:u w:val="none"/>
              </w:rPr>
            </w:pPr>
          </w:p>
        </w:tc>
      </w:tr>
    </w:tbl>
    <w:p w14:paraId="1911BE9D">
      <w:pPr>
        <w:rPr>
          <w:rFonts w:hint="eastAsia"/>
          <w:u w:val="none"/>
        </w:rPr>
      </w:pPr>
    </w:p>
    <w:p w14:paraId="525C62AF">
      <w:pPr>
        <w:rPr>
          <w:rFonts w:hint="eastAsia"/>
          <w:u w:val="none"/>
          <w:lang w:val="en-US" w:eastAsia="zh-CN"/>
        </w:rPr>
      </w:pPr>
      <w:r>
        <w:rPr>
          <w:rFonts w:hint="eastAsia"/>
          <w:b/>
          <w:bCs/>
          <w:u w:val="none"/>
          <w:lang w:val="en-US" w:eastAsia="zh-CN"/>
        </w:rPr>
        <w:t>摘要：</w:t>
      </w:r>
      <w:r>
        <w:rPr>
          <w:rFonts w:hint="eastAsia"/>
          <w:u w:val="none"/>
          <w:lang w:val="en-US" w:eastAsia="zh-CN"/>
        </w:rPr>
        <w:t>"奥德赛时期"概念描绘了当代20-30岁青年在成年过渡期中的长期漂泊与探索状态。本文基于发展心理学视角，结合Erikson的自我同一性理论、Marcia的同一性状态模型及Arnett的成年显现期理论，分析当下大学生在"奥德赛时期"面临的自我认同挑战，探讨身份扩散与心理延缓之间的张力，并结合个人经历和身边案例，提出在保持开放探索与避免长期认同迷失之间的平衡策略。本文认为，"奥德赛时期"并非单纯的困境，而是自我认同建构的必经之路，关键在于赋予漂泊以意义，在试错中逐步走向认同获得。</w:t>
      </w:r>
    </w:p>
    <w:p w14:paraId="377DAF88">
      <w:pPr>
        <w:rPr>
          <w:rFonts w:hint="eastAsia"/>
          <w:u w:val="none"/>
          <w:lang w:val="en-US" w:eastAsia="zh-CN"/>
        </w:rPr>
      </w:pPr>
    </w:p>
    <w:p w14:paraId="631C410F">
      <w:pPr>
        <w:rPr>
          <w:rFonts w:hint="eastAsia"/>
          <w:u w:val="none"/>
          <w:lang w:val="en-US" w:eastAsia="zh-CN"/>
        </w:rPr>
      </w:pPr>
      <w:r>
        <w:rPr>
          <w:rFonts w:hint="eastAsia"/>
          <w:b/>
          <w:bCs/>
          <w:u w:val="none"/>
          <w:lang w:val="en-US" w:eastAsia="zh-CN"/>
        </w:rPr>
        <w:t>关键词：</w:t>
      </w:r>
      <w:r>
        <w:rPr>
          <w:rFonts w:hint="eastAsia"/>
          <w:u w:val="none"/>
          <w:lang w:val="en-US" w:eastAsia="zh-CN"/>
        </w:rPr>
        <w:t xml:space="preserve"> 奥德赛时期；自我认同；身份扩散；心理延缓；成年显现期；发展心理学</w:t>
      </w:r>
    </w:p>
    <w:p w14:paraId="0D25584C">
      <w:pPr>
        <w:rPr>
          <w:rFonts w:hint="eastAsia"/>
          <w:u w:val="none"/>
          <w:lang w:val="en-US" w:eastAsia="zh-CN"/>
        </w:rPr>
      </w:pPr>
    </w:p>
    <w:p w14:paraId="7B76E716">
      <w:pPr>
        <w:rPr>
          <w:rFonts w:hint="default"/>
          <w:b/>
          <w:bCs/>
          <w:sz w:val="28"/>
          <w:szCs w:val="28"/>
          <w:u w:val="none"/>
          <w:lang w:val="en-US" w:eastAsia="zh-CN"/>
        </w:rPr>
      </w:pPr>
      <w:r>
        <w:rPr>
          <w:rFonts w:hint="eastAsia"/>
          <w:b/>
          <w:bCs/>
          <w:sz w:val="28"/>
          <w:szCs w:val="28"/>
          <w:u w:val="none"/>
          <w:lang w:val="en-US" w:eastAsia="zh-CN"/>
        </w:rPr>
        <w:t>一、引言</w:t>
      </w:r>
    </w:p>
    <w:p w14:paraId="7B3252F8">
      <w:pPr>
        <w:rPr>
          <w:rFonts w:hint="eastAsia"/>
          <w:u w:val="none"/>
          <w:lang w:val="en-US" w:eastAsia="zh-CN"/>
        </w:rPr>
      </w:pPr>
      <w:r>
        <w:rPr>
          <w:rFonts w:hint="eastAsia"/>
          <w:u w:val="none"/>
          <w:lang w:val="en-US" w:eastAsia="zh-CN"/>
        </w:rPr>
        <w:t>“奥德赛时期”这个概念突然在小红书和微博上火了。大量二十多岁的年轻人用这个词来描述自己毕业后那种“不知道该往哪走、但又停不下来”的状态——换了几份工作都不满意、考公考研摇摆不定、回到老家又觉得不甘心、留在大城市又觉得孤独。评论区里最高共鸣的一条评论是：“原来这不叫失败，这叫漂泊。”</w:t>
      </w:r>
    </w:p>
    <w:p w14:paraId="3181B34D">
      <w:pPr>
        <w:rPr>
          <w:rFonts w:hint="eastAsia"/>
          <w:u w:val="none"/>
          <w:lang w:val="en-US" w:eastAsia="zh-CN"/>
        </w:rPr>
      </w:pPr>
    </w:p>
    <w:p w14:paraId="48F94EEC">
      <w:pPr>
        <w:rPr>
          <w:rFonts w:hint="eastAsia"/>
          <w:u w:val="none"/>
          <w:lang w:val="en-US" w:eastAsia="zh-CN"/>
        </w:rPr>
      </w:pPr>
      <w:r>
        <w:rPr>
          <w:rFonts w:hint="eastAsia"/>
          <w:u w:val="none"/>
          <w:lang w:val="en-US" w:eastAsia="zh-CN"/>
        </w:rPr>
        <w:t>"奥德赛时期"最初由美国作家大卫·布鲁克斯于2007年提出，他借用特洛伊战争后奥德修斯十年漂泊归途的隐喻，描述当代年轻人从离开校园到真正成熟的漫长过渡期。在这个阶段，年轻人频繁更换工作、推迟婚育、在不同城市间流动，常常用"迷茫""试错""还在寻找方向"来形容自己。</w:t>
      </w:r>
    </w:p>
    <w:p w14:paraId="41775286">
      <w:pPr>
        <w:rPr>
          <w:rFonts w:hint="eastAsia"/>
          <w:u w:val="none"/>
          <w:lang w:val="en-US" w:eastAsia="zh-CN"/>
        </w:rPr>
      </w:pPr>
    </w:p>
    <w:p w14:paraId="3C3E1FC7">
      <w:pPr>
        <w:rPr>
          <w:rFonts w:hint="eastAsia"/>
          <w:u w:val="none"/>
          <w:lang w:val="en-US" w:eastAsia="zh-CN"/>
        </w:rPr>
      </w:pPr>
      <w:r>
        <w:rPr>
          <w:rFonts w:hint="eastAsia"/>
          <w:u w:val="none"/>
          <w:lang w:val="en-US" w:eastAsia="zh-CN"/>
        </w:rPr>
        <w:t>许多大学生对此并不陌生。宿舍里四个人，一个在准备考研，一个在考公，一个刚刚辞掉了第一份工作说要“再想想”，还有一个正在犹豫要不要接受一份专业不对口的offer。好像每个人都在路上，但没有人知道自己要去哪里。这种群体性的迷茫，究竟是个人选择能力的问题，还是这一代人面临的认同发展环境发生了根本性的变化？</w:t>
      </w:r>
    </w:p>
    <w:p w14:paraId="15ED33F1">
      <w:pPr>
        <w:rPr>
          <w:rFonts w:hint="eastAsia"/>
          <w:u w:val="none"/>
          <w:lang w:val="en-US" w:eastAsia="zh-CN"/>
        </w:rPr>
      </w:pPr>
    </w:p>
    <w:p w14:paraId="374FA65B">
      <w:pPr>
        <w:rPr>
          <w:rFonts w:hint="eastAsia"/>
          <w:u w:val="none"/>
          <w:lang w:val="en-US" w:eastAsia="zh-CN"/>
        </w:rPr>
      </w:pPr>
      <w:r>
        <w:rPr>
          <w:rFonts w:hint="eastAsia"/>
          <w:u w:val="none"/>
          <w:lang w:val="en-US" w:eastAsia="zh-CN"/>
        </w:rPr>
        <w:t>本文将从发展心理学的理论出发，分析"奥德赛时期"大学生自我认同的发展挑战，并探讨如何在探索与锚定之间找到平衡。</w:t>
      </w:r>
    </w:p>
    <w:p w14:paraId="6872CF6C">
      <w:pPr>
        <w:rPr>
          <w:rFonts w:hint="eastAsia"/>
          <w:u w:val="none"/>
          <w:lang w:val="en-US" w:eastAsia="zh-CN"/>
        </w:rPr>
      </w:pPr>
    </w:p>
    <w:p w14:paraId="31133C93">
      <w:pPr>
        <w:numPr>
          <w:ilvl w:val="0"/>
          <w:numId w:val="1"/>
        </w:numPr>
        <w:rPr>
          <w:rFonts w:hint="eastAsia"/>
          <w:b/>
          <w:bCs/>
          <w:sz w:val="28"/>
          <w:szCs w:val="28"/>
          <w:u w:val="none"/>
          <w:lang w:val="en-US" w:eastAsia="zh-CN"/>
        </w:rPr>
      </w:pPr>
      <w:r>
        <w:rPr>
          <w:rFonts w:hint="eastAsia"/>
          <w:b/>
          <w:bCs/>
          <w:sz w:val="28"/>
          <w:szCs w:val="28"/>
          <w:u w:val="none"/>
          <w:lang w:val="en-US" w:eastAsia="zh-CN"/>
        </w:rPr>
        <w:t>理论基础</w:t>
      </w:r>
    </w:p>
    <w:p w14:paraId="77DEA180">
      <w:pPr>
        <w:widowControl w:val="0"/>
        <w:numPr>
          <w:ilvl w:val="0"/>
          <w:numId w:val="2"/>
        </w:numPr>
        <w:jc w:val="both"/>
        <w:rPr>
          <w:rFonts w:hint="eastAsia"/>
          <w:b/>
          <w:bCs/>
          <w:sz w:val="24"/>
          <w:szCs w:val="24"/>
          <w:u w:val="none"/>
          <w:lang w:val="en-US" w:eastAsia="zh-CN"/>
        </w:rPr>
      </w:pPr>
      <w:r>
        <w:rPr>
          <w:rFonts w:hint="eastAsia"/>
          <w:b/>
          <w:bCs/>
          <w:sz w:val="24"/>
          <w:szCs w:val="24"/>
          <w:u w:val="none"/>
          <w:lang w:val="en-US" w:eastAsia="zh-CN"/>
        </w:rPr>
        <w:t>Erikson的自我同一性理论</w:t>
      </w:r>
    </w:p>
    <w:p w14:paraId="74889845">
      <w:pPr>
        <w:widowControl w:val="0"/>
        <w:numPr>
          <w:ilvl w:val="0"/>
          <w:numId w:val="0"/>
        </w:numPr>
        <w:jc w:val="both"/>
        <w:rPr>
          <w:rFonts w:hint="eastAsia"/>
          <w:u w:val="none"/>
          <w:lang w:val="en-US" w:eastAsia="zh-CN"/>
        </w:rPr>
      </w:pPr>
      <w:r>
        <w:rPr>
          <w:rFonts w:hint="eastAsia"/>
          <w:u w:val="none"/>
          <w:lang w:val="en-US" w:eastAsia="zh-CN"/>
        </w:rPr>
        <w:fldChar w:fldCharType="begin"/>
      </w:r>
      <w:r>
        <w:rPr>
          <w:rFonts w:hint="eastAsia"/>
          <w:u w:val="none"/>
          <w:lang w:val="en-US" w:eastAsia="zh-CN"/>
        </w:rPr>
        <w:instrText xml:space="preserve"> HYPERLINK \l "Erikson" </w:instrText>
      </w:r>
      <w:r>
        <w:rPr>
          <w:rFonts w:hint="eastAsia"/>
          <w:u w:val="none"/>
          <w:lang w:val="en-US" w:eastAsia="zh-CN"/>
        </w:rPr>
        <w:fldChar w:fldCharType="separate"/>
      </w:r>
      <w:r>
        <w:rPr>
          <w:rStyle w:val="15"/>
          <w:rFonts w:hint="eastAsia"/>
          <w:u w:val="none"/>
          <w:lang w:val="en-US" w:eastAsia="zh-CN"/>
        </w:rPr>
        <w:t>Erikson（1968）</w:t>
      </w:r>
      <w:r>
        <w:rPr>
          <w:rFonts w:hint="eastAsia"/>
          <w:u w:val="none"/>
          <w:lang w:val="en-US" w:eastAsia="zh-CN"/>
        </w:rPr>
        <w:fldChar w:fldCharType="end"/>
      </w:r>
      <w:r>
        <w:rPr>
          <w:rFonts w:hint="eastAsia"/>
          <w:u w:val="none"/>
          <w:lang w:val="en-US" w:eastAsia="zh-CN"/>
        </w:rPr>
        <w:t>在其心理社会发展理论中，将青年期的核心冲突界定为“自我同一性 vs. 角色混乱”。他认为，个体在青春期需要整合过去的经验、当前的能力与社会的期望，形成一个连贯而稳定的自我感。如果这一任务完成不好，个体就会陷入角色混乱——不知道自己是谁、想成为什么样的人、在社会中扮演什么角色。</w:t>
      </w:r>
    </w:p>
    <w:p w14:paraId="66EEBC04">
      <w:pPr>
        <w:widowControl w:val="0"/>
        <w:numPr>
          <w:ilvl w:val="0"/>
          <w:numId w:val="0"/>
        </w:numPr>
        <w:jc w:val="both"/>
        <w:rPr>
          <w:rFonts w:hint="eastAsia"/>
          <w:u w:val="none"/>
          <w:lang w:val="en-US" w:eastAsia="zh-CN"/>
        </w:rPr>
      </w:pPr>
    </w:p>
    <w:p w14:paraId="2E2AEDAA">
      <w:pPr>
        <w:widowControl w:val="0"/>
        <w:numPr>
          <w:ilvl w:val="0"/>
          <w:numId w:val="0"/>
        </w:numPr>
        <w:jc w:val="both"/>
        <w:rPr>
          <w:rFonts w:hint="eastAsia"/>
          <w:u w:val="none"/>
          <w:lang w:val="en-US" w:eastAsia="zh-CN"/>
        </w:rPr>
      </w:pPr>
      <w:r>
        <w:rPr>
          <w:rFonts w:hint="eastAsia"/>
          <w:u w:val="none"/>
          <w:lang w:val="en-US" w:eastAsia="zh-CN"/>
        </w:rPr>
        <w:t>值得注意的是，Erikson所描述的这一阶段主要对应的是传统社会中较早进入社会角色的青年人。而当代大学生面临的"奥德赛时期"，实际上是这一认同发展阶段的时间被大幅拉长了。当社会角色（职业、婚姻、家庭）的获得被推迟，自我同一性的建立也就失去了传统意义上的"锚点"，导致认同探索的过程变得更加漫长和不确定。</w:t>
      </w:r>
    </w:p>
    <w:p w14:paraId="571DE37C">
      <w:pPr>
        <w:widowControl w:val="0"/>
        <w:numPr>
          <w:ilvl w:val="0"/>
          <w:numId w:val="0"/>
        </w:numPr>
        <w:jc w:val="both"/>
        <w:rPr>
          <w:rFonts w:hint="eastAsia"/>
          <w:u w:val="none"/>
          <w:lang w:val="en-US" w:eastAsia="zh-CN"/>
        </w:rPr>
      </w:pPr>
    </w:p>
    <w:p w14:paraId="580D9055">
      <w:pPr>
        <w:widowControl w:val="0"/>
        <w:numPr>
          <w:ilvl w:val="0"/>
          <w:numId w:val="2"/>
        </w:numPr>
        <w:jc w:val="both"/>
        <w:rPr>
          <w:rFonts w:hint="default"/>
          <w:b/>
          <w:bCs/>
          <w:sz w:val="24"/>
          <w:szCs w:val="24"/>
          <w:u w:val="none"/>
          <w:lang w:val="en-US" w:eastAsia="zh-CN"/>
        </w:rPr>
      </w:pPr>
      <w:r>
        <w:rPr>
          <w:rFonts w:hint="default"/>
          <w:b/>
          <w:bCs/>
          <w:sz w:val="24"/>
          <w:szCs w:val="24"/>
          <w:u w:val="none"/>
          <w:lang w:val="en-US" w:eastAsia="zh-CN"/>
        </w:rPr>
        <w:t>Marcia的同一性状态模型</w:t>
      </w:r>
    </w:p>
    <w:p w14:paraId="7F49AA97">
      <w:pPr>
        <w:widowControl w:val="0"/>
        <w:numPr>
          <w:ilvl w:val="0"/>
          <w:numId w:val="0"/>
        </w:numPr>
        <w:jc w:val="both"/>
        <w:rPr>
          <w:rFonts w:hint="eastAsia"/>
          <w:u w:val="none"/>
          <w:lang w:val="en-US" w:eastAsia="zh-CN"/>
        </w:rPr>
      </w:pPr>
      <w:r>
        <w:rPr>
          <w:rFonts w:hint="default"/>
          <w:u w:val="none"/>
          <w:lang w:val="en-US" w:eastAsia="zh-CN"/>
        </w:rPr>
        <w:t>在Erikson理论的基础上，</w:t>
      </w:r>
      <w:r>
        <w:rPr>
          <w:rFonts w:hint="default"/>
          <w:u w:val="none"/>
          <w:lang w:val="en-US" w:eastAsia="zh-CN"/>
        </w:rPr>
        <w:fldChar w:fldCharType="begin"/>
      </w:r>
      <w:r>
        <w:rPr>
          <w:rFonts w:hint="default"/>
          <w:u w:val="none"/>
          <w:lang w:val="en-US" w:eastAsia="zh-CN"/>
        </w:rPr>
        <w:instrText xml:space="preserve"> HYPERLINK \l "Marcia" </w:instrText>
      </w:r>
      <w:r>
        <w:rPr>
          <w:rFonts w:hint="default"/>
          <w:u w:val="none"/>
          <w:lang w:val="en-US" w:eastAsia="zh-CN"/>
        </w:rPr>
        <w:fldChar w:fldCharType="separate"/>
      </w:r>
      <w:r>
        <w:rPr>
          <w:rStyle w:val="15"/>
          <w:rFonts w:hint="default"/>
          <w:u w:val="none"/>
          <w:lang w:val="en-US" w:eastAsia="zh-CN"/>
        </w:rPr>
        <w:t>Marcia（1966）</w:t>
      </w:r>
      <w:r>
        <w:rPr>
          <w:rFonts w:hint="default"/>
          <w:u w:val="none"/>
          <w:lang w:val="en-US" w:eastAsia="zh-CN"/>
        </w:rPr>
        <w:fldChar w:fldCharType="end"/>
      </w:r>
      <w:r>
        <w:rPr>
          <w:rFonts w:hint="default"/>
          <w:u w:val="none"/>
          <w:lang w:val="en-US" w:eastAsia="zh-CN"/>
        </w:rPr>
        <w:t>提出了同一性状态的二维模型，根据"探索"（crisis）和"承诺"（commitment）两个维度的高低，将同一性状态分为四种类型</w:t>
      </w:r>
      <w:r>
        <w:rPr>
          <w:rFonts w:hint="eastAsia"/>
          <w:u w:val="none"/>
          <w:lang w:val="en-US" w:eastAsia="zh-CN"/>
        </w:rPr>
        <w:t>（</w:t>
      </w:r>
      <w:r>
        <w:rPr>
          <w:rFonts w:hint="eastAsia"/>
          <w:u w:val="none"/>
          <w:lang w:val="en-US" w:eastAsia="zh-CN"/>
        </w:rPr>
        <w:fldChar w:fldCharType="begin"/>
      </w:r>
      <w:r>
        <w:rPr>
          <w:rFonts w:hint="eastAsia"/>
          <w:u w:val="none"/>
          <w:lang w:val="en-US" w:eastAsia="zh-CN"/>
        </w:rPr>
        <w:instrText xml:space="preserve"> HYPERLINK \l "图一" </w:instrText>
      </w:r>
      <w:r>
        <w:rPr>
          <w:rFonts w:hint="eastAsia"/>
          <w:u w:val="none"/>
          <w:lang w:val="en-US" w:eastAsia="zh-CN"/>
        </w:rPr>
        <w:fldChar w:fldCharType="separate"/>
      </w:r>
      <w:r>
        <w:rPr>
          <w:rStyle w:val="15"/>
          <w:rFonts w:hint="eastAsia"/>
          <w:u w:val="none"/>
          <w:lang w:val="en-US" w:eastAsia="zh-CN"/>
        </w:rPr>
        <w:t>图一</w:t>
      </w:r>
      <w:r>
        <w:rPr>
          <w:rFonts w:hint="eastAsia"/>
          <w:u w:val="none"/>
          <w:lang w:val="en-US" w:eastAsia="zh-CN"/>
        </w:rPr>
        <w:fldChar w:fldCharType="end"/>
      </w:r>
      <w:r>
        <w:rPr>
          <w:rFonts w:hint="eastAsia"/>
          <w:u w:val="none"/>
          <w:lang w:val="en-US" w:eastAsia="zh-CN"/>
        </w:rPr>
        <w:t>、</w:t>
      </w:r>
      <w:r>
        <w:rPr>
          <w:rFonts w:hint="eastAsia"/>
          <w:u w:val="none"/>
          <w:lang w:val="en-US" w:eastAsia="zh-CN"/>
        </w:rPr>
        <w:fldChar w:fldCharType="begin"/>
      </w:r>
      <w:r>
        <w:rPr>
          <w:rFonts w:hint="eastAsia"/>
          <w:u w:val="none"/>
          <w:lang w:val="en-US" w:eastAsia="zh-CN"/>
        </w:rPr>
        <w:instrText xml:space="preserve"> HYPERLINK \l "表一" </w:instrText>
      </w:r>
      <w:r>
        <w:rPr>
          <w:rFonts w:hint="eastAsia"/>
          <w:u w:val="none"/>
          <w:lang w:val="en-US" w:eastAsia="zh-CN"/>
        </w:rPr>
        <w:fldChar w:fldCharType="separate"/>
      </w:r>
      <w:r>
        <w:rPr>
          <w:rStyle w:val="15"/>
          <w:rFonts w:hint="eastAsia"/>
          <w:u w:val="none"/>
          <w:lang w:val="en-US" w:eastAsia="zh-CN"/>
        </w:rPr>
        <w:t>表一</w:t>
      </w:r>
      <w:r>
        <w:rPr>
          <w:rFonts w:hint="eastAsia"/>
          <w:u w:val="none"/>
          <w:lang w:val="en-US" w:eastAsia="zh-CN"/>
        </w:rPr>
        <w:fldChar w:fldCharType="end"/>
      </w:r>
      <w:r>
        <w:rPr>
          <w:rFonts w:hint="eastAsia"/>
          <w:u w:val="none"/>
          <w:lang w:val="en-US" w:eastAsia="zh-CN"/>
        </w:rPr>
        <w:t>）。</w:t>
      </w:r>
    </w:p>
    <w:p w14:paraId="4AC34612">
      <w:pPr>
        <w:widowControl w:val="0"/>
        <w:numPr>
          <w:ilvl w:val="0"/>
          <w:numId w:val="0"/>
        </w:numPr>
        <w:jc w:val="center"/>
        <w:rPr>
          <w:u w:val="none"/>
        </w:rPr>
      </w:pPr>
      <w:bookmarkStart w:id="0" w:name="图一"/>
      <w:r>
        <w:rPr>
          <w:u w:val="none"/>
        </w:rPr>
        <w:drawing>
          <wp:inline distT="0" distB="0" distL="114300" distR="114300">
            <wp:extent cx="3599815" cy="2871470"/>
            <wp:effectExtent l="0" t="0" r="6985" b="241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3599815" cy="2871470"/>
                    </a:xfrm>
                    <a:prstGeom prst="rect">
                      <a:avLst/>
                    </a:prstGeom>
                    <a:noFill/>
                    <a:ln>
                      <a:noFill/>
                    </a:ln>
                  </pic:spPr>
                </pic:pic>
              </a:graphicData>
            </a:graphic>
          </wp:inline>
        </w:drawing>
      </w:r>
    </w:p>
    <w:p w14:paraId="413C35C2">
      <w:pPr>
        <w:widowControl w:val="0"/>
        <w:numPr>
          <w:ilvl w:val="0"/>
          <w:numId w:val="0"/>
        </w:numPr>
        <w:jc w:val="center"/>
        <w:rPr>
          <w:rFonts w:hint="default" w:eastAsia="宋体"/>
          <w:u w:val="none"/>
          <w:lang w:val="en-US" w:eastAsia="zh-CN"/>
        </w:rPr>
      </w:pPr>
      <w:r>
        <w:rPr>
          <w:rFonts w:hint="eastAsia"/>
          <w:u w:val="none"/>
          <w:lang w:val="en-US" w:eastAsia="zh-CN"/>
        </w:rPr>
        <w:t>图1 Marcia同一性状态模型（探索×承诺二维矩阵）</w:t>
      </w:r>
    </w:p>
    <w:bookmarkEnd w:id="0"/>
    <w:p w14:paraId="51BB5B6C">
      <w:pPr>
        <w:widowControl w:val="0"/>
        <w:numPr>
          <w:ilvl w:val="0"/>
          <w:numId w:val="0"/>
        </w:numPr>
        <w:jc w:val="both"/>
        <w:rPr>
          <w:rFonts w:hint="eastAsia"/>
          <w:u w:val="none"/>
          <w:lang w:val="en-US" w:eastAsia="zh-CN"/>
        </w:rPr>
      </w:pPr>
    </w:p>
    <w:p w14:paraId="634F64CA">
      <w:pPr>
        <w:widowControl w:val="0"/>
        <w:numPr>
          <w:ilvl w:val="0"/>
          <w:numId w:val="0"/>
        </w:numPr>
        <w:jc w:val="center"/>
        <w:rPr>
          <w:rFonts w:hint="eastAsia"/>
          <w:u w:val="none"/>
          <w:lang w:val="en-US" w:eastAsia="zh-CN"/>
        </w:rPr>
      </w:pPr>
      <w:r>
        <w:rPr>
          <w:rFonts w:hint="eastAsia"/>
          <w:u w:val="none"/>
          <w:lang w:val="en-US" w:eastAsia="zh-CN"/>
        </w:rPr>
        <w:t>表1 Marcia的四种同一性状态对比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322"/>
        <w:gridCol w:w="1678"/>
        <w:gridCol w:w="3671"/>
      </w:tblGrid>
      <w:tr w14:paraId="4D879FAB">
        <w:tc>
          <w:tcPr>
            <w:tcW w:w="1615" w:type="dxa"/>
            <w:tcBorders>
              <w:top w:val="single" w:color="000000" w:sz="12" w:space="0"/>
              <w:left w:val="nil"/>
              <w:bottom w:val="single" w:color="000000" w:sz="4" w:space="0"/>
              <w:right w:val="nil"/>
              <w:tl2br w:val="nil"/>
            </w:tcBorders>
            <w:shd w:val="clear" w:color="auto" w:fill="FFFFFF"/>
          </w:tcPr>
          <w:p w14:paraId="4AAC7AB9">
            <w:pPr>
              <w:widowControl w:val="0"/>
              <w:numPr>
                <w:ilvl w:val="0"/>
                <w:numId w:val="0"/>
              </w:numPr>
              <w:jc w:val="center"/>
              <w:rPr>
                <w:rFonts w:hint="default"/>
                <w:b w:val="0"/>
                <w:color w:val="000000"/>
                <w:u w:val="none"/>
                <w:vertAlign w:val="baseline"/>
                <w:lang w:val="en-US" w:eastAsia="zh-CN"/>
              </w:rPr>
            </w:pPr>
            <w:bookmarkStart w:id="1" w:name="表一"/>
            <w:r>
              <w:rPr>
                <w:rFonts w:hint="eastAsia"/>
                <w:b w:val="0"/>
                <w:color w:val="000000"/>
                <w:u w:val="none"/>
                <w:vertAlign w:val="baseline"/>
                <w:lang w:val="en-US" w:eastAsia="zh-CN"/>
              </w:rPr>
              <w:t>同一性状态</w:t>
            </w:r>
          </w:p>
        </w:tc>
        <w:tc>
          <w:tcPr>
            <w:tcW w:w="2322" w:type="dxa"/>
            <w:tcBorders>
              <w:top w:val="single" w:color="000000" w:sz="12" w:space="0"/>
              <w:left w:val="nil"/>
              <w:bottom w:val="single" w:color="000000" w:sz="4" w:space="0"/>
              <w:right w:val="nil"/>
            </w:tcBorders>
            <w:shd w:val="clear" w:color="auto" w:fill="FFFFFF"/>
          </w:tcPr>
          <w:p w14:paraId="00852F6E">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探索（高/低）</w:t>
            </w:r>
          </w:p>
        </w:tc>
        <w:tc>
          <w:tcPr>
            <w:tcW w:w="1678" w:type="dxa"/>
            <w:tcBorders>
              <w:top w:val="single" w:color="000000" w:sz="12" w:space="0"/>
              <w:left w:val="nil"/>
              <w:bottom w:val="single" w:color="000000" w:sz="4" w:space="0"/>
              <w:right w:val="nil"/>
            </w:tcBorders>
            <w:shd w:val="clear" w:color="auto" w:fill="FFFFFF"/>
          </w:tcPr>
          <w:p w14:paraId="0A3C8C56">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承诺（高/低）</w:t>
            </w:r>
          </w:p>
        </w:tc>
        <w:tc>
          <w:tcPr>
            <w:tcW w:w="3671" w:type="dxa"/>
            <w:tcBorders>
              <w:top w:val="single" w:color="000000" w:sz="12" w:space="0"/>
              <w:left w:val="nil"/>
              <w:bottom w:val="single" w:color="000000" w:sz="4" w:space="0"/>
              <w:right w:val="nil"/>
            </w:tcBorders>
            <w:shd w:val="clear" w:color="auto" w:fill="FFFFFF"/>
          </w:tcPr>
          <w:p w14:paraId="307BC156">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典型表现</w:t>
            </w:r>
          </w:p>
        </w:tc>
      </w:tr>
      <w:tr w14:paraId="694B73E2">
        <w:tc>
          <w:tcPr>
            <w:tcW w:w="1615" w:type="dxa"/>
            <w:tcBorders>
              <w:top w:val="single" w:color="000000" w:sz="4" w:space="0"/>
              <w:left w:val="nil"/>
              <w:bottom w:val="single" w:color="auto" w:sz="4" w:space="0"/>
              <w:right w:val="nil"/>
            </w:tcBorders>
            <w:shd w:val="clear" w:color="auto" w:fill="FFFFFF"/>
          </w:tcPr>
          <w:p w14:paraId="5D7C71A8">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认同获得</w:t>
            </w:r>
          </w:p>
        </w:tc>
        <w:tc>
          <w:tcPr>
            <w:tcW w:w="2322" w:type="dxa"/>
            <w:tcBorders>
              <w:top w:val="single" w:color="000000" w:sz="4" w:space="0"/>
              <w:left w:val="nil"/>
              <w:bottom w:val="single" w:color="auto" w:sz="4" w:space="0"/>
              <w:right w:val="nil"/>
            </w:tcBorders>
            <w:shd w:val="clear" w:color="auto" w:fill="FFFFFF"/>
          </w:tcPr>
          <w:p w14:paraId="11AB6764">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高</w:t>
            </w:r>
          </w:p>
        </w:tc>
        <w:tc>
          <w:tcPr>
            <w:tcW w:w="1678" w:type="dxa"/>
            <w:tcBorders>
              <w:top w:val="single" w:color="000000" w:sz="4" w:space="0"/>
              <w:left w:val="nil"/>
              <w:bottom w:val="single" w:color="auto" w:sz="4" w:space="0"/>
              <w:right w:val="nil"/>
            </w:tcBorders>
            <w:shd w:val="clear" w:color="auto" w:fill="FFFFFF"/>
          </w:tcPr>
          <w:p w14:paraId="5E05EEEF">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高</w:t>
            </w:r>
          </w:p>
        </w:tc>
        <w:tc>
          <w:tcPr>
            <w:tcW w:w="3671" w:type="dxa"/>
            <w:tcBorders>
              <w:top w:val="single" w:color="000000" w:sz="4" w:space="0"/>
              <w:left w:val="nil"/>
              <w:bottom w:val="single" w:color="auto" w:sz="4" w:space="0"/>
              <w:right w:val="nil"/>
            </w:tcBorders>
            <w:shd w:val="clear" w:color="auto" w:fill="FFFFFF"/>
          </w:tcPr>
          <w:p w14:paraId="5431DEBD">
            <w:pPr>
              <w:widowControl w:val="0"/>
              <w:numPr>
                <w:ilvl w:val="0"/>
                <w:numId w:val="0"/>
              </w:numPr>
              <w:jc w:val="center"/>
              <w:rPr>
                <w:rFonts w:hint="default"/>
                <w:b w:val="0"/>
                <w:color w:val="000000"/>
                <w:u w:val="none"/>
                <w:vertAlign w:val="baseline"/>
                <w:lang w:val="en-US" w:eastAsia="zh-CN"/>
              </w:rPr>
            </w:pPr>
            <w:r>
              <w:rPr>
                <w:rFonts w:hint="default"/>
                <w:b w:val="0"/>
                <w:color w:val="000000"/>
                <w:u w:val="none"/>
                <w:vertAlign w:val="baseline"/>
                <w:lang w:val="en-US" w:eastAsia="zh-CN"/>
              </w:rPr>
              <w:t>经历过探索，做出了明确的职业、价值观等承诺</w:t>
            </w:r>
          </w:p>
        </w:tc>
      </w:tr>
      <w:tr w14:paraId="07B19691">
        <w:tc>
          <w:tcPr>
            <w:tcW w:w="1615" w:type="dxa"/>
            <w:tcBorders>
              <w:top w:val="single" w:color="auto" w:sz="4" w:space="0"/>
              <w:left w:val="nil"/>
              <w:bottom w:val="single" w:color="auto" w:sz="4" w:space="0"/>
              <w:right w:val="nil"/>
            </w:tcBorders>
            <w:shd w:val="clear" w:color="auto" w:fill="FFFFFF"/>
          </w:tcPr>
          <w:p w14:paraId="36BD21B8">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心理延缓</w:t>
            </w:r>
          </w:p>
        </w:tc>
        <w:tc>
          <w:tcPr>
            <w:tcW w:w="2322" w:type="dxa"/>
            <w:tcBorders>
              <w:top w:val="single" w:color="auto" w:sz="4" w:space="0"/>
              <w:left w:val="nil"/>
              <w:bottom w:val="single" w:color="auto" w:sz="4" w:space="0"/>
              <w:right w:val="nil"/>
            </w:tcBorders>
            <w:shd w:val="clear" w:color="auto" w:fill="FFFFFF"/>
          </w:tcPr>
          <w:p w14:paraId="4ABEB069">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高</w:t>
            </w:r>
          </w:p>
        </w:tc>
        <w:tc>
          <w:tcPr>
            <w:tcW w:w="1678" w:type="dxa"/>
            <w:tcBorders>
              <w:top w:val="single" w:color="auto" w:sz="4" w:space="0"/>
              <w:left w:val="nil"/>
              <w:bottom w:val="single" w:color="auto" w:sz="4" w:space="0"/>
              <w:right w:val="nil"/>
            </w:tcBorders>
            <w:shd w:val="clear" w:color="auto" w:fill="FFFFFF"/>
          </w:tcPr>
          <w:p w14:paraId="352B3948">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低</w:t>
            </w:r>
          </w:p>
        </w:tc>
        <w:tc>
          <w:tcPr>
            <w:tcW w:w="3671" w:type="dxa"/>
            <w:tcBorders>
              <w:top w:val="single" w:color="auto" w:sz="4" w:space="0"/>
              <w:left w:val="nil"/>
              <w:bottom w:val="single" w:color="auto" w:sz="4" w:space="0"/>
              <w:right w:val="nil"/>
            </w:tcBorders>
            <w:shd w:val="clear" w:color="auto" w:fill="FFFFFF"/>
          </w:tcPr>
          <w:p w14:paraId="088A091D">
            <w:pPr>
              <w:widowControl w:val="0"/>
              <w:numPr>
                <w:ilvl w:val="0"/>
                <w:numId w:val="0"/>
              </w:numPr>
              <w:jc w:val="center"/>
              <w:rPr>
                <w:rFonts w:hint="default"/>
                <w:b w:val="0"/>
                <w:color w:val="000000"/>
                <w:u w:val="none"/>
                <w:vertAlign w:val="baseline"/>
                <w:lang w:val="en-US" w:eastAsia="zh-CN"/>
              </w:rPr>
            </w:pPr>
            <w:r>
              <w:rPr>
                <w:rFonts w:hint="default"/>
                <w:b w:val="0"/>
                <w:color w:val="000000"/>
                <w:u w:val="none"/>
                <w:vertAlign w:val="baseline"/>
                <w:lang w:val="en-US" w:eastAsia="zh-CN"/>
              </w:rPr>
              <w:t>正在积极尝试不同方向，但尚未做出最终选择</w:t>
            </w:r>
          </w:p>
        </w:tc>
      </w:tr>
      <w:tr w14:paraId="364756B4">
        <w:tc>
          <w:tcPr>
            <w:tcW w:w="1615" w:type="dxa"/>
            <w:tcBorders>
              <w:top w:val="single" w:color="auto" w:sz="4" w:space="0"/>
              <w:left w:val="nil"/>
              <w:bottom w:val="single" w:color="auto" w:sz="4" w:space="0"/>
              <w:right w:val="nil"/>
            </w:tcBorders>
            <w:shd w:val="clear" w:color="auto" w:fill="FFFFFF"/>
          </w:tcPr>
          <w:p w14:paraId="76EDE9FD">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认同早闭</w:t>
            </w:r>
          </w:p>
        </w:tc>
        <w:tc>
          <w:tcPr>
            <w:tcW w:w="2322" w:type="dxa"/>
            <w:tcBorders>
              <w:top w:val="single" w:color="auto" w:sz="4" w:space="0"/>
              <w:left w:val="nil"/>
              <w:bottom w:val="single" w:color="auto" w:sz="4" w:space="0"/>
              <w:right w:val="nil"/>
            </w:tcBorders>
            <w:shd w:val="clear" w:color="auto" w:fill="FFFFFF"/>
          </w:tcPr>
          <w:p w14:paraId="621FF271">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低</w:t>
            </w:r>
          </w:p>
        </w:tc>
        <w:tc>
          <w:tcPr>
            <w:tcW w:w="1678" w:type="dxa"/>
            <w:tcBorders>
              <w:top w:val="single" w:color="auto" w:sz="4" w:space="0"/>
              <w:left w:val="nil"/>
              <w:bottom w:val="single" w:color="auto" w:sz="4" w:space="0"/>
              <w:right w:val="nil"/>
            </w:tcBorders>
            <w:shd w:val="clear" w:color="auto" w:fill="FFFFFF"/>
          </w:tcPr>
          <w:p w14:paraId="4A1E7689">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高</w:t>
            </w:r>
          </w:p>
        </w:tc>
        <w:tc>
          <w:tcPr>
            <w:tcW w:w="3671" w:type="dxa"/>
            <w:tcBorders>
              <w:top w:val="single" w:color="auto" w:sz="4" w:space="0"/>
              <w:left w:val="nil"/>
              <w:bottom w:val="single" w:color="auto" w:sz="4" w:space="0"/>
              <w:right w:val="nil"/>
            </w:tcBorders>
            <w:shd w:val="clear" w:color="auto" w:fill="FFFFFF"/>
          </w:tcPr>
          <w:p w14:paraId="66BA34DD">
            <w:pPr>
              <w:widowControl w:val="0"/>
              <w:numPr>
                <w:ilvl w:val="0"/>
                <w:numId w:val="0"/>
              </w:numPr>
              <w:jc w:val="center"/>
              <w:rPr>
                <w:rFonts w:hint="default"/>
                <w:b w:val="0"/>
                <w:color w:val="000000"/>
                <w:u w:val="none"/>
                <w:vertAlign w:val="baseline"/>
                <w:lang w:val="en-US" w:eastAsia="zh-CN"/>
              </w:rPr>
            </w:pPr>
            <w:r>
              <w:rPr>
                <w:rFonts w:hint="default"/>
                <w:b w:val="0"/>
                <w:color w:val="000000"/>
                <w:u w:val="none"/>
                <w:vertAlign w:val="baseline"/>
                <w:lang w:val="en-US" w:eastAsia="zh-CN"/>
              </w:rPr>
              <w:t>未经过探索就接受了父母或社会的期望（如“子承父业”</w:t>
            </w:r>
            <w:r>
              <w:rPr>
                <w:rFonts w:hint="eastAsia"/>
                <w:b w:val="0"/>
                <w:color w:val="000000"/>
                <w:u w:val="none"/>
                <w:vertAlign w:val="baseline"/>
                <w:lang w:val="en-US" w:eastAsia="zh-CN"/>
              </w:rPr>
              <w:t>）</w:t>
            </w:r>
          </w:p>
        </w:tc>
      </w:tr>
      <w:tr w14:paraId="4AECFDB0">
        <w:tc>
          <w:tcPr>
            <w:tcW w:w="1615" w:type="dxa"/>
            <w:tcBorders>
              <w:top w:val="single" w:color="auto" w:sz="4" w:space="0"/>
              <w:left w:val="nil"/>
              <w:bottom w:val="single" w:color="000000" w:sz="12" w:space="0"/>
              <w:right w:val="nil"/>
            </w:tcBorders>
            <w:shd w:val="clear" w:color="auto" w:fill="FFFFFF"/>
          </w:tcPr>
          <w:p w14:paraId="3CC315F1">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认同扩散</w:t>
            </w:r>
          </w:p>
        </w:tc>
        <w:tc>
          <w:tcPr>
            <w:tcW w:w="2322" w:type="dxa"/>
            <w:tcBorders>
              <w:top w:val="single" w:color="auto" w:sz="4" w:space="0"/>
              <w:left w:val="nil"/>
              <w:bottom w:val="single" w:color="000000" w:sz="12" w:space="0"/>
              <w:right w:val="nil"/>
            </w:tcBorders>
            <w:shd w:val="clear" w:color="auto" w:fill="FFFFFF"/>
          </w:tcPr>
          <w:p w14:paraId="538C31AF">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低</w:t>
            </w:r>
          </w:p>
        </w:tc>
        <w:tc>
          <w:tcPr>
            <w:tcW w:w="1678" w:type="dxa"/>
            <w:tcBorders>
              <w:top w:val="single" w:color="auto" w:sz="4" w:space="0"/>
              <w:left w:val="nil"/>
              <w:bottom w:val="single" w:color="000000" w:sz="12" w:space="0"/>
              <w:right w:val="nil"/>
            </w:tcBorders>
            <w:shd w:val="clear" w:color="auto" w:fill="FFFFFF"/>
          </w:tcPr>
          <w:p w14:paraId="36E7A056">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低</w:t>
            </w:r>
          </w:p>
        </w:tc>
        <w:tc>
          <w:tcPr>
            <w:tcW w:w="3671" w:type="dxa"/>
            <w:tcBorders>
              <w:top w:val="single" w:color="auto" w:sz="4" w:space="0"/>
              <w:left w:val="nil"/>
              <w:bottom w:val="single" w:color="000000" w:sz="12" w:space="0"/>
              <w:right w:val="nil"/>
            </w:tcBorders>
            <w:shd w:val="clear" w:color="auto" w:fill="FFFFFF"/>
          </w:tcPr>
          <w:p w14:paraId="2AC45568">
            <w:pPr>
              <w:widowControl w:val="0"/>
              <w:numPr>
                <w:ilvl w:val="0"/>
                <w:numId w:val="0"/>
              </w:numPr>
              <w:jc w:val="center"/>
              <w:rPr>
                <w:rFonts w:hint="default"/>
                <w:b w:val="0"/>
                <w:color w:val="000000"/>
                <w:u w:val="none"/>
                <w:vertAlign w:val="baseline"/>
                <w:lang w:val="en-US" w:eastAsia="zh-CN"/>
              </w:rPr>
            </w:pPr>
            <w:r>
              <w:rPr>
                <w:rFonts w:hint="default"/>
                <w:b w:val="0"/>
                <w:color w:val="000000"/>
                <w:u w:val="none"/>
                <w:vertAlign w:val="baseline"/>
                <w:lang w:val="en-US" w:eastAsia="zh-CN"/>
              </w:rPr>
              <w:t>既不探索也不承诺，表现为迷茫、无所谓或逃避</w:t>
            </w:r>
          </w:p>
        </w:tc>
      </w:tr>
      <w:bookmarkEnd w:id="1"/>
    </w:tbl>
    <w:p w14:paraId="66466D2C">
      <w:pPr>
        <w:widowControl w:val="0"/>
        <w:numPr>
          <w:ilvl w:val="0"/>
          <w:numId w:val="0"/>
        </w:numPr>
        <w:jc w:val="both"/>
        <w:rPr>
          <w:rFonts w:hint="default"/>
          <w:u w:val="none"/>
          <w:lang w:val="en-US" w:eastAsia="zh-CN"/>
        </w:rPr>
      </w:pPr>
    </w:p>
    <w:p w14:paraId="478524DB">
      <w:pPr>
        <w:widowControl w:val="0"/>
        <w:numPr>
          <w:ilvl w:val="0"/>
          <w:numId w:val="0"/>
        </w:numPr>
        <w:jc w:val="both"/>
        <w:rPr>
          <w:rFonts w:hint="default"/>
          <w:u w:val="none"/>
          <w:lang w:val="en-US" w:eastAsia="zh-CN"/>
        </w:rPr>
      </w:pPr>
      <w:r>
        <w:rPr>
          <w:rFonts w:hint="default"/>
          <w:u w:val="none"/>
          <w:lang w:val="en-US" w:eastAsia="zh-CN"/>
        </w:rPr>
        <w:t>这一模型对于理解"奥德赛时期"大学生的认同状态极具解释力。处于心理延缓状态的个体，正在积极进行自我探索，但尚未做出稳定的承诺——这恰恰是"奥德赛时期"最典型的状态：在尝试不同的可能性，但迟迟无法"确定"。而认同扩散则是更危险的状态：既没有探索的意愿，也没有承诺的方向，表现为随波逐流和无所谓。两者的关键区别在于是否具有主动探索的内在动力。</w:t>
      </w:r>
    </w:p>
    <w:p w14:paraId="171D1D66">
      <w:pPr>
        <w:widowControl w:val="0"/>
        <w:numPr>
          <w:ilvl w:val="0"/>
          <w:numId w:val="0"/>
        </w:numPr>
        <w:jc w:val="both"/>
        <w:rPr>
          <w:rFonts w:hint="default"/>
          <w:u w:val="none"/>
          <w:lang w:val="en-US" w:eastAsia="zh-CN"/>
        </w:rPr>
      </w:pPr>
    </w:p>
    <w:p w14:paraId="6B0AA4C4">
      <w:pPr>
        <w:widowControl w:val="0"/>
        <w:numPr>
          <w:ilvl w:val="0"/>
          <w:numId w:val="2"/>
        </w:numPr>
        <w:jc w:val="both"/>
        <w:rPr>
          <w:rFonts w:hint="default"/>
          <w:b/>
          <w:bCs/>
          <w:sz w:val="24"/>
          <w:szCs w:val="24"/>
          <w:u w:val="none"/>
          <w:lang w:val="en-US" w:eastAsia="zh-CN"/>
        </w:rPr>
      </w:pPr>
      <w:r>
        <w:rPr>
          <w:rFonts w:hint="default"/>
          <w:b/>
          <w:bCs/>
          <w:sz w:val="24"/>
          <w:szCs w:val="24"/>
          <w:u w:val="none"/>
          <w:lang w:val="en-US" w:eastAsia="zh-CN"/>
        </w:rPr>
        <w:t>Arnett的成年显现期理论</w:t>
      </w:r>
    </w:p>
    <w:p w14:paraId="1471367B">
      <w:pPr>
        <w:widowControl w:val="0"/>
        <w:numPr>
          <w:ilvl w:val="0"/>
          <w:numId w:val="0"/>
        </w:numPr>
        <w:jc w:val="both"/>
        <w:rPr>
          <w:rFonts w:hint="default"/>
          <w:u w:val="none"/>
          <w:lang w:val="en-US" w:eastAsia="zh-CN"/>
        </w:rPr>
      </w:pPr>
      <w:r>
        <w:rPr>
          <w:rFonts w:hint="default"/>
          <w:u w:val="none"/>
          <w:lang w:val="en-US" w:eastAsia="zh-CN"/>
        </w:rPr>
        <w:fldChar w:fldCharType="begin"/>
      </w:r>
      <w:r>
        <w:rPr>
          <w:rFonts w:hint="default"/>
          <w:u w:val="none"/>
          <w:lang w:val="en-US" w:eastAsia="zh-CN"/>
        </w:rPr>
        <w:instrText xml:space="preserve"> HYPERLINK \l "Arnett" </w:instrText>
      </w:r>
      <w:r>
        <w:rPr>
          <w:rFonts w:hint="default"/>
          <w:u w:val="none"/>
          <w:lang w:val="en-US" w:eastAsia="zh-CN"/>
        </w:rPr>
        <w:fldChar w:fldCharType="separate"/>
      </w:r>
      <w:r>
        <w:rPr>
          <w:rStyle w:val="15"/>
          <w:rFonts w:hint="default"/>
          <w:u w:val="none"/>
          <w:lang w:val="en-US" w:eastAsia="zh-CN"/>
        </w:rPr>
        <w:t>Arnett（2000）</w:t>
      </w:r>
      <w:r>
        <w:rPr>
          <w:rFonts w:hint="default"/>
          <w:u w:val="none"/>
          <w:lang w:val="en-US" w:eastAsia="zh-CN"/>
        </w:rPr>
        <w:fldChar w:fldCharType="end"/>
      </w:r>
      <w:r>
        <w:rPr>
          <w:rFonts w:hint="default"/>
          <w:u w:val="none"/>
          <w:lang w:val="en-US" w:eastAsia="zh-CN"/>
        </w:rPr>
        <w:t>提出"成年显现期"（emerging adulthood）的概念，认为在18-25岁之间存在一个既非青春期也非成年期的独特发展阶段。这一阶段的特征是：认同探索的多样性、不稳定性、自我关注、介于青春期与成年期之间的模糊感，以及大量的可能性。</w:t>
      </w:r>
    </w:p>
    <w:p w14:paraId="0DE202F9">
      <w:pPr>
        <w:widowControl w:val="0"/>
        <w:numPr>
          <w:ilvl w:val="0"/>
          <w:numId w:val="0"/>
        </w:numPr>
        <w:jc w:val="both"/>
        <w:rPr>
          <w:rFonts w:hint="default"/>
          <w:u w:val="none"/>
          <w:lang w:val="en-US" w:eastAsia="zh-CN"/>
        </w:rPr>
      </w:pPr>
    </w:p>
    <w:p w14:paraId="6F67D9CB">
      <w:pPr>
        <w:widowControl w:val="0"/>
        <w:numPr>
          <w:ilvl w:val="0"/>
          <w:numId w:val="0"/>
        </w:numPr>
        <w:jc w:val="both"/>
        <w:rPr>
          <w:rFonts w:hint="default"/>
          <w:u w:val="none"/>
          <w:lang w:val="en-US" w:eastAsia="zh-CN"/>
        </w:rPr>
      </w:pPr>
      <w:r>
        <w:rPr>
          <w:rFonts w:hint="default"/>
          <w:u w:val="none"/>
          <w:lang w:val="en-US" w:eastAsia="zh-CN"/>
        </w:rPr>
        <w:fldChar w:fldCharType="begin"/>
      </w:r>
      <w:r>
        <w:rPr>
          <w:rFonts w:hint="default"/>
          <w:u w:val="none"/>
          <w:lang w:val="en-US" w:eastAsia="zh-CN"/>
        </w:rPr>
        <w:instrText xml:space="preserve"> HYPERLINK \l "Arnett" </w:instrText>
      </w:r>
      <w:r>
        <w:rPr>
          <w:rFonts w:hint="default"/>
          <w:u w:val="none"/>
          <w:lang w:val="en-US" w:eastAsia="zh-CN"/>
        </w:rPr>
        <w:fldChar w:fldCharType="separate"/>
      </w:r>
      <w:r>
        <w:rPr>
          <w:rStyle w:val="15"/>
          <w:rFonts w:hint="default"/>
          <w:u w:val="none"/>
          <w:lang w:val="en-US" w:eastAsia="zh-CN"/>
        </w:rPr>
        <w:t>Arnett（2000）</w:t>
      </w:r>
      <w:r>
        <w:rPr>
          <w:rFonts w:hint="default"/>
          <w:u w:val="none"/>
          <w:lang w:val="en-US" w:eastAsia="zh-CN"/>
        </w:rPr>
        <w:fldChar w:fldCharType="end"/>
      </w:r>
      <w:r>
        <w:rPr>
          <w:rFonts w:hint="default"/>
          <w:u w:val="none"/>
          <w:lang w:val="en-US" w:eastAsia="zh-CN"/>
        </w:rPr>
        <w:t>特别强调，成年显现期的出现是社会经济结构变迁的产物：教育年限延长、婚育年龄推迟、职业流动性增加，这些结构性因素共同创造了一段"自由"但也不无焦虑的过渡时期。这为理解"奥德赛时期"提供了宏观背景——它不仅仅是个体心理现象，更是时代结构性变迁在个体发展中的投射</w:t>
      </w:r>
      <w:r>
        <w:rPr>
          <w:rFonts w:hint="default"/>
          <w:u w:val="none"/>
          <w:lang w:val="en-US" w:eastAsia="zh-CN"/>
        </w:rPr>
        <w:fldChar w:fldCharType="begin"/>
      </w:r>
      <w:r>
        <w:rPr>
          <w:rFonts w:hint="default"/>
          <w:u w:val="none"/>
          <w:lang w:val="en-US" w:eastAsia="zh-CN"/>
        </w:rPr>
        <w:instrText xml:space="preserve"> HYPERLINK \l "雷雳" </w:instrText>
      </w:r>
      <w:r>
        <w:rPr>
          <w:rFonts w:hint="default"/>
          <w:u w:val="none"/>
          <w:lang w:val="en-US" w:eastAsia="zh-CN"/>
        </w:rPr>
        <w:fldChar w:fldCharType="separate"/>
      </w:r>
      <w:r>
        <w:rPr>
          <w:rStyle w:val="15"/>
          <w:rFonts w:hint="default"/>
          <w:u w:val="none"/>
          <w:lang w:val="en-US" w:eastAsia="zh-CN"/>
        </w:rPr>
        <w:t>（雷雳, 2013）</w:t>
      </w:r>
      <w:r>
        <w:rPr>
          <w:rFonts w:hint="default"/>
          <w:u w:val="none"/>
          <w:lang w:val="en-US" w:eastAsia="zh-CN"/>
        </w:rPr>
        <w:fldChar w:fldCharType="end"/>
      </w:r>
      <w:r>
        <w:rPr>
          <w:rFonts w:hint="default"/>
          <w:u w:val="none"/>
          <w:lang w:val="en-US" w:eastAsia="zh-CN"/>
        </w:rPr>
        <w:t>。</w:t>
      </w:r>
    </w:p>
    <w:p w14:paraId="1E3F75FF">
      <w:pPr>
        <w:widowControl w:val="0"/>
        <w:numPr>
          <w:ilvl w:val="0"/>
          <w:numId w:val="0"/>
        </w:numPr>
        <w:jc w:val="both"/>
        <w:rPr>
          <w:rFonts w:hint="default"/>
          <w:u w:val="none"/>
          <w:lang w:val="en-US" w:eastAsia="zh-CN"/>
        </w:rPr>
      </w:pPr>
    </w:p>
    <w:p w14:paraId="7FBE6A44">
      <w:pPr>
        <w:widowControl w:val="0"/>
        <w:numPr>
          <w:ilvl w:val="0"/>
          <w:numId w:val="0"/>
        </w:numPr>
        <w:jc w:val="both"/>
        <w:rPr>
          <w:rFonts w:hint="default"/>
          <w:b/>
          <w:bCs/>
          <w:sz w:val="28"/>
          <w:szCs w:val="28"/>
          <w:u w:val="none"/>
          <w:lang w:val="en-US" w:eastAsia="zh-CN"/>
        </w:rPr>
      </w:pPr>
      <w:r>
        <w:rPr>
          <w:rFonts w:hint="default"/>
          <w:b/>
          <w:bCs/>
          <w:sz w:val="28"/>
          <w:szCs w:val="28"/>
          <w:u w:val="none"/>
          <w:lang w:val="en-US" w:eastAsia="zh-CN"/>
        </w:rPr>
        <w:t>三、"奥德赛时期"大学生自我认同的发展挑战</w:t>
      </w:r>
    </w:p>
    <w:p w14:paraId="34D996B1">
      <w:pPr>
        <w:widowControl w:val="0"/>
        <w:numPr>
          <w:ilvl w:val="0"/>
          <w:numId w:val="0"/>
        </w:numPr>
        <w:jc w:val="both"/>
        <w:rPr>
          <w:rFonts w:hint="default"/>
          <w:b/>
          <w:bCs/>
          <w:sz w:val="24"/>
          <w:szCs w:val="24"/>
          <w:u w:val="none"/>
          <w:lang w:val="en-US" w:eastAsia="zh-CN"/>
        </w:rPr>
      </w:pPr>
      <w:r>
        <w:rPr>
          <w:rFonts w:hint="default"/>
          <w:b/>
          <w:bCs/>
          <w:sz w:val="24"/>
          <w:szCs w:val="24"/>
          <w:u w:val="none"/>
          <w:lang w:val="en-US" w:eastAsia="zh-CN"/>
        </w:rPr>
        <w:t>（一）认同探索的多重选择与选择困难</w:t>
      </w:r>
    </w:p>
    <w:p w14:paraId="1709634E">
      <w:pPr>
        <w:widowControl w:val="0"/>
        <w:numPr>
          <w:ilvl w:val="0"/>
          <w:numId w:val="0"/>
        </w:numPr>
        <w:jc w:val="both"/>
        <w:rPr>
          <w:rFonts w:hint="default"/>
          <w:u w:val="none"/>
          <w:lang w:val="en-US" w:eastAsia="zh-CN"/>
        </w:rPr>
      </w:pPr>
      <w:r>
        <w:rPr>
          <w:rFonts w:hint="default"/>
          <w:u w:val="none"/>
          <w:lang w:val="en-US" w:eastAsia="zh-CN"/>
        </w:rPr>
        <w:t>当代大学生面临的不是选择太少，而是选择太多。一个典型案例是室友小林，她毕业后同时收到了一家互联网公司的offer和本校研究生的录取通知，同时还在准备公务员考试。她曾说：“每条路都不错，但每条路都像是放弃其他所有可能性。”这种状态正是</w:t>
      </w:r>
      <w:r>
        <w:rPr>
          <w:rFonts w:hint="default"/>
          <w:u w:val="none"/>
          <w:lang w:val="en-US" w:eastAsia="zh-CN"/>
        </w:rPr>
        <w:fldChar w:fldCharType="begin"/>
      </w:r>
      <w:r>
        <w:rPr>
          <w:rFonts w:hint="default"/>
          <w:u w:val="none"/>
          <w:lang w:val="en-US" w:eastAsia="zh-CN"/>
        </w:rPr>
        <w:instrText xml:space="preserve"> HYPERLINK \l "Schwartz" </w:instrText>
      </w:r>
      <w:r>
        <w:rPr>
          <w:rFonts w:hint="default"/>
          <w:u w:val="none"/>
          <w:lang w:val="en-US" w:eastAsia="zh-CN"/>
        </w:rPr>
        <w:fldChar w:fldCharType="separate"/>
      </w:r>
      <w:r>
        <w:rPr>
          <w:rStyle w:val="15"/>
          <w:rFonts w:hint="default"/>
          <w:u w:val="none"/>
          <w:lang w:val="en-US" w:eastAsia="zh-CN"/>
        </w:rPr>
        <w:t>Schwartz（2004）</w:t>
      </w:r>
      <w:r>
        <w:rPr>
          <w:rFonts w:hint="default"/>
          <w:u w:val="none"/>
          <w:lang w:val="en-US" w:eastAsia="zh-CN"/>
        </w:rPr>
        <w:fldChar w:fldCharType="end"/>
      </w:r>
      <w:r>
        <w:rPr>
          <w:rFonts w:hint="default"/>
          <w:u w:val="none"/>
          <w:lang w:val="en-US" w:eastAsia="zh-CN"/>
        </w:rPr>
        <w:t>所描述的“选择悖论”——选项越多，决策反而越困难，满足感反而越低。</w:t>
      </w:r>
    </w:p>
    <w:p w14:paraId="096676C3">
      <w:pPr>
        <w:widowControl w:val="0"/>
        <w:numPr>
          <w:ilvl w:val="0"/>
          <w:numId w:val="0"/>
        </w:numPr>
        <w:jc w:val="both"/>
        <w:rPr>
          <w:rFonts w:hint="default"/>
          <w:u w:val="none"/>
          <w:lang w:val="en-US" w:eastAsia="zh-CN"/>
        </w:rPr>
      </w:pPr>
    </w:p>
    <w:p w14:paraId="5732C77E">
      <w:pPr>
        <w:widowControl w:val="0"/>
        <w:numPr>
          <w:ilvl w:val="0"/>
          <w:numId w:val="0"/>
        </w:numPr>
        <w:jc w:val="both"/>
        <w:rPr>
          <w:rFonts w:hint="default"/>
          <w:u w:val="none"/>
          <w:lang w:val="en-US" w:eastAsia="zh-CN"/>
        </w:rPr>
      </w:pPr>
      <w:r>
        <w:rPr>
          <w:rFonts w:hint="default"/>
          <w:u w:val="none"/>
          <w:lang w:val="en-US" w:eastAsia="zh-CN"/>
        </w:rPr>
        <w:t>从Marcia的模型看，过多的选择可能让个体停留在心理延缓状态中难以向前。每一次尝试都像是在验证“是否还有更好的选择”，而承诺则意味着放弃其他可能，这种“损失厌恶”阻碍了认同的获得。</w:t>
      </w:r>
    </w:p>
    <w:p w14:paraId="0C6AA05A">
      <w:pPr>
        <w:widowControl w:val="0"/>
        <w:numPr>
          <w:ilvl w:val="0"/>
          <w:numId w:val="0"/>
        </w:numPr>
        <w:jc w:val="both"/>
        <w:rPr>
          <w:rFonts w:hint="default"/>
          <w:u w:val="none"/>
          <w:lang w:val="en-US" w:eastAsia="zh-CN"/>
        </w:rPr>
      </w:pPr>
    </w:p>
    <w:p w14:paraId="299B29FB">
      <w:pPr>
        <w:widowControl w:val="0"/>
        <w:numPr>
          <w:ilvl w:val="0"/>
          <w:numId w:val="0"/>
        </w:numPr>
        <w:jc w:val="both"/>
        <w:rPr>
          <w:rFonts w:hint="default"/>
          <w:b/>
          <w:bCs/>
          <w:sz w:val="24"/>
          <w:szCs w:val="24"/>
          <w:u w:val="none"/>
          <w:lang w:val="en-US" w:eastAsia="zh-CN"/>
        </w:rPr>
      </w:pPr>
      <w:r>
        <w:rPr>
          <w:rFonts w:hint="default"/>
          <w:b/>
          <w:bCs/>
          <w:sz w:val="24"/>
          <w:szCs w:val="24"/>
          <w:u w:val="none"/>
          <w:lang w:val="en-US" w:eastAsia="zh-CN"/>
        </w:rPr>
        <w:t>（二）社会比较与认同焦虑</w:t>
      </w:r>
    </w:p>
    <w:p w14:paraId="616EF419">
      <w:pPr>
        <w:widowControl w:val="0"/>
        <w:numPr>
          <w:ilvl w:val="0"/>
          <w:numId w:val="0"/>
        </w:numPr>
        <w:jc w:val="both"/>
        <w:rPr>
          <w:rFonts w:hint="default"/>
          <w:u w:val="none"/>
          <w:lang w:val="en-US" w:eastAsia="zh-CN"/>
        </w:rPr>
      </w:pPr>
      <w:r>
        <w:rPr>
          <w:rFonts w:hint="default"/>
          <w:u w:val="none"/>
          <w:lang w:val="en-US" w:eastAsia="zh-CN"/>
        </w:rPr>
        <w:t>社交媒体放大了社会比较的效应。刷朋友圈时，有人晒offer、有人晒研究生录取、有人晒旅行照片，好像每个人都很确定地走在自己的路上。而我认识的很多人，包括我自己，都曾经在深夜翻看这些动态后陷入焦虑："是不是只有我不知道自己要做什么？"</w:t>
      </w:r>
    </w:p>
    <w:p w14:paraId="30CC1691">
      <w:pPr>
        <w:widowControl w:val="0"/>
        <w:numPr>
          <w:ilvl w:val="0"/>
          <w:numId w:val="0"/>
        </w:numPr>
        <w:jc w:val="both"/>
        <w:rPr>
          <w:rFonts w:hint="default"/>
          <w:u w:val="none"/>
          <w:lang w:val="en-US" w:eastAsia="zh-CN"/>
        </w:rPr>
      </w:pPr>
    </w:p>
    <w:p w14:paraId="6FF506D3">
      <w:pPr>
        <w:widowControl w:val="0"/>
        <w:numPr>
          <w:ilvl w:val="0"/>
          <w:numId w:val="0"/>
        </w:numPr>
        <w:jc w:val="both"/>
        <w:rPr>
          <w:rFonts w:hint="default"/>
          <w:u w:val="none"/>
          <w:lang w:val="en-US" w:eastAsia="zh-CN"/>
        </w:rPr>
      </w:pPr>
      <w:r>
        <w:rPr>
          <w:rFonts w:hint="default"/>
          <w:u w:val="none"/>
          <w:lang w:val="en-US" w:eastAsia="zh-CN"/>
        </w:rPr>
        <w:t>这种焦虑的根源在于，个体的认同探索在"奥德赛时期"是高度可见的——你的工作状态、城市、感情状况都在社交平台上被呈现和比较。</w:t>
      </w:r>
      <w:r>
        <w:rPr>
          <w:rFonts w:hint="default"/>
          <w:u w:val="none"/>
          <w:lang w:val="en-US" w:eastAsia="zh-CN"/>
        </w:rPr>
        <w:fldChar w:fldCharType="begin"/>
      </w:r>
      <w:r>
        <w:rPr>
          <w:rFonts w:hint="default"/>
          <w:u w:val="none"/>
          <w:lang w:val="en-US" w:eastAsia="zh-CN"/>
        </w:rPr>
        <w:instrText xml:space="preserve"> HYPERLINK \l "Festinger" </w:instrText>
      </w:r>
      <w:r>
        <w:rPr>
          <w:rFonts w:hint="default"/>
          <w:u w:val="none"/>
          <w:lang w:val="en-US" w:eastAsia="zh-CN"/>
        </w:rPr>
        <w:fldChar w:fldCharType="separate"/>
      </w:r>
      <w:r>
        <w:rPr>
          <w:rStyle w:val="15"/>
          <w:rFonts w:hint="default"/>
          <w:u w:val="none"/>
          <w:lang w:val="en-US" w:eastAsia="zh-CN"/>
        </w:rPr>
        <w:t>Festinger（1954）</w:t>
      </w:r>
      <w:r>
        <w:rPr>
          <w:rFonts w:hint="default"/>
          <w:u w:val="none"/>
          <w:lang w:val="en-US" w:eastAsia="zh-CN"/>
        </w:rPr>
        <w:fldChar w:fldCharType="end"/>
      </w:r>
      <w:r>
        <w:rPr>
          <w:rFonts w:hint="default"/>
          <w:u w:val="none"/>
          <w:lang w:val="en-US" w:eastAsia="zh-CN"/>
        </w:rPr>
        <w:t>的社会比较理论指出，人们倾向于通过与他人比较来评估自身状态，而在缺乏客观标准的"奥德赛时期"，这种比较更容易导致自我怀疑和认同焦虑。</w:t>
      </w:r>
    </w:p>
    <w:p w14:paraId="0ADC6B8E">
      <w:pPr>
        <w:widowControl w:val="0"/>
        <w:numPr>
          <w:ilvl w:val="0"/>
          <w:numId w:val="0"/>
        </w:numPr>
        <w:jc w:val="both"/>
        <w:rPr>
          <w:rFonts w:hint="default"/>
          <w:u w:val="none"/>
          <w:lang w:val="en-US" w:eastAsia="zh-CN"/>
        </w:rPr>
      </w:pPr>
    </w:p>
    <w:p w14:paraId="47199B69">
      <w:pPr>
        <w:widowControl w:val="0"/>
        <w:numPr>
          <w:ilvl w:val="0"/>
          <w:numId w:val="0"/>
        </w:numPr>
        <w:jc w:val="both"/>
        <w:rPr>
          <w:rFonts w:hint="default"/>
          <w:b/>
          <w:bCs/>
          <w:sz w:val="24"/>
          <w:szCs w:val="24"/>
          <w:u w:val="none"/>
          <w:lang w:val="en-US" w:eastAsia="zh-CN"/>
        </w:rPr>
      </w:pPr>
      <w:r>
        <w:rPr>
          <w:rFonts w:hint="default"/>
          <w:b/>
          <w:bCs/>
          <w:sz w:val="24"/>
          <w:szCs w:val="24"/>
          <w:u w:val="none"/>
          <w:lang w:val="en-US" w:eastAsia="zh-CN"/>
        </w:rPr>
        <w:t>（三）身份扩散的隐性风险</w:t>
      </w:r>
    </w:p>
    <w:p w14:paraId="444BB7EB">
      <w:pPr>
        <w:widowControl w:val="0"/>
        <w:numPr>
          <w:ilvl w:val="0"/>
          <w:numId w:val="0"/>
        </w:numPr>
        <w:jc w:val="both"/>
        <w:rPr>
          <w:rFonts w:hint="default"/>
          <w:u w:val="none"/>
          <w:lang w:val="en-US" w:eastAsia="zh-CN"/>
        </w:rPr>
      </w:pPr>
      <w:r>
        <w:rPr>
          <w:rFonts w:hint="default"/>
          <w:u w:val="none"/>
          <w:lang w:val="en-US" w:eastAsia="zh-CN"/>
        </w:rPr>
        <w:t>如果说心理延缓是一种“积极的迷茫”，那么身份扩散则是“奥德赛时期”真正的陷阱。一位高中同学小周毕业后没有找工作，也没有考研，每天在家打游戏、刷短视频。他说“反正也不知道想干什么，先这样吧”。这显然不是真正的“探索”，而是Marcia模型中所定义的认同扩散状态——既无探索意愿，也无承诺方向，是一种对认同任务的逃避。</w:t>
      </w:r>
    </w:p>
    <w:p w14:paraId="56DE5BC8">
      <w:pPr>
        <w:widowControl w:val="0"/>
        <w:numPr>
          <w:ilvl w:val="0"/>
          <w:numId w:val="0"/>
        </w:numPr>
        <w:jc w:val="both"/>
        <w:rPr>
          <w:rFonts w:hint="default"/>
          <w:u w:val="none"/>
          <w:lang w:val="en-US" w:eastAsia="zh-CN"/>
        </w:rPr>
      </w:pPr>
    </w:p>
    <w:p w14:paraId="25A1312D">
      <w:pPr>
        <w:widowControl w:val="0"/>
        <w:numPr>
          <w:ilvl w:val="0"/>
          <w:numId w:val="0"/>
        </w:numPr>
        <w:jc w:val="both"/>
        <w:rPr>
          <w:rFonts w:hint="default"/>
          <w:u w:val="none"/>
          <w:lang w:val="en-US" w:eastAsia="zh-CN"/>
        </w:rPr>
      </w:pPr>
      <w:r>
        <w:rPr>
          <w:rFonts w:hint="default"/>
          <w:u w:val="none"/>
          <w:lang w:val="en-US" w:eastAsia="zh-CN"/>
        </w:rPr>
        <w:t>国内的研究也印证了这一点：</w:t>
      </w:r>
      <w:r>
        <w:rPr>
          <w:rFonts w:hint="default"/>
          <w:u w:val="none"/>
          <w:lang w:val="en-US" w:eastAsia="zh-CN"/>
        </w:rPr>
        <w:fldChar w:fldCharType="begin"/>
      </w:r>
      <w:r>
        <w:rPr>
          <w:rFonts w:hint="default"/>
          <w:u w:val="none"/>
          <w:lang w:val="en-US" w:eastAsia="zh-CN"/>
        </w:rPr>
        <w:instrText xml:space="preserve"> HYPERLINK \l "王树青" </w:instrText>
      </w:r>
      <w:r>
        <w:rPr>
          <w:rFonts w:hint="default"/>
          <w:u w:val="none"/>
          <w:lang w:val="en-US" w:eastAsia="zh-CN"/>
        </w:rPr>
        <w:fldChar w:fldCharType="separate"/>
      </w:r>
      <w:r>
        <w:rPr>
          <w:rStyle w:val="15"/>
          <w:rFonts w:hint="default"/>
          <w:u w:val="none"/>
          <w:lang w:val="en-US" w:eastAsia="zh-CN"/>
        </w:rPr>
        <w:t>王树青等（2007）</w:t>
      </w:r>
      <w:r>
        <w:rPr>
          <w:rFonts w:hint="default"/>
          <w:u w:val="none"/>
          <w:lang w:val="en-US" w:eastAsia="zh-CN"/>
        </w:rPr>
        <w:fldChar w:fldCharType="end"/>
      </w:r>
      <w:r>
        <w:rPr>
          <w:rFonts w:hint="default"/>
          <w:u w:val="none"/>
          <w:lang w:val="en-US" w:eastAsia="zh-CN"/>
        </w:rPr>
        <w:t>对594名大学生的调查发现，6</w:t>
      </w:r>
      <w:r>
        <w:rPr>
          <w:rFonts w:hint="eastAsia"/>
          <w:u w:val="none"/>
          <w:lang w:val="en-US" w:eastAsia="zh-CN"/>
        </w:rPr>
        <w:t>8</w:t>
      </w:r>
      <w:r>
        <w:rPr>
          <w:rFonts w:hint="default"/>
          <w:u w:val="none"/>
          <w:lang w:val="en-US" w:eastAsia="zh-CN"/>
        </w:rPr>
        <w:t>%的大学生处于同一性延缓状态，而真正处于扩散状态的约占10%左右</w:t>
      </w:r>
      <w:r>
        <w:rPr>
          <w:rFonts w:hint="eastAsia"/>
          <w:u w:val="none"/>
          <w:lang w:val="en-US" w:eastAsia="zh-CN"/>
        </w:rPr>
        <w:t>（如</w:t>
      </w:r>
      <w:r>
        <w:rPr>
          <w:rFonts w:hint="eastAsia"/>
          <w:u w:val="none"/>
          <w:lang w:val="en-US" w:eastAsia="zh-CN"/>
        </w:rPr>
        <w:fldChar w:fldCharType="begin"/>
      </w:r>
      <w:r>
        <w:rPr>
          <w:rFonts w:hint="eastAsia"/>
          <w:u w:val="none"/>
          <w:lang w:val="en-US" w:eastAsia="zh-CN"/>
        </w:rPr>
        <w:instrText xml:space="preserve"> HYPERLINK \l "图2" </w:instrText>
      </w:r>
      <w:r>
        <w:rPr>
          <w:rFonts w:hint="eastAsia"/>
          <w:u w:val="none"/>
          <w:lang w:val="en-US" w:eastAsia="zh-CN"/>
        </w:rPr>
        <w:fldChar w:fldCharType="separate"/>
      </w:r>
      <w:r>
        <w:rPr>
          <w:rStyle w:val="15"/>
          <w:rFonts w:hint="eastAsia"/>
          <w:u w:val="none"/>
          <w:lang w:val="en-US" w:eastAsia="zh-CN"/>
        </w:rPr>
        <w:t>图2</w:t>
      </w:r>
      <w:r>
        <w:rPr>
          <w:rFonts w:hint="eastAsia"/>
          <w:u w:val="none"/>
          <w:lang w:val="en-US" w:eastAsia="zh-CN"/>
        </w:rPr>
        <w:fldChar w:fldCharType="end"/>
      </w:r>
      <w:r>
        <w:rPr>
          <w:rFonts w:hint="eastAsia"/>
          <w:u w:val="none"/>
          <w:lang w:val="en-US" w:eastAsia="zh-CN"/>
        </w:rPr>
        <w:t>所示）</w:t>
      </w:r>
      <w:r>
        <w:rPr>
          <w:rFonts w:hint="default"/>
          <w:u w:val="none"/>
          <w:lang w:val="en-US" w:eastAsia="zh-CN"/>
        </w:rPr>
        <w:t>，说明大多数大学生并非放弃探索，而是处于积极但尚未定型的延缓期。然而，在“奥德赛时期”的话语框架下，身份扩散可能被“允许迷茫”的社会氛围所掩盖，甚至被合理化为“佛系”或“躺平”，这使得个体更难意识到自己已经陷入了认同发展的停滞。</w:t>
      </w:r>
    </w:p>
    <w:p w14:paraId="08F87CA0">
      <w:pPr>
        <w:widowControl w:val="0"/>
        <w:numPr>
          <w:ilvl w:val="0"/>
          <w:numId w:val="0"/>
        </w:numPr>
        <w:jc w:val="both"/>
        <w:rPr>
          <w:rFonts w:hint="default"/>
          <w:u w:val="none"/>
          <w:lang w:val="en-US" w:eastAsia="zh-CN"/>
        </w:rPr>
      </w:pPr>
    </w:p>
    <w:p w14:paraId="68B54639">
      <w:pPr>
        <w:widowControl w:val="0"/>
        <w:numPr>
          <w:ilvl w:val="0"/>
          <w:numId w:val="0"/>
        </w:numPr>
        <w:jc w:val="both"/>
        <w:rPr>
          <w:rFonts w:hint="default"/>
          <w:b/>
          <w:bCs/>
          <w:sz w:val="24"/>
          <w:szCs w:val="24"/>
          <w:u w:val="none"/>
          <w:lang w:val="en-US" w:eastAsia="zh-CN"/>
        </w:rPr>
      </w:pPr>
      <w:r>
        <w:rPr>
          <w:rFonts w:hint="default"/>
          <w:b/>
          <w:bCs/>
          <w:sz w:val="24"/>
          <w:szCs w:val="24"/>
          <w:u w:val="none"/>
          <w:lang w:val="en-US" w:eastAsia="zh-CN"/>
        </w:rPr>
        <w:t>（四）宏观结构对微观认同的制约</w:t>
      </w:r>
    </w:p>
    <w:p w14:paraId="70A75EB6">
      <w:pPr>
        <w:widowControl w:val="0"/>
        <w:numPr>
          <w:ilvl w:val="0"/>
          <w:numId w:val="0"/>
        </w:numPr>
        <w:jc w:val="both"/>
        <w:rPr>
          <w:rFonts w:hint="default"/>
          <w:u w:val="none"/>
          <w:lang w:val="en-US" w:eastAsia="zh-CN"/>
        </w:rPr>
      </w:pPr>
      <w:r>
        <w:rPr>
          <w:rFonts w:hint="default"/>
          <w:u w:val="none"/>
          <w:lang w:val="en-US" w:eastAsia="zh-CN"/>
        </w:rPr>
        <w:t>不能将"奥德赛时期"的困境完全归结为个体心理问题。当前就业市场的竞争压力、房价收入比的失衡、社会对"成功"的单一叙事，都在制约着大学生的认同选择。我的一个学长在一家不错的企业工作了一年，但最终选择回老家考编。他说不是不想在外面闯，而是"算了一下房价和工资，觉得看不到未来"。这种"结构性早闭"——被迫在没有充分探索的情况下做出承诺——同样不利于健康的认同发展。"奥德赛时期"大学生的认同发展可归结为三条典型路径</w:t>
      </w:r>
      <w:r>
        <w:rPr>
          <w:rFonts w:hint="eastAsia"/>
          <w:u w:val="none"/>
          <w:lang w:val="en-US" w:eastAsia="zh-CN"/>
        </w:rPr>
        <w:t>（如</w:t>
      </w:r>
      <w:r>
        <w:rPr>
          <w:rFonts w:hint="eastAsia"/>
          <w:u w:val="none"/>
          <w:lang w:val="en-US" w:eastAsia="zh-CN"/>
        </w:rPr>
        <w:fldChar w:fldCharType="begin"/>
      </w:r>
      <w:r>
        <w:rPr>
          <w:rFonts w:hint="eastAsia"/>
          <w:u w:val="none"/>
          <w:lang w:val="en-US" w:eastAsia="zh-CN"/>
        </w:rPr>
        <w:instrText xml:space="preserve"> HYPERLINK \l "图3" </w:instrText>
      </w:r>
      <w:r>
        <w:rPr>
          <w:rFonts w:hint="eastAsia"/>
          <w:u w:val="none"/>
          <w:lang w:val="en-US" w:eastAsia="zh-CN"/>
        </w:rPr>
        <w:fldChar w:fldCharType="separate"/>
      </w:r>
      <w:r>
        <w:rPr>
          <w:rStyle w:val="15"/>
          <w:rFonts w:hint="eastAsia"/>
          <w:u w:val="none"/>
          <w:lang w:val="en-US" w:eastAsia="zh-CN"/>
        </w:rPr>
        <w:t>图3</w:t>
      </w:r>
      <w:r>
        <w:rPr>
          <w:rFonts w:hint="eastAsia"/>
          <w:u w:val="none"/>
          <w:lang w:val="en-US" w:eastAsia="zh-CN"/>
        </w:rPr>
        <w:fldChar w:fldCharType="end"/>
      </w:r>
      <w:r>
        <w:rPr>
          <w:rFonts w:hint="eastAsia"/>
          <w:u w:val="none"/>
          <w:lang w:val="en-US" w:eastAsia="zh-CN"/>
        </w:rPr>
        <w:t>）。</w:t>
      </w:r>
    </w:p>
    <w:p w14:paraId="7A85DB6E">
      <w:pPr>
        <w:widowControl w:val="0"/>
        <w:numPr>
          <w:ilvl w:val="0"/>
          <w:numId w:val="0"/>
        </w:numPr>
        <w:jc w:val="both"/>
        <w:rPr>
          <w:rFonts w:hint="default"/>
          <w:u w:val="none"/>
          <w:lang w:val="en-US" w:eastAsia="zh-CN"/>
        </w:rPr>
      </w:pPr>
    </w:p>
    <w:p w14:paraId="30363EFE">
      <w:pPr>
        <w:widowControl w:val="0"/>
        <w:numPr>
          <w:ilvl w:val="0"/>
          <w:numId w:val="0"/>
        </w:numPr>
        <w:jc w:val="center"/>
        <w:rPr>
          <w:rFonts w:hint="default"/>
          <w:u w:val="none"/>
          <w:lang w:val="en-US" w:eastAsia="zh-CN"/>
        </w:rPr>
      </w:pPr>
      <w:bookmarkStart w:id="2" w:name="图2"/>
      <w:r>
        <w:rPr>
          <w:rFonts w:hint="default"/>
          <w:u w:val="none"/>
          <w:lang w:val="en-US" w:eastAsia="zh-CN"/>
        </w:rPr>
        <w:drawing>
          <wp:inline distT="0" distB="0" distL="114300" distR="114300">
            <wp:extent cx="4319905" cy="2282825"/>
            <wp:effectExtent l="0" t="0" r="23495" b="3175"/>
            <wp:docPr id="4" name="图片 4" descr="identity_status_pie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dentity_status_pie_chart"/>
                    <pic:cNvPicPr>
                      <a:picLocks noChangeAspect="1"/>
                    </pic:cNvPicPr>
                  </pic:nvPicPr>
                  <pic:blipFill>
                    <a:blip r:embed="rId6"/>
                    <a:stretch>
                      <a:fillRect/>
                    </a:stretch>
                  </pic:blipFill>
                  <pic:spPr>
                    <a:xfrm>
                      <a:off x="0" y="0"/>
                      <a:ext cx="4319905" cy="2282825"/>
                    </a:xfrm>
                    <a:prstGeom prst="rect">
                      <a:avLst/>
                    </a:prstGeom>
                  </pic:spPr>
                </pic:pic>
              </a:graphicData>
            </a:graphic>
          </wp:inline>
        </w:drawing>
      </w:r>
    </w:p>
    <w:p w14:paraId="0D6A24BD">
      <w:pPr>
        <w:jc w:val="center"/>
        <w:rPr>
          <w:b w:val="0"/>
          <w:bCs/>
          <w:sz w:val="21"/>
          <w:szCs w:val="21"/>
          <w:u w:val="none"/>
        </w:rPr>
      </w:pPr>
      <w:r>
        <w:rPr>
          <w:b w:val="0"/>
          <w:bCs/>
          <w:sz w:val="21"/>
          <w:szCs w:val="21"/>
          <w:u w:val="none"/>
        </w:rPr>
        <w:t>图</w:t>
      </w:r>
      <w:r>
        <w:rPr>
          <w:rFonts w:hint="eastAsia"/>
          <w:b w:val="0"/>
          <w:bCs/>
          <w:sz w:val="21"/>
          <w:szCs w:val="21"/>
          <w:u w:val="none"/>
          <w:lang w:val="en-US" w:eastAsia="zh-CN"/>
        </w:rPr>
        <w:t>2</w:t>
      </w:r>
      <w:r>
        <w:rPr>
          <w:b w:val="0"/>
          <w:bCs/>
          <w:sz w:val="21"/>
          <w:szCs w:val="21"/>
          <w:u w:val="none"/>
        </w:rPr>
        <w:t xml:space="preserve"> 大学生同一性状态分布（数据来源：王树青等, 2007）</w:t>
      </w:r>
    </w:p>
    <w:p w14:paraId="2060D493">
      <w:pPr>
        <w:jc w:val="center"/>
        <w:rPr>
          <w:b w:val="0"/>
          <w:bCs/>
          <w:sz w:val="20"/>
          <w:u w:val="none"/>
        </w:rPr>
      </w:pPr>
    </w:p>
    <w:p w14:paraId="641D89AB">
      <w:pPr>
        <w:jc w:val="center"/>
        <w:rPr>
          <w:rFonts w:hint="eastAsia" w:eastAsia="宋体"/>
          <w:b w:val="0"/>
          <w:bCs/>
          <w:sz w:val="20"/>
          <w:u w:val="none"/>
          <w:lang w:eastAsia="zh-CN"/>
        </w:rPr>
      </w:pPr>
      <w:bookmarkStart w:id="3" w:name="图3"/>
      <w:r>
        <w:rPr>
          <w:rFonts w:hint="eastAsia" w:eastAsia="宋体"/>
          <w:b w:val="0"/>
          <w:bCs/>
          <w:sz w:val="20"/>
          <w:u w:val="none"/>
          <w:lang w:eastAsia="zh-CN"/>
        </w:rPr>
        <w:drawing>
          <wp:inline distT="0" distB="0" distL="114300" distR="114300">
            <wp:extent cx="4319905" cy="2765425"/>
            <wp:effectExtent l="0" t="0" r="23495" b="3175"/>
            <wp:docPr id="7" name="图片 7" descr="fig4_v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4_v5"/>
                    <pic:cNvPicPr>
                      <a:picLocks noChangeAspect="1"/>
                    </pic:cNvPicPr>
                  </pic:nvPicPr>
                  <pic:blipFill>
                    <a:blip r:embed="rId7"/>
                    <a:stretch>
                      <a:fillRect/>
                    </a:stretch>
                  </pic:blipFill>
                  <pic:spPr>
                    <a:xfrm>
                      <a:off x="0" y="0"/>
                      <a:ext cx="4319905" cy="2765425"/>
                    </a:xfrm>
                    <a:prstGeom prst="rect">
                      <a:avLst/>
                    </a:prstGeom>
                  </pic:spPr>
                </pic:pic>
              </a:graphicData>
            </a:graphic>
          </wp:inline>
        </w:drawing>
      </w:r>
    </w:p>
    <w:p w14:paraId="65524250">
      <w:pPr>
        <w:jc w:val="center"/>
        <w:rPr>
          <w:rFonts w:hint="default" w:eastAsia="宋体"/>
          <w:b w:val="0"/>
          <w:bCs/>
          <w:sz w:val="21"/>
          <w:szCs w:val="21"/>
          <w:u w:val="none"/>
          <w:lang w:val="en-US" w:eastAsia="zh-CN"/>
        </w:rPr>
      </w:pPr>
      <w:r>
        <w:rPr>
          <w:rFonts w:hint="eastAsia"/>
          <w:b w:val="0"/>
          <w:bCs/>
          <w:sz w:val="21"/>
          <w:szCs w:val="21"/>
          <w:u w:val="none"/>
          <w:lang w:val="en-US" w:eastAsia="zh-CN"/>
        </w:rPr>
        <w:t>图3 "奥德赛时期"认同发展路径流程图</w:t>
      </w:r>
    </w:p>
    <w:bookmarkEnd w:id="2"/>
    <w:bookmarkEnd w:id="3"/>
    <w:p w14:paraId="333BB504">
      <w:pPr>
        <w:widowControl w:val="0"/>
        <w:numPr>
          <w:ilvl w:val="0"/>
          <w:numId w:val="0"/>
        </w:numPr>
        <w:jc w:val="both"/>
        <w:rPr>
          <w:rFonts w:hint="default"/>
          <w:u w:val="none"/>
          <w:lang w:val="en-US" w:eastAsia="zh-CN"/>
        </w:rPr>
      </w:pPr>
    </w:p>
    <w:p w14:paraId="24DFAB92">
      <w:pPr>
        <w:widowControl w:val="0"/>
        <w:numPr>
          <w:ilvl w:val="0"/>
          <w:numId w:val="0"/>
        </w:numPr>
        <w:jc w:val="both"/>
        <w:rPr>
          <w:rFonts w:hint="default"/>
          <w:b/>
          <w:bCs/>
          <w:sz w:val="28"/>
          <w:szCs w:val="28"/>
          <w:u w:val="none"/>
          <w:lang w:val="en-US" w:eastAsia="zh-CN"/>
        </w:rPr>
      </w:pPr>
      <w:r>
        <w:rPr>
          <w:rFonts w:hint="default"/>
          <w:b/>
          <w:bCs/>
          <w:sz w:val="28"/>
          <w:szCs w:val="28"/>
          <w:u w:val="none"/>
          <w:lang w:val="en-US" w:eastAsia="zh-CN"/>
        </w:rPr>
        <w:t>四、在漂泊与锚定之间：寻找平衡的可能</w:t>
      </w:r>
    </w:p>
    <w:p w14:paraId="55B25A7A">
      <w:pPr>
        <w:widowControl w:val="0"/>
        <w:numPr>
          <w:ilvl w:val="0"/>
          <w:numId w:val="0"/>
        </w:numPr>
        <w:jc w:val="both"/>
        <w:rPr>
          <w:rFonts w:hint="default"/>
          <w:b/>
          <w:bCs/>
          <w:sz w:val="24"/>
          <w:szCs w:val="24"/>
          <w:u w:val="none"/>
          <w:lang w:val="en-US" w:eastAsia="zh-CN"/>
        </w:rPr>
      </w:pPr>
      <w:r>
        <w:rPr>
          <w:rFonts w:hint="default"/>
          <w:b/>
          <w:bCs/>
          <w:sz w:val="24"/>
          <w:szCs w:val="24"/>
          <w:u w:val="none"/>
          <w:lang w:val="en-US" w:eastAsia="zh-CN"/>
        </w:rPr>
        <w:t>（一）区分"有方向的探索"与"无目的的漂泊"</w:t>
      </w:r>
    </w:p>
    <w:p w14:paraId="1F665412">
      <w:pPr>
        <w:widowControl w:val="0"/>
        <w:numPr>
          <w:ilvl w:val="0"/>
          <w:numId w:val="0"/>
        </w:numPr>
        <w:jc w:val="both"/>
        <w:rPr>
          <w:rFonts w:hint="default"/>
          <w:u w:val="none"/>
          <w:lang w:val="en-US" w:eastAsia="zh-CN"/>
        </w:rPr>
      </w:pPr>
      <w:r>
        <w:rPr>
          <w:rFonts w:hint="default"/>
          <w:u w:val="none"/>
          <w:lang w:val="en-US" w:eastAsia="zh-CN"/>
        </w:rPr>
        <w:t>"奥德赛时期"的价值不在于漂泊本身，而在于漂泊中的学习和反思。</w:t>
      </w:r>
      <w:r>
        <w:rPr>
          <w:rFonts w:hint="default"/>
          <w:u w:val="none"/>
          <w:lang w:val="en-US" w:eastAsia="zh-CN"/>
        </w:rPr>
        <w:fldChar w:fldCharType="begin"/>
      </w:r>
      <w:r>
        <w:rPr>
          <w:rFonts w:hint="default"/>
          <w:u w:val="none"/>
          <w:lang w:val="en-US" w:eastAsia="zh-CN"/>
        </w:rPr>
        <w:instrText xml:space="preserve"> HYPERLINK \l "Erikson" </w:instrText>
      </w:r>
      <w:r>
        <w:rPr>
          <w:rFonts w:hint="default"/>
          <w:u w:val="none"/>
          <w:lang w:val="en-US" w:eastAsia="zh-CN"/>
        </w:rPr>
        <w:fldChar w:fldCharType="separate"/>
      </w:r>
      <w:r>
        <w:rPr>
          <w:rStyle w:val="15"/>
          <w:rFonts w:hint="default"/>
          <w:u w:val="none"/>
          <w:lang w:val="en-US" w:eastAsia="zh-CN"/>
        </w:rPr>
        <w:t>Erikson（1968）</w:t>
      </w:r>
      <w:r>
        <w:rPr>
          <w:rFonts w:hint="default"/>
          <w:u w:val="none"/>
          <w:lang w:val="en-US" w:eastAsia="zh-CN"/>
        </w:rPr>
        <w:fldChar w:fldCharType="end"/>
      </w:r>
      <w:r>
        <w:rPr>
          <w:rFonts w:hint="default"/>
          <w:u w:val="none"/>
          <w:lang w:val="en-US" w:eastAsia="zh-CN"/>
        </w:rPr>
        <w:t>强调，认同的建立需要"心理延缓期"，但这一延缓应当是有边界的——它是一段被允许的探索时间，而非无限的推迟。</w:t>
      </w:r>
    </w:p>
    <w:p w14:paraId="76D48E0B">
      <w:pPr>
        <w:widowControl w:val="0"/>
        <w:numPr>
          <w:ilvl w:val="0"/>
          <w:numId w:val="0"/>
        </w:numPr>
        <w:jc w:val="both"/>
        <w:rPr>
          <w:rFonts w:hint="default"/>
          <w:u w:val="none"/>
          <w:lang w:val="en-US" w:eastAsia="zh-CN"/>
        </w:rPr>
      </w:pPr>
    </w:p>
    <w:p w14:paraId="4080C22B">
      <w:pPr>
        <w:widowControl w:val="0"/>
        <w:numPr>
          <w:ilvl w:val="0"/>
          <w:numId w:val="0"/>
        </w:numPr>
        <w:jc w:val="both"/>
        <w:rPr>
          <w:rFonts w:hint="default"/>
          <w:u w:val="none"/>
          <w:lang w:val="en-US" w:eastAsia="zh-CN"/>
        </w:rPr>
      </w:pPr>
      <w:r>
        <w:rPr>
          <w:rFonts w:hint="default"/>
          <w:u w:val="none"/>
          <w:lang w:val="en-US" w:eastAsia="zh-CN"/>
        </w:rPr>
        <w:t>关键在于为探索设置“检视点”。比如给自己半年或一年的时间去尝试某个方向，到期后认真反思：这段经历让我更清楚自己想要什么了吗？还是只是在重复同样的困惑？上文提到的小林最终选择了读研，但</w:t>
      </w:r>
      <w:r>
        <w:rPr>
          <w:rFonts w:hint="eastAsia"/>
          <w:u w:val="none"/>
          <w:lang w:val="en-US" w:eastAsia="zh-CN"/>
        </w:rPr>
        <w:t>他</w:t>
      </w:r>
      <w:r>
        <w:rPr>
          <w:rFonts w:hint="default"/>
          <w:u w:val="none"/>
          <w:lang w:val="en-US" w:eastAsia="zh-CN"/>
        </w:rPr>
        <w:t>的决定不是随机的——</w:t>
      </w:r>
      <w:r>
        <w:rPr>
          <w:rFonts w:hint="eastAsia"/>
          <w:u w:val="none"/>
          <w:lang w:val="en-US" w:eastAsia="zh-CN"/>
        </w:rPr>
        <w:t>他</w:t>
      </w:r>
      <w:r>
        <w:rPr>
          <w:rFonts w:hint="default"/>
          <w:u w:val="none"/>
          <w:lang w:val="en-US" w:eastAsia="zh-CN"/>
        </w:rPr>
        <w:t>在互联网公司实习了一个暑假，意识到自己更想做深入研究而非产品开发，这个结论是</w:t>
      </w:r>
      <w:r>
        <w:rPr>
          <w:rFonts w:hint="eastAsia"/>
          <w:u w:val="none"/>
          <w:lang w:val="en-US" w:eastAsia="zh-CN"/>
        </w:rPr>
        <w:t>他</w:t>
      </w:r>
      <w:r>
        <w:rPr>
          <w:rFonts w:hint="default"/>
          <w:u w:val="none"/>
          <w:lang w:val="en-US" w:eastAsia="zh-CN"/>
        </w:rPr>
        <w:t>“试出来”的，而不是凭空想象的。这正是从心理延缓走向认同获得的路径。有方向的探索与无目的的漂泊在行为模式上存在本质区别（见</w:t>
      </w:r>
      <w:r>
        <w:rPr>
          <w:rFonts w:hint="default"/>
          <w:u w:val="none"/>
          <w:lang w:val="en-US" w:eastAsia="zh-CN"/>
        </w:rPr>
        <w:fldChar w:fldCharType="begin"/>
      </w:r>
      <w:r>
        <w:rPr>
          <w:rFonts w:hint="default"/>
          <w:u w:val="none"/>
          <w:lang w:val="en-US" w:eastAsia="zh-CN"/>
        </w:rPr>
        <w:instrText xml:space="preserve"> HYPERLINK \l "表2" </w:instrText>
      </w:r>
      <w:r>
        <w:rPr>
          <w:rFonts w:hint="default"/>
          <w:u w:val="none"/>
          <w:lang w:val="en-US" w:eastAsia="zh-CN"/>
        </w:rPr>
        <w:fldChar w:fldCharType="separate"/>
      </w:r>
      <w:r>
        <w:rPr>
          <w:rStyle w:val="15"/>
          <w:rFonts w:hint="default"/>
          <w:u w:val="none"/>
          <w:lang w:val="en-US" w:eastAsia="zh-CN"/>
        </w:rPr>
        <w:t>表</w:t>
      </w:r>
      <w:r>
        <w:rPr>
          <w:rStyle w:val="15"/>
          <w:rFonts w:hint="eastAsia"/>
          <w:u w:val="none"/>
          <w:lang w:val="en-US" w:eastAsia="zh-CN"/>
        </w:rPr>
        <w:t>2</w:t>
      </w:r>
      <w:r>
        <w:rPr>
          <w:rFonts w:hint="default"/>
          <w:u w:val="none"/>
          <w:lang w:val="en-US" w:eastAsia="zh-CN"/>
        </w:rPr>
        <w:fldChar w:fldCharType="end"/>
      </w:r>
      <w:r>
        <w:rPr>
          <w:rFonts w:hint="default"/>
          <w:u w:val="none"/>
          <w:lang w:val="en-US" w:eastAsia="zh-CN"/>
        </w:rPr>
        <w:t>）。</w:t>
      </w:r>
    </w:p>
    <w:p w14:paraId="3E7B356E">
      <w:pPr>
        <w:widowControl w:val="0"/>
        <w:numPr>
          <w:ilvl w:val="0"/>
          <w:numId w:val="0"/>
        </w:numPr>
        <w:jc w:val="both"/>
        <w:rPr>
          <w:rFonts w:hint="default"/>
          <w:u w:val="none"/>
          <w:lang w:val="en-US" w:eastAsia="zh-CN"/>
        </w:rPr>
      </w:pPr>
    </w:p>
    <w:p w14:paraId="2CBD9FE0">
      <w:pPr>
        <w:widowControl w:val="0"/>
        <w:numPr>
          <w:ilvl w:val="0"/>
          <w:numId w:val="0"/>
        </w:numPr>
        <w:jc w:val="center"/>
        <w:rPr>
          <w:rFonts w:hint="default"/>
          <w:u w:val="none"/>
          <w:lang w:val="en-US" w:eastAsia="zh-CN"/>
        </w:rPr>
      </w:pPr>
      <w:bookmarkStart w:id="4" w:name="表2"/>
      <w:r>
        <w:rPr>
          <w:rFonts w:hint="eastAsia"/>
          <w:u w:val="none"/>
          <w:lang w:val="en-US" w:eastAsia="zh-CN"/>
        </w:rPr>
        <w:t>表2 有方向的探索与无目的的漂泊特征对比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3"/>
      </w:tblGrid>
      <w:tr w14:paraId="343212E9">
        <w:tc>
          <w:tcPr>
            <w:tcW w:w="4643" w:type="dxa"/>
            <w:tcBorders>
              <w:top w:val="single" w:color="000000" w:sz="12" w:space="0"/>
              <w:left w:val="nil"/>
              <w:bottom w:val="single" w:color="000000" w:sz="4" w:space="0"/>
              <w:right w:val="nil"/>
              <w:tl2br w:val="nil"/>
            </w:tcBorders>
            <w:shd w:val="clear" w:color="auto" w:fill="FFFFFF"/>
          </w:tcPr>
          <w:p w14:paraId="3F60C72F">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有方向的探索</w:t>
            </w:r>
          </w:p>
        </w:tc>
        <w:tc>
          <w:tcPr>
            <w:tcW w:w="4643" w:type="dxa"/>
            <w:tcBorders>
              <w:top w:val="single" w:color="000000" w:sz="12" w:space="0"/>
              <w:left w:val="nil"/>
              <w:bottom w:val="single" w:color="000000" w:sz="4" w:space="0"/>
              <w:right w:val="nil"/>
            </w:tcBorders>
            <w:shd w:val="clear" w:color="auto" w:fill="FFFFFF"/>
          </w:tcPr>
          <w:p w14:paraId="0A4758A6">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无目的的漂泊</w:t>
            </w:r>
          </w:p>
        </w:tc>
      </w:tr>
      <w:tr w14:paraId="337DC5F5">
        <w:tc>
          <w:tcPr>
            <w:tcW w:w="4643" w:type="dxa"/>
            <w:tcBorders>
              <w:top w:val="single" w:color="000000" w:sz="4" w:space="0"/>
              <w:left w:val="nil"/>
              <w:bottom w:val="nil"/>
              <w:right w:val="nil"/>
            </w:tcBorders>
            <w:shd w:val="clear" w:color="auto" w:fill="FFFFFF"/>
          </w:tcPr>
          <w:p w14:paraId="2A9E45CB">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设有检查点</w:t>
            </w:r>
          </w:p>
        </w:tc>
        <w:tc>
          <w:tcPr>
            <w:tcW w:w="4643" w:type="dxa"/>
            <w:tcBorders>
              <w:top w:val="single" w:color="000000" w:sz="4" w:space="0"/>
              <w:left w:val="nil"/>
              <w:bottom w:val="nil"/>
              <w:right w:val="nil"/>
            </w:tcBorders>
            <w:shd w:val="clear" w:color="auto" w:fill="FFFFFF"/>
          </w:tcPr>
          <w:p w14:paraId="0DBCA472">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被动随流，无反思</w:t>
            </w:r>
          </w:p>
        </w:tc>
      </w:tr>
      <w:tr w14:paraId="18259645">
        <w:tc>
          <w:tcPr>
            <w:tcW w:w="4643" w:type="dxa"/>
            <w:tcBorders>
              <w:top w:val="nil"/>
              <w:left w:val="nil"/>
              <w:bottom w:val="nil"/>
              <w:right w:val="nil"/>
            </w:tcBorders>
            <w:shd w:val="clear" w:color="auto" w:fill="FFFFFF"/>
          </w:tcPr>
          <w:p w14:paraId="66A7281B">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尝试后调整方向</w:t>
            </w:r>
          </w:p>
        </w:tc>
        <w:tc>
          <w:tcPr>
            <w:tcW w:w="4643" w:type="dxa"/>
            <w:tcBorders>
              <w:top w:val="nil"/>
              <w:left w:val="nil"/>
              <w:bottom w:val="nil"/>
              <w:right w:val="nil"/>
            </w:tcBorders>
            <w:shd w:val="clear" w:color="auto" w:fill="FFFFFF"/>
          </w:tcPr>
          <w:p w14:paraId="1553A08E">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重复同样的模式</w:t>
            </w:r>
          </w:p>
        </w:tc>
      </w:tr>
      <w:tr w14:paraId="3C10876C">
        <w:tc>
          <w:tcPr>
            <w:tcW w:w="4643" w:type="dxa"/>
            <w:tcBorders>
              <w:top w:val="nil"/>
              <w:left w:val="nil"/>
              <w:bottom w:val="single" w:color="000000" w:sz="12" w:space="0"/>
              <w:right w:val="nil"/>
            </w:tcBorders>
            <w:shd w:val="clear" w:color="auto" w:fill="FFFFFF"/>
          </w:tcPr>
          <w:p w14:paraId="1A078614">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主动寻求反馈</w:t>
            </w:r>
          </w:p>
        </w:tc>
        <w:tc>
          <w:tcPr>
            <w:tcW w:w="4643" w:type="dxa"/>
            <w:tcBorders>
              <w:top w:val="nil"/>
              <w:left w:val="nil"/>
              <w:bottom w:val="single" w:color="000000" w:sz="12" w:space="0"/>
              <w:right w:val="nil"/>
            </w:tcBorders>
            <w:shd w:val="clear" w:color="auto" w:fill="FFFFFF"/>
          </w:tcPr>
          <w:p w14:paraId="488B9B1A">
            <w:pPr>
              <w:widowControl w:val="0"/>
              <w:numPr>
                <w:ilvl w:val="0"/>
                <w:numId w:val="0"/>
              </w:numPr>
              <w:jc w:val="center"/>
              <w:rPr>
                <w:rFonts w:hint="default"/>
                <w:b w:val="0"/>
                <w:color w:val="000000"/>
                <w:u w:val="none"/>
                <w:vertAlign w:val="baseline"/>
                <w:lang w:val="en-US" w:eastAsia="zh-CN"/>
              </w:rPr>
            </w:pPr>
            <w:r>
              <w:rPr>
                <w:rFonts w:hint="eastAsia"/>
                <w:b w:val="0"/>
                <w:color w:val="000000"/>
                <w:u w:val="none"/>
                <w:vertAlign w:val="baseline"/>
                <w:lang w:val="en-US" w:eastAsia="zh-CN"/>
              </w:rPr>
              <w:t>回避外部反馈</w:t>
            </w:r>
          </w:p>
        </w:tc>
      </w:tr>
      <w:bookmarkEnd w:id="4"/>
    </w:tbl>
    <w:p w14:paraId="3DB2F48F">
      <w:pPr>
        <w:widowControl w:val="0"/>
        <w:numPr>
          <w:ilvl w:val="0"/>
          <w:numId w:val="0"/>
        </w:numPr>
        <w:jc w:val="both"/>
        <w:rPr>
          <w:rFonts w:hint="default"/>
          <w:u w:val="none"/>
          <w:lang w:val="en-US" w:eastAsia="zh-CN"/>
        </w:rPr>
      </w:pPr>
    </w:p>
    <w:p w14:paraId="03426FF8">
      <w:pPr>
        <w:widowControl w:val="0"/>
        <w:numPr>
          <w:ilvl w:val="0"/>
          <w:numId w:val="0"/>
        </w:numPr>
        <w:jc w:val="both"/>
        <w:rPr>
          <w:rFonts w:hint="default"/>
          <w:b/>
          <w:bCs/>
          <w:sz w:val="24"/>
          <w:szCs w:val="24"/>
          <w:u w:val="none"/>
          <w:lang w:val="en-US" w:eastAsia="zh-CN"/>
        </w:rPr>
      </w:pPr>
      <w:r>
        <w:rPr>
          <w:rFonts w:hint="default"/>
          <w:b/>
          <w:bCs/>
          <w:sz w:val="24"/>
          <w:szCs w:val="24"/>
          <w:u w:val="none"/>
          <w:lang w:val="en-US" w:eastAsia="zh-CN"/>
        </w:rPr>
        <w:t>（二）建立多元的认同来源</w:t>
      </w:r>
    </w:p>
    <w:p w14:paraId="3822AC76">
      <w:pPr>
        <w:widowControl w:val="0"/>
        <w:numPr>
          <w:ilvl w:val="0"/>
          <w:numId w:val="0"/>
        </w:numPr>
        <w:jc w:val="both"/>
        <w:rPr>
          <w:rFonts w:hint="default"/>
          <w:u w:val="none"/>
          <w:lang w:val="en-US" w:eastAsia="zh-CN"/>
        </w:rPr>
      </w:pPr>
      <w:r>
        <w:rPr>
          <w:rFonts w:hint="default"/>
          <w:u w:val="none"/>
          <w:lang w:val="en-US" w:eastAsia="zh-CN"/>
        </w:rPr>
        <w:t>如果自我认同完全绑定在职业选择上，那么在职业不确定的“奥德赛时期”，整个自我感就会动摇。发展心理学的研究表明，认同的来源越多元，心理韧性越强</w:t>
      </w:r>
      <w:r>
        <w:rPr>
          <w:rFonts w:hint="default"/>
          <w:u w:val="none"/>
          <w:lang w:val="en-US" w:eastAsia="zh-CN"/>
        </w:rPr>
        <w:fldChar w:fldCharType="begin"/>
      </w:r>
      <w:r>
        <w:rPr>
          <w:rFonts w:hint="default"/>
          <w:u w:val="none"/>
          <w:lang w:val="en-US" w:eastAsia="zh-CN"/>
        </w:rPr>
        <w:instrText xml:space="preserve"> HYPERLINK \l "Kroger" </w:instrText>
      </w:r>
      <w:r>
        <w:rPr>
          <w:rFonts w:hint="default"/>
          <w:u w:val="none"/>
          <w:lang w:val="en-US" w:eastAsia="zh-CN"/>
        </w:rPr>
        <w:fldChar w:fldCharType="separate"/>
      </w:r>
      <w:r>
        <w:rPr>
          <w:rStyle w:val="15"/>
          <w:rFonts w:hint="default"/>
          <w:u w:val="none"/>
          <w:lang w:val="en-US" w:eastAsia="zh-CN"/>
        </w:rPr>
        <w:t>（Kroger，2007）</w:t>
      </w:r>
      <w:r>
        <w:rPr>
          <w:rFonts w:hint="default"/>
          <w:u w:val="none"/>
          <w:lang w:val="en-US" w:eastAsia="zh-CN"/>
        </w:rPr>
        <w:fldChar w:fldCharType="end"/>
      </w:r>
      <w:r>
        <w:rPr>
          <w:rFonts w:hint="default"/>
          <w:u w:val="none"/>
          <w:lang w:val="en-US" w:eastAsia="zh-CN"/>
        </w:rPr>
        <w:t>。在职业认同尚未确立的阶段，可以从兴趣爱好、人际关系、价值观等多个维度构建自我感。</w:t>
      </w:r>
    </w:p>
    <w:p w14:paraId="37863758">
      <w:pPr>
        <w:widowControl w:val="0"/>
        <w:numPr>
          <w:ilvl w:val="0"/>
          <w:numId w:val="0"/>
        </w:numPr>
        <w:jc w:val="both"/>
        <w:rPr>
          <w:rFonts w:hint="default"/>
          <w:u w:val="none"/>
          <w:lang w:val="en-US" w:eastAsia="zh-CN"/>
        </w:rPr>
      </w:pPr>
    </w:p>
    <w:p w14:paraId="61ECCA75">
      <w:pPr>
        <w:widowControl w:val="0"/>
        <w:numPr>
          <w:ilvl w:val="0"/>
          <w:numId w:val="0"/>
        </w:numPr>
        <w:jc w:val="both"/>
        <w:rPr>
          <w:rFonts w:hint="default"/>
          <w:u w:val="none"/>
          <w:lang w:val="en-US" w:eastAsia="zh-CN"/>
        </w:rPr>
      </w:pPr>
      <w:r>
        <w:rPr>
          <w:rFonts w:hint="default"/>
          <w:u w:val="none"/>
          <w:lang w:val="en-US" w:eastAsia="zh-CN"/>
        </w:rPr>
        <w:t>例如，在专业方向摇摆不定的时候，坚持写作和运动可以带来一种“至少这两件事我是确定的”的感觉。这种局部认同的建立，反而为更大范围的探索提供了心理安全感。</w:t>
      </w:r>
      <w:bookmarkStart w:id="13" w:name="_GoBack"/>
      <w:bookmarkEnd w:id="13"/>
    </w:p>
    <w:p w14:paraId="14C2F59A">
      <w:pPr>
        <w:widowControl w:val="0"/>
        <w:numPr>
          <w:ilvl w:val="0"/>
          <w:numId w:val="0"/>
        </w:numPr>
        <w:jc w:val="both"/>
        <w:rPr>
          <w:rFonts w:hint="default"/>
          <w:u w:val="none"/>
          <w:lang w:val="en-US" w:eastAsia="zh-CN"/>
        </w:rPr>
      </w:pPr>
    </w:p>
    <w:p w14:paraId="3FF667A3">
      <w:pPr>
        <w:widowControl w:val="0"/>
        <w:numPr>
          <w:ilvl w:val="0"/>
          <w:numId w:val="0"/>
        </w:numPr>
        <w:jc w:val="both"/>
        <w:rPr>
          <w:rFonts w:hint="default"/>
          <w:b/>
          <w:bCs/>
          <w:sz w:val="24"/>
          <w:szCs w:val="24"/>
          <w:u w:val="none"/>
          <w:lang w:val="en-US" w:eastAsia="zh-CN"/>
        </w:rPr>
      </w:pPr>
      <w:r>
        <w:rPr>
          <w:rFonts w:hint="default"/>
          <w:b/>
          <w:bCs/>
          <w:sz w:val="24"/>
          <w:szCs w:val="24"/>
          <w:u w:val="none"/>
          <w:lang w:val="en-US" w:eastAsia="zh-CN"/>
        </w:rPr>
        <w:t>（三）重构"成功"的叙事框架</w:t>
      </w:r>
    </w:p>
    <w:p w14:paraId="4858A799">
      <w:pPr>
        <w:widowControl w:val="0"/>
        <w:numPr>
          <w:ilvl w:val="0"/>
          <w:numId w:val="0"/>
        </w:numPr>
        <w:jc w:val="both"/>
        <w:rPr>
          <w:rFonts w:hint="default"/>
          <w:u w:val="none"/>
          <w:lang w:val="en-US" w:eastAsia="zh-CN"/>
        </w:rPr>
      </w:pPr>
      <w:r>
        <w:rPr>
          <w:rFonts w:hint="default"/>
          <w:u w:val="none"/>
          <w:lang w:val="en-US" w:eastAsia="zh-CN"/>
        </w:rPr>
        <w:t>社会对成功的单一叙事加剧了“奥德赛时期”的焦虑。如果“成功”只有考公上岸、大厂入职、买房结婚这几条路，那么没有走上这些路的年轻人就只能感到失败。但“奥德赛时期”本身就意味着，人生路径正在被重新定义。</w:t>
      </w:r>
    </w:p>
    <w:p w14:paraId="158109D1">
      <w:pPr>
        <w:widowControl w:val="0"/>
        <w:numPr>
          <w:ilvl w:val="0"/>
          <w:numId w:val="0"/>
        </w:numPr>
        <w:jc w:val="both"/>
        <w:rPr>
          <w:rFonts w:hint="default"/>
          <w:u w:val="none"/>
          <w:lang w:val="en-US" w:eastAsia="zh-CN"/>
        </w:rPr>
      </w:pPr>
    </w:p>
    <w:p w14:paraId="600915A9">
      <w:pPr>
        <w:widowControl w:val="0"/>
        <w:numPr>
          <w:ilvl w:val="0"/>
          <w:numId w:val="0"/>
        </w:numPr>
        <w:jc w:val="both"/>
        <w:rPr>
          <w:rFonts w:hint="default"/>
          <w:u w:val="none"/>
          <w:lang w:val="en-US" w:eastAsia="zh-CN"/>
        </w:rPr>
      </w:pPr>
      <w:r>
        <w:rPr>
          <w:rFonts w:hint="default"/>
          <w:u w:val="none"/>
          <w:lang w:val="en-US" w:eastAsia="zh-CN"/>
        </w:rPr>
        <w:fldChar w:fldCharType="begin"/>
      </w:r>
      <w:r>
        <w:rPr>
          <w:rFonts w:hint="default"/>
          <w:u w:val="none"/>
          <w:lang w:val="en-US" w:eastAsia="zh-CN"/>
        </w:rPr>
        <w:instrText xml:space="preserve"> HYPERLINK \l "Arnett" </w:instrText>
      </w:r>
      <w:r>
        <w:rPr>
          <w:rFonts w:hint="default"/>
          <w:u w:val="none"/>
          <w:lang w:val="en-US" w:eastAsia="zh-CN"/>
        </w:rPr>
        <w:fldChar w:fldCharType="separate"/>
      </w:r>
      <w:r>
        <w:rPr>
          <w:rStyle w:val="15"/>
          <w:rFonts w:hint="default"/>
          <w:u w:val="none"/>
          <w:lang w:val="en-US" w:eastAsia="zh-CN"/>
        </w:rPr>
        <w:t>Arnett（2000）</w:t>
      </w:r>
      <w:r>
        <w:rPr>
          <w:rFonts w:hint="default"/>
          <w:u w:val="none"/>
          <w:lang w:val="en-US" w:eastAsia="zh-CN"/>
        </w:rPr>
        <w:fldChar w:fldCharType="end"/>
      </w:r>
      <w:r>
        <w:rPr>
          <w:rFonts w:hint="default"/>
          <w:u w:val="none"/>
          <w:lang w:val="en-US" w:eastAsia="zh-CN"/>
        </w:rPr>
        <w:t>指出，成年显现期的一个重要功能就是“允许个体尝试不同的生活方式，而不急于锁定社会角色”。如果我们能接受“人生不必按标准时间表推进”这一前提，那么“奥德赛时期”的漂泊就不再是偏离正轨，而是一种不同的轨迹。这种叙事重构虽然不能改变结构性约束，但可以减少不必要的自我苛责，为认同探索创造更好的心理条件。</w:t>
      </w:r>
    </w:p>
    <w:p w14:paraId="0C1BE519">
      <w:pPr>
        <w:widowControl w:val="0"/>
        <w:numPr>
          <w:ilvl w:val="0"/>
          <w:numId w:val="0"/>
        </w:numPr>
        <w:jc w:val="both"/>
        <w:rPr>
          <w:rFonts w:hint="default"/>
          <w:u w:val="none"/>
          <w:lang w:val="en-US" w:eastAsia="zh-CN"/>
        </w:rPr>
      </w:pPr>
    </w:p>
    <w:p w14:paraId="42A93275">
      <w:pPr>
        <w:widowControl w:val="0"/>
        <w:numPr>
          <w:ilvl w:val="0"/>
          <w:numId w:val="2"/>
        </w:numPr>
        <w:ind w:left="0" w:leftChars="0" w:firstLine="0" w:firstLineChars="0"/>
        <w:jc w:val="both"/>
        <w:rPr>
          <w:rFonts w:hint="default"/>
          <w:b/>
          <w:bCs/>
          <w:sz w:val="24"/>
          <w:szCs w:val="24"/>
          <w:u w:val="none"/>
          <w:lang w:val="en-US" w:eastAsia="zh-CN"/>
        </w:rPr>
      </w:pPr>
      <w:r>
        <w:rPr>
          <w:rFonts w:hint="default"/>
          <w:b/>
          <w:bCs/>
          <w:sz w:val="24"/>
          <w:szCs w:val="24"/>
          <w:u w:val="none"/>
          <w:lang w:val="en-US" w:eastAsia="zh-CN"/>
        </w:rPr>
        <w:t>寻求社会支持与专业帮助</w:t>
      </w:r>
    </w:p>
    <w:p w14:paraId="731B9C99">
      <w:pPr>
        <w:widowControl w:val="0"/>
        <w:numPr>
          <w:ilvl w:val="0"/>
          <w:numId w:val="0"/>
        </w:numPr>
        <w:jc w:val="both"/>
        <w:rPr>
          <w:rFonts w:hint="default"/>
          <w:u w:val="none"/>
          <w:lang w:val="en-US" w:eastAsia="zh-CN"/>
        </w:rPr>
      </w:pPr>
      <w:r>
        <w:rPr>
          <w:rFonts w:hint="default"/>
          <w:u w:val="none"/>
          <w:lang w:val="en-US" w:eastAsia="zh-CN"/>
        </w:rPr>
        <w:t>认同探索不是一个人的事。</w:t>
      </w:r>
      <w:r>
        <w:rPr>
          <w:rFonts w:hint="default"/>
          <w:u w:val="none"/>
          <w:lang w:val="en-US" w:eastAsia="zh-CN"/>
        </w:rPr>
        <w:fldChar w:fldCharType="begin"/>
      </w:r>
      <w:r>
        <w:rPr>
          <w:rFonts w:hint="default"/>
          <w:u w:val="none"/>
          <w:lang w:val="en-US" w:eastAsia="zh-CN"/>
        </w:rPr>
        <w:instrText xml:space="preserve"> HYPERLINK \l "Erikson" </w:instrText>
      </w:r>
      <w:r>
        <w:rPr>
          <w:rFonts w:hint="default"/>
          <w:u w:val="none"/>
          <w:lang w:val="en-US" w:eastAsia="zh-CN"/>
        </w:rPr>
        <w:fldChar w:fldCharType="separate"/>
      </w:r>
      <w:r>
        <w:rPr>
          <w:rStyle w:val="15"/>
          <w:rFonts w:hint="default"/>
          <w:u w:val="none"/>
          <w:lang w:val="en-US" w:eastAsia="zh-CN"/>
        </w:rPr>
        <w:t>Erikson（1968）</w:t>
      </w:r>
      <w:r>
        <w:rPr>
          <w:rFonts w:hint="default"/>
          <w:u w:val="none"/>
          <w:lang w:val="en-US" w:eastAsia="zh-CN"/>
        </w:rPr>
        <w:fldChar w:fldCharType="end"/>
      </w:r>
      <w:r>
        <w:rPr>
          <w:rFonts w:hint="default"/>
          <w:u w:val="none"/>
          <w:lang w:val="en-US" w:eastAsia="zh-CN"/>
        </w:rPr>
        <w:t>的理论本身就强调，自我同一性的形成离不开社会互动和他者的反馈。在"奥德赛时期"，与同龄人交流困惑、向有经验的前辈请教、甚至寻求心理咨询的帮助，都可以为认同发展提供外部支持。</w:t>
      </w:r>
      <w:r>
        <w:rPr>
          <w:rFonts w:hint="default"/>
          <w:u w:val="none"/>
          <w:lang w:val="en-US" w:eastAsia="zh-CN"/>
        </w:rPr>
        <w:fldChar w:fldCharType="begin"/>
      </w:r>
      <w:r>
        <w:rPr>
          <w:rFonts w:hint="default"/>
          <w:u w:val="none"/>
          <w:lang w:val="en-US" w:eastAsia="zh-CN"/>
        </w:rPr>
        <w:instrText xml:space="preserve"> HYPERLINK \l "王树青" </w:instrText>
      </w:r>
      <w:r>
        <w:rPr>
          <w:rFonts w:hint="default"/>
          <w:u w:val="none"/>
          <w:lang w:val="en-US" w:eastAsia="zh-CN"/>
        </w:rPr>
        <w:fldChar w:fldCharType="separate"/>
      </w:r>
      <w:r>
        <w:rPr>
          <w:rStyle w:val="15"/>
          <w:rFonts w:hint="default"/>
          <w:u w:val="none"/>
          <w:lang w:val="en-US" w:eastAsia="zh-CN"/>
        </w:rPr>
        <w:t>王树青等人（2007）</w:t>
      </w:r>
      <w:r>
        <w:rPr>
          <w:rFonts w:hint="default"/>
          <w:u w:val="none"/>
          <w:lang w:val="en-US" w:eastAsia="zh-CN"/>
        </w:rPr>
        <w:fldChar w:fldCharType="end"/>
      </w:r>
      <w:r>
        <w:rPr>
          <w:rFonts w:hint="default"/>
          <w:u w:val="none"/>
          <w:lang w:val="en-US" w:eastAsia="zh-CN"/>
        </w:rPr>
        <w:t>的研究也表明，亲子沟通的开放性对大学生同一性状态有直接的预测作用，良好的沟通环境有利于大学生从延缓状态走向获得状态。</w:t>
      </w:r>
    </w:p>
    <w:p w14:paraId="06158123">
      <w:pPr>
        <w:widowControl w:val="0"/>
        <w:numPr>
          <w:ilvl w:val="0"/>
          <w:numId w:val="0"/>
        </w:numPr>
        <w:jc w:val="both"/>
        <w:rPr>
          <w:rFonts w:hint="default"/>
          <w:u w:val="none"/>
          <w:lang w:val="en-US" w:eastAsia="zh-CN"/>
        </w:rPr>
      </w:pPr>
    </w:p>
    <w:p w14:paraId="4459DEA9">
      <w:pPr>
        <w:widowControl w:val="0"/>
        <w:numPr>
          <w:ilvl w:val="0"/>
          <w:numId w:val="0"/>
        </w:numPr>
        <w:jc w:val="both"/>
        <w:rPr>
          <w:rFonts w:hint="default"/>
          <w:u w:val="none"/>
          <w:lang w:val="en-US" w:eastAsia="zh-CN"/>
        </w:rPr>
      </w:pPr>
      <w:r>
        <w:rPr>
          <w:rFonts w:hint="default"/>
          <w:u w:val="none"/>
          <w:lang w:val="en-US" w:eastAsia="zh-CN"/>
        </w:rPr>
        <w:t>许多同学在毕业选择上最大的困难不是"不知道有什么选项"，而是"不知道自己想要什么"。有时候，跟朋友认真聊一次，可能比自己纠结一个月更有帮助。他人的视角可以帮助我们看到自己忽略的可能性，也可以让我们意识到，原来很多人都在经历同样的迷茫。</w:t>
      </w:r>
    </w:p>
    <w:p w14:paraId="66924ACF">
      <w:pPr>
        <w:widowControl w:val="0"/>
        <w:numPr>
          <w:ilvl w:val="0"/>
          <w:numId w:val="0"/>
        </w:numPr>
        <w:jc w:val="both"/>
        <w:rPr>
          <w:rFonts w:hint="default"/>
          <w:u w:val="none"/>
          <w:lang w:val="en-US" w:eastAsia="zh-CN"/>
        </w:rPr>
      </w:pPr>
    </w:p>
    <w:p w14:paraId="6BF72BC3">
      <w:pPr>
        <w:widowControl w:val="0"/>
        <w:numPr>
          <w:ilvl w:val="0"/>
          <w:numId w:val="2"/>
        </w:numPr>
        <w:ind w:left="0" w:leftChars="0" w:firstLine="0" w:firstLineChars="0"/>
        <w:jc w:val="both"/>
        <w:rPr>
          <w:rFonts w:hint="default"/>
          <w:b/>
          <w:bCs/>
          <w:sz w:val="24"/>
          <w:szCs w:val="24"/>
          <w:u w:val="none"/>
          <w:lang w:val="en-US" w:eastAsia="zh-CN"/>
        </w:rPr>
      </w:pPr>
      <w:r>
        <w:rPr>
          <w:rFonts w:hint="eastAsia"/>
          <w:b/>
          <w:bCs/>
          <w:sz w:val="24"/>
          <w:szCs w:val="24"/>
          <w:u w:val="none"/>
          <w:lang w:val="en-US" w:eastAsia="zh-CN"/>
        </w:rPr>
        <w:t>个人反思</w:t>
      </w:r>
    </w:p>
    <w:p w14:paraId="4091F0DC">
      <w:pPr>
        <w:widowControl w:val="0"/>
        <w:numPr>
          <w:ilvl w:val="0"/>
          <w:numId w:val="0"/>
        </w:numPr>
        <w:jc w:val="both"/>
        <w:rPr>
          <w:rFonts w:hint="default"/>
          <w:u w:val="none"/>
          <w:lang w:val="en-US" w:eastAsia="zh-CN"/>
        </w:rPr>
      </w:pPr>
      <w:r>
        <w:rPr>
          <w:rFonts w:hint="default"/>
          <w:u w:val="none"/>
          <w:lang w:val="en-US" w:eastAsia="zh-CN"/>
        </w:rPr>
        <w:t>回顾我自己的大学前两年，也经历了从“什么都想试”到“什么都怕选错”的摇摆。大一时，我同时参加了</w:t>
      </w:r>
      <w:r>
        <w:rPr>
          <w:rFonts w:hint="eastAsia"/>
          <w:u w:val="none"/>
          <w:lang w:val="en-US" w:eastAsia="zh-CN"/>
        </w:rPr>
        <w:t>两</w:t>
      </w:r>
      <w:r>
        <w:rPr>
          <w:rFonts w:hint="default"/>
          <w:u w:val="none"/>
          <w:lang w:val="en-US" w:eastAsia="zh-CN"/>
        </w:rPr>
        <w:t>个社团、</w:t>
      </w:r>
      <w:r>
        <w:rPr>
          <w:rFonts w:hint="eastAsia"/>
          <w:u w:val="none"/>
          <w:lang w:val="en-US" w:eastAsia="zh-CN"/>
        </w:rPr>
        <w:t>学习不同的技术</w:t>
      </w:r>
      <w:r>
        <w:rPr>
          <w:rFonts w:hint="default"/>
          <w:u w:val="none"/>
          <w:lang w:val="en-US" w:eastAsia="zh-CN"/>
        </w:rPr>
        <w:t>。大二上学期，我陷入了一段明显的焦虑期，每天刷招聘信息却不敢投递简历</w:t>
      </w:r>
      <w:r>
        <w:rPr>
          <w:rFonts w:hint="eastAsia"/>
          <w:u w:val="none"/>
          <w:lang w:val="en-US" w:eastAsia="zh-CN"/>
        </w:rPr>
        <w:t>，看着保研要求却迟迟不动身</w:t>
      </w:r>
      <w:r>
        <w:rPr>
          <w:rFonts w:hint="default"/>
          <w:u w:val="none"/>
          <w:lang w:val="en-US" w:eastAsia="zh-CN"/>
        </w:rPr>
        <w:t>。后来，我主动约了一位专业课老师聊天，老师告诉我：“你不需要在20岁知道全部答案，但你需要知道下一个问题是什么。”这句话让我意识到，我一直在要求自己“找到终极方向”，而忽略了“尝试-反馈-调整”这个循环本身的价值。</w:t>
      </w:r>
    </w:p>
    <w:p w14:paraId="74CC06BA">
      <w:pPr>
        <w:widowControl w:val="0"/>
        <w:numPr>
          <w:ilvl w:val="0"/>
          <w:numId w:val="0"/>
        </w:numPr>
        <w:jc w:val="both"/>
        <w:rPr>
          <w:rFonts w:hint="default"/>
          <w:u w:val="none"/>
          <w:lang w:val="en-US" w:eastAsia="zh-CN"/>
        </w:rPr>
      </w:pPr>
    </w:p>
    <w:p w14:paraId="198F9AFD">
      <w:pPr>
        <w:widowControl w:val="0"/>
        <w:numPr>
          <w:ilvl w:val="0"/>
          <w:numId w:val="0"/>
        </w:numPr>
        <w:jc w:val="both"/>
        <w:rPr>
          <w:rFonts w:hint="default"/>
          <w:u w:val="none"/>
          <w:lang w:val="en-US" w:eastAsia="zh-CN"/>
        </w:rPr>
      </w:pPr>
      <w:r>
        <w:rPr>
          <w:rFonts w:hint="default"/>
          <w:u w:val="none"/>
          <w:lang w:val="en-US" w:eastAsia="zh-CN"/>
        </w:rPr>
        <w:t>于是我给自己定了一个规则：每学期选择一件最想尝试的事情（比如深度学习一个项目、参与一次实习），投入80%的精力去做，其他事情只保持最低限度的参与。一年下来，我虽然没有完全确定未来的职业，但至少排除了两个不适合的方向（纯代码开发和纯理论研究），并且发现自己更喜欢“解决问题+与人协作”的工作。这个过程中，我逐渐从不健康的认同扩散状态（什么都不想选）转向了积极的心理延缓状态（有方向地试错）。这段经历让我深刻体会到：漂泊不可怕，可怕的是没有检视点的漂泊。</w:t>
      </w:r>
    </w:p>
    <w:p w14:paraId="3D9080ED">
      <w:pPr>
        <w:widowControl w:val="0"/>
        <w:numPr>
          <w:ilvl w:val="0"/>
          <w:numId w:val="0"/>
        </w:numPr>
        <w:jc w:val="both"/>
        <w:rPr>
          <w:rFonts w:hint="default"/>
          <w:u w:val="none"/>
          <w:lang w:val="en-US" w:eastAsia="zh-CN"/>
        </w:rPr>
      </w:pPr>
    </w:p>
    <w:p w14:paraId="4791C4C1">
      <w:pPr>
        <w:widowControl w:val="0"/>
        <w:numPr>
          <w:ilvl w:val="0"/>
          <w:numId w:val="0"/>
        </w:numPr>
        <w:jc w:val="both"/>
        <w:rPr>
          <w:rFonts w:hint="default"/>
          <w:b/>
          <w:bCs/>
          <w:sz w:val="28"/>
          <w:szCs w:val="28"/>
          <w:u w:val="none"/>
          <w:lang w:val="en-US" w:eastAsia="zh-CN"/>
        </w:rPr>
      </w:pPr>
      <w:r>
        <w:rPr>
          <w:rFonts w:hint="default"/>
          <w:b/>
          <w:bCs/>
          <w:sz w:val="28"/>
          <w:szCs w:val="28"/>
          <w:u w:val="none"/>
          <w:lang w:val="en-US" w:eastAsia="zh-CN"/>
        </w:rPr>
        <w:t>五、结语</w:t>
      </w:r>
    </w:p>
    <w:p w14:paraId="3D3E3207">
      <w:pPr>
        <w:widowControl w:val="0"/>
        <w:numPr>
          <w:ilvl w:val="0"/>
          <w:numId w:val="0"/>
        </w:numPr>
        <w:jc w:val="both"/>
        <w:rPr>
          <w:rFonts w:hint="default"/>
          <w:u w:val="none"/>
          <w:lang w:val="en-US" w:eastAsia="zh-CN"/>
        </w:rPr>
      </w:pPr>
      <w:r>
        <w:rPr>
          <w:rFonts w:hint="default"/>
          <w:u w:val="none"/>
          <w:lang w:val="en-US" w:eastAsia="zh-CN"/>
        </w:rPr>
        <w:t>"奥德赛时期"不是一个需要尽快逃离的阶段，而是一段需要认真对待的旅程。从发展心理学的视角来看，自我认同的建立从来不是一个瞬间完成的事件，而是一个在探索中不断修正、在尝试中逐渐清晰的过程</w:t>
      </w:r>
      <w:r>
        <w:rPr>
          <w:rFonts w:hint="default"/>
          <w:u w:val="none"/>
          <w:lang w:val="en-US" w:eastAsia="zh-CN"/>
        </w:rPr>
        <w:fldChar w:fldCharType="begin"/>
      </w:r>
      <w:r>
        <w:rPr>
          <w:rFonts w:hint="default"/>
          <w:u w:val="none"/>
          <w:lang w:val="en-US" w:eastAsia="zh-CN"/>
        </w:rPr>
        <w:instrText xml:space="preserve"> HYPERLINK \l "Kroger" </w:instrText>
      </w:r>
      <w:r>
        <w:rPr>
          <w:rFonts w:hint="default"/>
          <w:u w:val="none"/>
          <w:lang w:val="en-US" w:eastAsia="zh-CN"/>
        </w:rPr>
        <w:fldChar w:fldCharType="separate"/>
      </w:r>
      <w:r>
        <w:rPr>
          <w:rStyle w:val="15"/>
          <w:rFonts w:hint="default"/>
          <w:u w:val="none"/>
          <w:lang w:val="en-US" w:eastAsia="zh-CN"/>
        </w:rPr>
        <w:t>（Kroger, 2007）</w:t>
      </w:r>
      <w:r>
        <w:rPr>
          <w:rFonts w:hint="default"/>
          <w:u w:val="none"/>
          <w:lang w:val="en-US" w:eastAsia="zh-CN"/>
        </w:rPr>
        <w:fldChar w:fldCharType="end"/>
      </w:r>
      <w:r>
        <w:rPr>
          <w:rFonts w:hint="default"/>
          <w:u w:val="none"/>
          <w:lang w:val="en-US" w:eastAsia="zh-CN"/>
        </w:rPr>
        <w:t>。</w:t>
      </w:r>
      <w:r>
        <w:rPr>
          <w:rFonts w:hint="default"/>
          <w:u w:val="none"/>
          <w:lang w:val="en-US" w:eastAsia="zh-CN"/>
        </w:rPr>
        <w:fldChar w:fldCharType="begin"/>
      </w:r>
      <w:r>
        <w:rPr>
          <w:rFonts w:hint="default"/>
          <w:u w:val="none"/>
          <w:lang w:val="en-US" w:eastAsia="zh-CN"/>
        </w:rPr>
        <w:instrText xml:space="preserve"> HYPERLINK \l "Erikson" </w:instrText>
      </w:r>
      <w:r>
        <w:rPr>
          <w:rFonts w:hint="default"/>
          <w:u w:val="none"/>
          <w:lang w:val="en-US" w:eastAsia="zh-CN"/>
        </w:rPr>
        <w:fldChar w:fldCharType="separate"/>
      </w:r>
      <w:r>
        <w:rPr>
          <w:rStyle w:val="15"/>
          <w:rFonts w:hint="default"/>
          <w:u w:val="none"/>
          <w:lang w:val="en-US" w:eastAsia="zh-CN"/>
        </w:rPr>
        <w:t>Erikson（1968）</w:t>
      </w:r>
      <w:r>
        <w:rPr>
          <w:rFonts w:hint="default"/>
          <w:u w:val="none"/>
          <w:lang w:val="en-US" w:eastAsia="zh-CN"/>
        </w:rPr>
        <w:fldChar w:fldCharType="end"/>
      </w:r>
      <w:r>
        <w:rPr>
          <w:rFonts w:hint="default"/>
          <w:u w:val="none"/>
          <w:lang w:val="en-US" w:eastAsia="zh-CN"/>
        </w:rPr>
        <w:t>给了我们理论框架，</w:t>
      </w:r>
      <w:r>
        <w:rPr>
          <w:rFonts w:hint="default"/>
          <w:u w:val="none"/>
          <w:lang w:val="en-US" w:eastAsia="zh-CN"/>
        </w:rPr>
        <w:fldChar w:fldCharType="begin"/>
      </w:r>
      <w:r>
        <w:rPr>
          <w:rFonts w:hint="default"/>
          <w:u w:val="none"/>
          <w:lang w:val="en-US" w:eastAsia="zh-CN"/>
        </w:rPr>
        <w:instrText xml:space="preserve"> HYPERLINK \l "Marcia" </w:instrText>
      </w:r>
      <w:r>
        <w:rPr>
          <w:rFonts w:hint="default"/>
          <w:u w:val="none"/>
          <w:lang w:val="en-US" w:eastAsia="zh-CN"/>
        </w:rPr>
        <w:fldChar w:fldCharType="separate"/>
      </w:r>
      <w:r>
        <w:rPr>
          <w:rStyle w:val="15"/>
          <w:rFonts w:hint="default"/>
          <w:u w:val="none"/>
          <w:lang w:val="en-US" w:eastAsia="zh-CN"/>
        </w:rPr>
        <w:t>Marcia（1966</w:t>
      </w:r>
      <w:r>
        <w:rPr>
          <w:rStyle w:val="15"/>
          <w:rFonts w:hint="eastAsia"/>
          <w:u w:val="none"/>
          <w:lang w:val="en-US" w:eastAsia="zh-CN"/>
        </w:rPr>
        <w:t>）</w:t>
      </w:r>
      <w:r>
        <w:rPr>
          <w:rFonts w:hint="default"/>
          <w:u w:val="none"/>
          <w:lang w:val="en-US" w:eastAsia="zh-CN"/>
        </w:rPr>
        <w:fldChar w:fldCharType="end"/>
      </w:r>
      <w:r>
        <w:rPr>
          <w:rFonts w:hint="default"/>
          <w:u w:val="none"/>
          <w:lang w:val="en-US" w:eastAsia="zh-CN"/>
        </w:rPr>
        <w:t>帮我们辨别了状态，</w:t>
      </w:r>
      <w:r>
        <w:rPr>
          <w:rFonts w:hint="default"/>
          <w:u w:val="none"/>
          <w:lang w:val="en-US" w:eastAsia="zh-CN"/>
        </w:rPr>
        <w:fldChar w:fldCharType="begin"/>
      </w:r>
      <w:r>
        <w:rPr>
          <w:rFonts w:hint="default"/>
          <w:u w:val="none"/>
          <w:lang w:val="en-US" w:eastAsia="zh-CN"/>
        </w:rPr>
        <w:instrText xml:space="preserve"> HYPERLINK \l "Arnett" </w:instrText>
      </w:r>
      <w:r>
        <w:rPr>
          <w:rFonts w:hint="default"/>
          <w:u w:val="none"/>
          <w:lang w:val="en-US" w:eastAsia="zh-CN"/>
        </w:rPr>
        <w:fldChar w:fldCharType="separate"/>
      </w:r>
      <w:r>
        <w:rPr>
          <w:rStyle w:val="15"/>
          <w:rFonts w:hint="default"/>
          <w:u w:val="none"/>
          <w:lang w:val="en-US" w:eastAsia="zh-CN"/>
        </w:rPr>
        <w:t>Arnett（2000）</w:t>
      </w:r>
      <w:r>
        <w:rPr>
          <w:rFonts w:hint="default"/>
          <w:u w:val="none"/>
          <w:lang w:val="en-US" w:eastAsia="zh-CN"/>
        </w:rPr>
        <w:fldChar w:fldCharType="end"/>
      </w:r>
      <w:r>
        <w:rPr>
          <w:rFonts w:hint="default"/>
          <w:u w:val="none"/>
          <w:lang w:val="en-US" w:eastAsia="zh-CN"/>
        </w:rPr>
        <w:t>让我们理解了时代背景——但最终，认同的获得只能由每个人自己来完成。</w:t>
      </w:r>
    </w:p>
    <w:p w14:paraId="30E93C87">
      <w:pPr>
        <w:widowControl w:val="0"/>
        <w:numPr>
          <w:ilvl w:val="0"/>
          <w:numId w:val="0"/>
        </w:numPr>
        <w:jc w:val="both"/>
        <w:rPr>
          <w:rFonts w:hint="default"/>
          <w:u w:val="none"/>
          <w:lang w:val="en-US" w:eastAsia="zh-CN"/>
        </w:rPr>
      </w:pPr>
    </w:p>
    <w:p w14:paraId="1C96BEA8">
      <w:pPr>
        <w:widowControl w:val="0"/>
        <w:numPr>
          <w:ilvl w:val="0"/>
          <w:numId w:val="0"/>
        </w:numPr>
        <w:jc w:val="both"/>
        <w:rPr>
          <w:rFonts w:hint="default"/>
          <w:u w:val="none"/>
          <w:lang w:val="en-US" w:eastAsia="zh-CN"/>
        </w:rPr>
      </w:pPr>
      <w:r>
        <w:rPr>
          <w:rFonts w:hint="default"/>
          <w:u w:val="none"/>
          <w:lang w:val="en-US" w:eastAsia="zh-CN"/>
        </w:rPr>
        <w:t>奥德修斯的漂泊持续了十年，但他终究回到了家。也许对于当代大学生来说，"奥德赛时期"的意义不在于尽快到达终点，而在于在漂泊中学会辨别方向。迷茫不可怕，可怕的是放弃寻找；试错不可怕，可怕的是试过之后不反思。只要探索是主动的、反思是持续的、支持是可及的，那么"奥德赛时期"终将成为自我认同故事中，最丰富也最宝贵的一章。</w:t>
      </w:r>
    </w:p>
    <w:p w14:paraId="1F42AE4B">
      <w:pPr>
        <w:widowControl w:val="0"/>
        <w:numPr>
          <w:ilvl w:val="0"/>
          <w:numId w:val="0"/>
        </w:numPr>
        <w:jc w:val="both"/>
        <w:rPr>
          <w:rFonts w:hint="default"/>
          <w:u w:val="none"/>
          <w:lang w:val="en-US" w:eastAsia="zh-CN"/>
        </w:rPr>
      </w:pPr>
    </w:p>
    <w:p w14:paraId="051AD802">
      <w:pPr>
        <w:widowControl w:val="0"/>
        <w:numPr>
          <w:ilvl w:val="0"/>
          <w:numId w:val="0"/>
        </w:numPr>
        <w:jc w:val="both"/>
        <w:rPr>
          <w:rFonts w:hint="default"/>
          <w:u w:val="none"/>
          <w:lang w:val="en-US" w:eastAsia="zh-CN"/>
        </w:rPr>
      </w:pPr>
      <w:r>
        <w:rPr>
          <w:rFonts w:hint="default"/>
          <w:u w:val="none"/>
          <w:lang w:val="en-US" w:eastAsia="zh-CN"/>
        </w:rPr>
        <w:t>漂泊不是目的，锚定才是方向。</w:t>
      </w:r>
    </w:p>
    <w:p w14:paraId="47CCB29E">
      <w:pPr>
        <w:widowControl w:val="0"/>
        <w:numPr>
          <w:ilvl w:val="0"/>
          <w:numId w:val="0"/>
        </w:numPr>
        <w:jc w:val="both"/>
        <w:rPr>
          <w:rFonts w:hint="default"/>
          <w:u w:val="none"/>
          <w:lang w:val="en-US" w:eastAsia="zh-CN"/>
        </w:rPr>
      </w:pPr>
    </w:p>
    <w:p w14:paraId="4BC14C01">
      <w:pPr>
        <w:widowControl w:val="0"/>
        <w:numPr>
          <w:ilvl w:val="0"/>
          <w:numId w:val="0"/>
        </w:numPr>
        <w:jc w:val="both"/>
        <w:rPr>
          <w:rFonts w:hint="default"/>
          <w:b/>
          <w:bCs/>
          <w:sz w:val="28"/>
          <w:szCs w:val="28"/>
          <w:u w:val="none"/>
          <w:lang w:val="en-US" w:eastAsia="zh-CN"/>
        </w:rPr>
      </w:pPr>
      <w:r>
        <w:rPr>
          <w:rFonts w:hint="default"/>
          <w:b/>
          <w:bCs/>
          <w:sz w:val="28"/>
          <w:szCs w:val="28"/>
          <w:u w:val="none"/>
          <w:lang w:val="en-US" w:eastAsia="zh-CN"/>
        </w:rPr>
        <w:t>参考文献</w:t>
      </w:r>
    </w:p>
    <w:p w14:paraId="1280BA39">
      <w:pPr>
        <w:widowControl w:val="0"/>
        <w:numPr>
          <w:ilvl w:val="0"/>
          <w:numId w:val="0"/>
        </w:numPr>
        <w:jc w:val="both"/>
        <w:rPr>
          <w:rFonts w:hint="default"/>
          <w:b w:val="0"/>
          <w:bCs w:val="0"/>
          <w:sz w:val="21"/>
          <w:szCs w:val="21"/>
          <w:u w:val="none"/>
          <w:lang w:val="en-US" w:eastAsia="zh-CN"/>
        </w:rPr>
      </w:pPr>
      <w:bookmarkStart w:id="5" w:name="Arnett"/>
      <w:r>
        <w:rPr>
          <w:rFonts w:hint="default"/>
          <w:b w:val="0"/>
          <w:bCs w:val="0"/>
          <w:sz w:val="21"/>
          <w:szCs w:val="21"/>
          <w:u w:val="none"/>
          <w:lang w:val="en-US" w:eastAsia="zh-CN"/>
        </w:rPr>
        <w:t>[1] Arnett, J. J. (2000). Emerging adulthood: A theory of development from the late teens through the twenties. American Psychologist, 55(5), 469–480.</w:t>
      </w:r>
    </w:p>
    <w:bookmarkEnd w:id="5"/>
    <w:p w14:paraId="2B74A71B">
      <w:pPr>
        <w:widowControl w:val="0"/>
        <w:numPr>
          <w:ilvl w:val="0"/>
          <w:numId w:val="0"/>
        </w:numPr>
        <w:jc w:val="both"/>
        <w:rPr>
          <w:rFonts w:hint="default"/>
          <w:b w:val="0"/>
          <w:bCs w:val="0"/>
          <w:sz w:val="21"/>
          <w:szCs w:val="21"/>
          <w:u w:val="none"/>
          <w:lang w:val="en-US" w:eastAsia="zh-CN"/>
        </w:rPr>
      </w:pPr>
    </w:p>
    <w:p w14:paraId="5D29FEEF">
      <w:pPr>
        <w:widowControl w:val="0"/>
        <w:numPr>
          <w:ilvl w:val="0"/>
          <w:numId w:val="0"/>
        </w:numPr>
        <w:jc w:val="both"/>
        <w:rPr>
          <w:rFonts w:hint="default"/>
          <w:b w:val="0"/>
          <w:bCs w:val="0"/>
          <w:sz w:val="21"/>
          <w:szCs w:val="21"/>
          <w:u w:val="none"/>
          <w:lang w:val="en-US" w:eastAsia="zh-CN"/>
        </w:rPr>
      </w:pPr>
      <w:bookmarkStart w:id="6" w:name="Erikson"/>
      <w:r>
        <w:rPr>
          <w:rFonts w:hint="default"/>
          <w:b w:val="0"/>
          <w:bCs w:val="0"/>
          <w:sz w:val="21"/>
          <w:szCs w:val="21"/>
          <w:u w:val="none"/>
          <w:lang w:val="en-US" w:eastAsia="zh-CN"/>
        </w:rPr>
        <w:t>[2] Erikson, E. H. (1968). Identity: Youth and crisis. Norton.</w:t>
      </w:r>
    </w:p>
    <w:bookmarkEnd w:id="6"/>
    <w:p w14:paraId="4A9445A3">
      <w:pPr>
        <w:widowControl w:val="0"/>
        <w:numPr>
          <w:ilvl w:val="0"/>
          <w:numId w:val="0"/>
        </w:numPr>
        <w:jc w:val="both"/>
        <w:rPr>
          <w:rFonts w:hint="default"/>
          <w:b w:val="0"/>
          <w:bCs w:val="0"/>
          <w:sz w:val="21"/>
          <w:szCs w:val="21"/>
          <w:u w:val="none"/>
          <w:lang w:val="en-US" w:eastAsia="zh-CN"/>
        </w:rPr>
      </w:pPr>
    </w:p>
    <w:p w14:paraId="4BE03097">
      <w:pPr>
        <w:widowControl w:val="0"/>
        <w:numPr>
          <w:ilvl w:val="0"/>
          <w:numId w:val="0"/>
        </w:numPr>
        <w:jc w:val="both"/>
        <w:rPr>
          <w:rFonts w:hint="default"/>
          <w:b w:val="0"/>
          <w:bCs w:val="0"/>
          <w:sz w:val="21"/>
          <w:szCs w:val="21"/>
          <w:u w:val="none"/>
          <w:lang w:val="en-US" w:eastAsia="zh-CN"/>
        </w:rPr>
      </w:pPr>
      <w:bookmarkStart w:id="7" w:name="Festinger"/>
      <w:r>
        <w:rPr>
          <w:rFonts w:hint="default"/>
          <w:b w:val="0"/>
          <w:bCs w:val="0"/>
          <w:sz w:val="21"/>
          <w:szCs w:val="21"/>
          <w:u w:val="none"/>
          <w:lang w:val="en-US" w:eastAsia="zh-CN"/>
        </w:rPr>
        <w:t>[3] Festinger, L. (1954). A theory of social comparison processes. Human Relations, 7(2), 117–140.</w:t>
      </w:r>
    </w:p>
    <w:bookmarkEnd w:id="7"/>
    <w:p w14:paraId="0E2B47F6">
      <w:pPr>
        <w:widowControl w:val="0"/>
        <w:numPr>
          <w:ilvl w:val="0"/>
          <w:numId w:val="0"/>
        </w:numPr>
        <w:jc w:val="both"/>
        <w:rPr>
          <w:rFonts w:hint="default"/>
          <w:b w:val="0"/>
          <w:bCs w:val="0"/>
          <w:sz w:val="21"/>
          <w:szCs w:val="21"/>
          <w:u w:val="none"/>
          <w:lang w:val="en-US" w:eastAsia="zh-CN"/>
        </w:rPr>
      </w:pPr>
    </w:p>
    <w:p w14:paraId="4120FB92">
      <w:pPr>
        <w:widowControl w:val="0"/>
        <w:numPr>
          <w:ilvl w:val="0"/>
          <w:numId w:val="0"/>
        </w:numPr>
        <w:jc w:val="both"/>
        <w:rPr>
          <w:rFonts w:hint="default"/>
          <w:b w:val="0"/>
          <w:bCs w:val="0"/>
          <w:sz w:val="21"/>
          <w:szCs w:val="21"/>
          <w:u w:val="none"/>
          <w:lang w:val="en-US" w:eastAsia="zh-CN"/>
        </w:rPr>
      </w:pPr>
      <w:bookmarkStart w:id="8" w:name="Kroger"/>
      <w:r>
        <w:rPr>
          <w:rFonts w:hint="default"/>
          <w:b w:val="0"/>
          <w:bCs w:val="0"/>
          <w:sz w:val="21"/>
          <w:szCs w:val="21"/>
          <w:u w:val="none"/>
          <w:lang w:val="en-US" w:eastAsia="zh-CN"/>
        </w:rPr>
        <w:t>[4] Kroger, J. (2007). Identity development: Adolescence through adulthood (2nd ed.). Sage.</w:t>
      </w:r>
    </w:p>
    <w:bookmarkEnd w:id="8"/>
    <w:p w14:paraId="47667C2B">
      <w:pPr>
        <w:widowControl w:val="0"/>
        <w:numPr>
          <w:ilvl w:val="0"/>
          <w:numId w:val="0"/>
        </w:numPr>
        <w:jc w:val="both"/>
        <w:rPr>
          <w:rFonts w:hint="default"/>
          <w:b w:val="0"/>
          <w:bCs w:val="0"/>
          <w:sz w:val="21"/>
          <w:szCs w:val="21"/>
          <w:u w:val="none"/>
          <w:lang w:val="en-US" w:eastAsia="zh-CN"/>
        </w:rPr>
      </w:pPr>
    </w:p>
    <w:p w14:paraId="569C50AA">
      <w:pPr>
        <w:widowControl w:val="0"/>
        <w:numPr>
          <w:ilvl w:val="0"/>
          <w:numId w:val="0"/>
        </w:numPr>
        <w:jc w:val="both"/>
        <w:rPr>
          <w:rFonts w:hint="default"/>
          <w:b w:val="0"/>
          <w:bCs w:val="0"/>
          <w:sz w:val="21"/>
          <w:szCs w:val="21"/>
          <w:u w:val="none"/>
          <w:lang w:val="en-US" w:eastAsia="zh-CN"/>
        </w:rPr>
      </w:pPr>
      <w:bookmarkStart w:id="9" w:name="Marcia"/>
      <w:r>
        <w:rPr>
          <w:rFonts w:hint="default"/>
          <w:b w:val="0"/>
          <w:bCs w:val="0"/>
          <w:sz w:val="21"/>
          <w:szCs w:val="21"/>
          <w:u w:val="none"/>
          <w:lang w:val="en-US" w:eastAsia="zh-CN"/>
        </w:rPr>
        <w:t>[5] Marcia, J. E. (1966). Development and validation of ego-identity status. Journal of Personality and Social Psychology, 3(5), 551–558.</w:t>
      </w:r>
    </w:p>
    <w:bookmarkEnd w:id="9"/>
    <w:p w14:paraId="776A344B">
      <w:pPr>
        <w:widowControl w:val="0"/>
        <w:numPr>
          <w:ilvl w:val="0"/>
          <w:numId w:val="0"/>
        </w:numPr>
        <w:jc w:val="both"/>
        <w:rPr>
          <w:rFonts w:hint="default"/>
          <w:b w:val="0"/>
          <w:bCs w:val="0"/>
          <w:sz w:val="21"/>
          <w:szCs w:val="21"/>
          <w:u w:val="none"/>
          <w:lang w:val="en-US" w:eastAsia="zh-CN"/>
        </w:rPr>
      </w:pPr>
    </w:p>
    <w:p w14:paraId="334F770A">
      <w:pPr>
        <w:widowControl w:val="0"/>
        <w:numPr>
          <w:ilvl w:val="0"/>
          <w:numId w:val="0"/>
        </w:numPr>
        <w:jc w:val="both"/>
        <w:rPr>
          <w:rFonts w:hint="default"/>
          <w:b w:val="0"/>
          <w:bCs w:val="0"/>
          <w:sz w:val="21"/>
          <w:szCs w:val="21"/>
          <w:u w:val="none"/>
          <w:lang w:val="en-US" w:eastAsia="zh-CN"/>
        </w:rPr>
      </w:pPr>
      <w:bookmarkStart w:id="10" w:name="Schwartz"/>
      <w:r>
        <w:rPr>
          <w:rFonts w:hint="default"/>
          <w:b w:val="0"/>
          <w:bCs w:val="0"/>
          <w:sz w:val="21"/>
          <w:szCs w:val="21"/>
          <w:u w:val="none"/>
          <w:lang w:val="en-US" w:eastAsia="zh-CN"/>
        </w:rPr>
        <w:t>[6] Schwartz, B. (2004). The paradox of choice: Why more is less. Ecco.</w:t>
      </w:r>
    </w:p>
    <w:bookmarkEnd w:id="10"/>
    <w:p w14:paraId="488FC3CE">
      <w:pPr>
        <w:widowControl w:val="0"/>
        <w:numPr>
          <w:ilvl w:val="0"/>
          <w:numId w:val="0"/>
        </w:numPr>
        <w:jc w:val="both"/>
        <w:rPr>
          <w:rFonts w:hint="default"/>
          <w:b w:val="0"/>
          <w:bCs w:val="0"/>
          <w:sz w:val="21"/>
          <w:szCs w:val="21"/>
          <w:u w:val="none"/>
          <w:lang w:val="en-US" w:eastAsia="zh-CN"/>
        </w:rPr>
      </w:pPr>
    </w:p>
    <w:p w14:paraId="0806D907">
      <w:pPr>
        <w:widowControl w:val="0"/>
        <w:numPr>
          <w:ilvl w:val="0"/>
          <w:numId w:val="0"/>
        </w:numPr>
        <w:jc w:val="both"/>
        <w:rPr>
          <w:rFonts w:hint="default"/>
          <w:b w:val="0"/>
          <w:bCs w:val="0"/>
          <w:sz w:val="21"/>
          <w:szCs w:val="21"/>
          <w:u w:val="none"/>
          <w:lang w:val="en-US" w:eastAsia="zh-CN"/>
        </w:rPr>
      </w:pPr>
      <w:bookmarkStart w:id="11" w:name="王树青"/>
      <w:r>
        <w:rPr>
          <w:rFonts w:hint="default"/>
          <w:b w:val="0"/>
          <w:bCs w:val="0"/>
          <w:sz w:val="21"/>
          <w:szCs w:val="21"/>
          <w:u w:val="none"/>
          <w:lang w:val="en-US" w:eastAsia="zh-CN"/>
        </w:rPr>
        <w:t>[7] 王树青, 张文新, 张玲玲. (2007). 大学生自我同一性状态与同一性风格、亲子沟通的关系. 心理发展与教育, 23(1), 59–65.</w:t>
      </w:r>
    </w:p>
    <w:bookmarkEnd w:id="11"/>
    <w:p w14:paraId="00121663">
      <w:pPr>
        <w:widowControl w:val="0"/>
        <w:numPr>
          <w:ilvl w:val="0"/>
          <w:numId w:val="0"/>
        </w:numPr>
        <w:jc w:val="both"/>
        <w:rPr>
          <w:rFonts w:hint="default"/>
          <w:b w:val="0"/>
          <w:bCs w:val="0"/>
          <w:sz w:val="21"/>
          <w:szCs w:val="21"/>
          <w:u w:val="none"/>
          <w:lang w:val="en-US" w:eastAsia="zh-CN"/>
        </w:rPr>
      </w:pPr>
    </w:p>
    <w:p w14:paraId="1A89D9A8">
      <w:pPr>
        <w:widowControl w:val="0"/>
        <w:numPr>
          <w:ilvl w:val="0"/>
          <w:numId w:val="0"/>
        </w:numPr>
        <w:jc w:val="both"/>
        <w:rPr>
          <w:rFonts w:hint="default"/>
          <w:b w:val="0"/>
          <w:bCs w:val="0"/>
          <w:sz w:val="21"/>
          <w:szCs w:val="21"/>
          <w:u w:val="none"/>
          <w:lang w:val="en-US" w:eastAsia="zh-CN"/>
        </w:rPr>
      </w:pPr>
      <w:bookmarkStart w:id="12" w:name="雷雳"/>
      <w:r>
        <w:rPr>
          <w:rFonts w:hint="default"/>
          <w:b w:val="0"/>
          <w:bCs w:val="0"/>
          <w:sz w:val="21"/>
          <w:szCs w:val="21"/>
          <w:u w:val="none"/>
          <w:lang w:val="en-US" w:eastAsia="zh-CN"/>
        </w:rPr>
        <w:t>[8] 雷雳. (2013). 发展心理学 (第2版). 中国人民大学出版社.</w:t>
      </w:r>
      <w:bookmarkEnd w:id="12"/>
    </w:p>
    <w:sectPr>
      <w:footerReference r:id="rId3" w:type="default"/>
      <w:pgSz w:w="11906" w:h="16838"/>
      <w:pgMar w:top="794" w:right="1418" w:bottom="794" w:left="1418" w:header="794" w:footer="79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00"/>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D9E92">
    <w:pPr>
      <w:pStyle w:val="6"/>
      <w:jc w:val="center"/>
      <w:rPr>
        <w:rFonts w:hint="eastAsia"/>
        <w:sz w:val="21"/>
        <w:szCs w:val="21"/>
      </w:rPr>
    </w:pPr>
    <w:r>
      <w:rPr>
        <w:rFonts w:hint="eastAsia"/>
        <w:sz w:val="21"/>
        <w:szCs w:val="21"/>
      </w:rPr>
      <w:t>第</w:t>
    </w:r>
    <w:r>
      <w:rPr>
        <w:rStyle w:val="13"/>
        <w:sz w:val="21"/>
        <w:szCs w:val="21"/>
      </w:rPr>
      <w:fldChar w:fldCharType="begin"/>
    </w:r>
    <w:r>
      <w:rPr>
        <w:rStyle w:val="13"/>
        <w:sz w:val="21"/>
        <w:szCs w:val="21"/>
      </w:rPr>
      <w:instrText xml:space="preserve"> PAGE </w:instrText>
    </w:r>
    <w:r>
      <w:rPr>
        <w:rStyle w:val="13"/>
        <w:sz w:val="21"/>
        <w:szCs w:val="21"/>
      </w:rPr>
      <w:fldChar w:fldCharType="separate"/>
    </w:r>
    <w:r>
      <w:rPr>
        <w:rStyle w:val="13"/>
        <w:sz w:val="21"/>
        <w:szCs w:val="21"/>
      </w:rPr>
      <w:t>1</w:t>
    </w:r>
    <w:r>
      <w:rPr>
        <w:rStyle w:val="13"/>
        <w:sz w:val="21"/>
        <w:szCs w:val="21"/>
      </w:rPr>
      <w:fldChar w:fldCharType="end"/>
    </w:r>
    <w:r>
      <w:rPr>
        <w:rFonts w:hint="eastAsia"/>
        <w:sz w:val="21"/>
        <w:szCs w:val="21"/>
      </w:rPr>
      <w:t>页  共</w:t>
    </w:r>
    <w:r>
      <w:rPr>
        <w:rStyle w:val="13"/>
        <w:sz w:val="21"/>
        <w:szCs w:val="21"/>
      </w:rPr>
      <w:fldChar w:fldCharType="begin"/>
    </w:r>
    <w:r>
      <w:rPr>
        <w:rStyle w:val="13"/>
        <w:sz w:val="21"/>
        <w:szCs w:val="21"/>
      </w:rPr>
      <w:instrText xml:space="preserve"> NUMPAGES </w:instrText>
    </w:r>
    <w:r>
      <w:rPr>
        <w:rStyle w:val="13"/>
        <w:sz w:val="21"/>
        <w:szCs w:val="21"/>
      </w:rPr>
      <w:fldChar w:fldCharType="separate"/>
    </w:r>
    <w:r>
      <w:rPr>
        <w:rStyle w:val="13"/>
        <w:sz w:val="21"/>
        <w:szCs w:val="21"/>
      </w:rPr>
      <w:t>1</w:t>
    </w:r>
    <w:r>
      <w:rPr>
        <w:rStyle w:val="13"/>
        <w:sz w:val="21"/>
        <w:szCs w:val="21"/>
      </w:rPr>
      <w:fldChar w:fldCharType="end"/>
    </w:r>
    <w:r>
      <w:rPr>
        <w:rFonts w:hint="eastAsia"/>
        <w:sz w:val="21"/>
        <w:szCs w:val="21"/>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EA85C"/>
    <w:multiLevelType w:val="singleLevel"/>
    <w:tmpl w:val="FFFEA85C"/>
    <w:lvl w:ilvl="0" w:tentative="0">
      <w:start w:val="1"/>
      <w:numFmt w:val="chineseCounting"/>
      <w:suff w:val="nothing"/>
      <w:lvlText w:val="（%1）"/>
      <w:lvlJc w:val="left"/>
      <w:rPr>
        <w:rFonts w:hint="eastAsia"/>
      </w:rPr>
    </w:lvl>
  </w:abstractNum>
  <w:abstractNum w:abstractNumId="1">
    <w:nsid w:val="37BE85B5"/>
    <w:multiLevelType w:val="singleLevel"/>
    <w:tmpl w:val="37BE85B5"/>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yZmNhZmMwYTRkMzdjNDc0ZDBiODA4ZTNmNjg2YzYifQ=="/>
  </w:docVars>
  <w:rsids>
    <w:rsidRoot w:val="00BD2D65"/>
    <w:rsid w:val="00076B80"/>
    <w:rsid w:val="000E0A9E"/>
    <w:rsid w:val="00115C0D"/>
    <w:rsid w:val="0013004F"/>
    <w:rsid w:val="001E0B7E"/>
    <w:rsid w:val="002036FB"/>
    <w:rsid w:val="002A112E"/>
    <w:rsid w:val="00324F57"/>
    <w:rsid w:val="00326D45"/>
    <w:rsid w:val="00351741"/>
    <w:rsid w:val="00541EF0"/>
    <w:rsid w:val="00596538"/>
    <w:rsid w:val="006114E2"/>
    <w:rsid w:val="00663530"/>
    <w:rsid w:val="006F6585"/>
    <w:rsid w:val="006F76AA"/>
    <w:rsid w:val="008019C5"/>
    <w:rsid w:val="008A59E8"/>
    <w:rsid w:val="008C2E0B"/>
    <w:rsid w:val="00963E92"/>
    <w:rsid w:val="00A46A58"/>
    <w:rsid w:val="00B259DE"/>
    <w:rsid w:val="00BC5CB6"/>
    <w:rsid w:val="00BD2D65"/>
    <w:rsid w:val="00D42BE6"/>
    <w:rsid w:val="00DB34E7"/>
    <w:rsid w:val="00E24B25"/>
    <w:rsid w:val="00E602E6"/>
    <w:rsid w:val="00E71FF4"/>
    <w:rsid w:val="00F4498F"/>
    <w:rsid w:val="07F15367"/>
    <w:rsid w:val="17E777D0"/>
    <w:rsid w:val="27FE7587"/>
    <w:rsid w:val="2D7F0901"/>
    <w:rsid w:val="2FFBEF9C"/>
    <w:rsid w:val="3B3711A7"/>
    <w:rsid w:val="5AED35E2"/>
    <w:rsid w:val="5C7470E0"/>
    <w:rsid w:val="6495635A"/>
    <w:rsid w:val="66FF7AC0"/>
    <w:rsid w:val="6F6B1E9F"/>
    <w:rsid w:val="76F777DC"/>
    <w:rsid w:val="76FB4009"/>
    <w:rsid w:val="77FFF30D"/>
    <w:rsid w:val="7D7DAA18"/>
    <w:rsid w:val="7D7FB654"/>
    <w:rsid w:val="8D7D6B49"/>
    <w:rsid w:val="9CFE8130"/>
    <w:rsid w:val="AF76DF89"/>
    <w:rsid w:val="B7DADB74"/>
    <w:rsid w:val="BE0B98B9"/>
    <w:rsid w:val="C5DC4369"/>
    <w:rsid w:val="DFEFB2BE"/>
    <w:rsid w:val="E4BB88D2"/>
    <w:rsid w:val="FDE7262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Balloon Text"/>
    <w:basedOn w:val="1"/>
    <w:semiHidden/>
    <w:uiPriority w:val="0"/>
    <w:rPr>
      <w:sz w:val="18"/>
      <w:szCs w:val="18"/>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iPriority w:val="0"/>
    <w:rPr>
      <w:sz w:val="24"/>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page number"/>
    <w:basedOn w:val="11"/>
    <w:uiPriority w:val="0"/>
  </w:style>
  <w:style w:type="character" w:styleId="14">
    <w:name w:val="Emphasis"/>
    <w:basedOn w:val="11"/>
    <w:qFormat/>
    <w:uiPriority w:val="0"/>
    <w:rPr>
      <w:i/>
    </w:rPr>
  </w:style>
  <w:style w:type="character" w:styleId="15">
    <w:name w:val="Hyperlink"/>
    <w:basedOn w:val="11"/>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5080</Words>
  <Characters>5836</Characters>
  <Lines>1</Lines>
  <Paragraphs>1</Paragraphs>
  <TotalTime>6</TotalTime>
  <ScaleCrop>false</ScaleCrop>
  <LinksUpToDate>false</LinksUpToDate>
  <CharactersWithSpaces>5958</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2007-05-19T01:09:00Z</dcterms:created>
  <dc:creator>DengBingZhong</dc:creator>
  <cp:lastModifiedBy>WPS_1647091957</cp:lastModifiedBy>
  <cp:lastPrinted>2007-05-19T01:51:00Z</cp:lastPrinted>
  <dcterms:modified xsi:type="dcterms:W3CDTF">2026-06-08T19:17:15Z</dcterms:modified>
  <dc:title>深圳大学考试答题纸</dc:title>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5FA1941B955C5395C4F2236A49F618E7_43</vt:lpwstr>
  </property>
  <property fmtid="{D5CDD505-2E9C-101B-9397-08002B2CF9AE}" pid="4" name="KSOTemplateDocerSaveRecord">
    <vt:lpwstr>eyJoZGlkIjoiYjkyZmNhZmMwYTRkMzdjNDc0ZDBiODA4ZTNmNjg2YzYiLCJ1c2VySWQiOiIxMjExMzgxNDgzIn0=</vt:lpwstr>
  </property>
</Properties>
</file>