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D8E083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深圳大学考试答题纸</w:t>
      </w:r>
    </w:p>
    <w:p w14:paraId="4A2A0E4E">
      <w:pPr>
        <w:jc w:val="center"/>
        <w:rPr>
          <w:sz w:val="10"/>
          <w:szCs w:val="10"/>
        </w:rPr>
      </w:pPr>
      <w:r>
        <w:rPr>
          <w:rFonts w:hint="eastAsia"/>
          <w:sz w:val="24"/>
        </w:rPr>
        <w:t>(以论文、报告等形式考核专用)</w:t>
      </w:r>
      <w:r>
        <w:rPr>
          <w:sz w:val="24"/>
        </w:rPr>
        <w:br w:type="textWrapping"/>
      </w:r>
      <w:r>
        <w:rPr>
          <w:rFonts w:hint="eastAsia"/>
          <w:sz w:val="24"/>
        </w:rPr>
        <w:t>二○</w:t>
      </w:r>
      <w:r>
        <w:rPr>
          <w:rFonts w:hint="eastAsia"/>
          <w:sz w:val="24"/>
          <w:u w:val="single"/>
        </w:rPr>
        <w:t xml:space="preserve"> 二五  </w:t>
      </w:r>
      <w:r>
        <w:rPr>
          <w:rFonts w:hint="eastAsia"/>
          <w:sz w:val="24"/>
        </w:rPr>
        <w:t>～二○</w:t>
      </w:r>
      <w:r>
        <w:rPr>
          <w:rFonts w:hint="eastAsia"/>
          <w:sz w:val="24"/>
          <w:u w:val="single"/>
        </w:rPr>
        <w:t xml:space="preserve"> 二六    </w:t>
      </w:r>
      <w:r>
        <w:rPr>
          <w:rFonts w:hint="eastAsia"/>
          <w:sz w:val="24"/>
        </w:rPr>
        <w:t xml:space="preserve">  学年度第</w:t>
      </w:r>
      <w:r>
        <w:rPr>
          <w:rFonts w:hint="eastAsia"/>
          <w:sz w:val="24"/>
          <w:u w:val="single"/>
        </w:rPr>
        <w:t xml:space="preserve"> 一 </w:t>
      </w:r>
      <w:r>
        <w:rPr>
          <w:rFonts w:hint="eastAsia"/>
          <w:sz w:val="24"/>
        </w:rPr>
        <w:t>学期</w:t>
      </w:r>
    </w:p>
    <w:tbl>
      <w:tblPr>
        <w:tblStyle w:val="6"/>
        <w:tblW w:w="936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5"/>
        <w:gridCol w:w="78"/>
        <w:gridCol w:w="836"/>
        <w:gridCol w:w="244"/>
        <w:gridCol w:w="607"/>
        <w:gridCol w:w="414"/>
        <w:gridCol w:w="11"/>
        <w:gridCol w:w="1089"/>
        <w:gridCol w:w="45"/>
        <w:gridCol w:w="1494"/>
        <w:gridCol w:w="349"/>
        <w:gridCol w:w="1134"/>
        <w:gridCol w:w="690"/>
        <w:gridCol w:w="160"/>
        <w:gridCol w:w="709"/>
        <w:gridCol w:w="427"/>
      </w:tblGrid>
      <w:tr w14:paraId="39A8F4B0">
        <w:trPr>
          <w:trHeight w:val="397" w:hRule="atLeast"/>
          <w:jc w:val="center"/>
        </w:trPr>
        <w:tc>
          <w:tcPr>
            <w:tcW w:w="1075" w:type="dxa"/>
            <w:vAlign w:val="center"/>
          </w:tcPr>
          <w:p w14:paraId="4A73A4F8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课程编号</w:t>
            </w:r>
          </w:p>
        </w:tc>
        <w:tc>
          <w:tcPr>
            <w:tcW w:w="914" w:type="dxa"/>
            <w:gridSpan w:val="2"/>
            <w:tcBorders>
              <w:bottom w:val="single" w:color="auto" w:sz="4" w:space="0"/>
            </w:tcBorders>
            <w:vAlign w:val="center"/>
          </w:tcPr>
          <w:p w14:paraId="518CA7BE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1500430001</w:t>
            </w:r>
          </w:p>
        </w:tc>
        <w:tc>
          <w:tcPr>
            <w:tcW w:w="851" w:type="dxa"/>
            <w:gridSpan w:val="2"/>
            <w:vAlign w:val="center"/>
          </w:tcPr>
          <w:p w14:paraId="1C0C0236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课序号</w:t>
            </w:r>
          </w:p>
        </w:tc>
        <w:tc>
          <w:tcPr>
            <w:tcW w:w="425" w:type="dxa"/>
            <w:gridSpan w:val="2"/>
            <w:tcBorders>
              <w:bottom w:val="single" w:color="auto" w:sz="4" w:space="0"/>
            </w:tcBorders>
            <w:vAlign w:val="center"/>
          </w:tcPr>
          <w:p w14:paraId="13BD9176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02</w:t>
            </w:r>
          </w:p>
        </w:tc>
        <w:tc>
          <w:tcPr>
            <w:tcW w:w="1134" w:type="dxa"/>
            <w:gridSpan w:val="2"/>
            <w:vAlign w:val="center"/>
          </w:tcPr>
          <w:p w14:paraId="6A82060D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课程名称</w:t>
            </w:r>
          </w:p>
        </w:tc>
        <w:tc>
          <w:tcPr>
            <w:tcW w:w="1843" w:type="dxa"/>
            <w:gridSpan w:val="2"/>
            <w:tcBorders>
              <w:bottom w:val="single" w:color="auto" w:sz="4" w:space="0"/>
            </w:tcBorders>
            <w:vAlign w:val="center"/>
          </w:tcPr>
          <w:p w14:paraId="192F04AE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专业英语</w:t>
            </w:r>
          </w:p>
        </w:tc>
        <w:tc>
          <w:tcPr>
            <w:tcW w:w="1134" w:type="dxa"/>
            <w:tcBorders>
              <w:left w:val="nil"/>
            </w:tcBorders>
            <w:vAlign w:val="center"/>
          </w:tcPr>
          <w:p w14:paraId="3BD34687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主讲教师</w:t>
            </w:r>
          </w:p>
        </w:tc>
        <w:tc>
          <w:tcPr>
            <w:tcW w:w="850" w:type="dxa"/>
            <w:gridSpan w:val="2"/>
            <w:tcBorders>
              <w:left w:val="nil"/>
              <w:bottom w:val="single" w:color="auto" w:sz="4" w:space="0"/>
            </w:tcBorders>
            <w:vAlign w:val="center"/>
          </w:tcPr>
          <w:p w14:paraId="33456F2D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杨景媛</w:t>
            </w:r>
          </w:p>
        </w:tc>
        <w:tc>
          <w:tcPr>
            <w:tcW w:w="709" w:type="dxa"/>
            <w:vAlign w:val="center"/>
          </w:tcPr>
          <w:p w14:paraId="09C6EBCA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评分</w:t>
            </w:r>
          </w:p>
        </w:tc>
        <w:tc>
          <w:tcPr>
            <w:tcW w:w="427" w:type="dxa"/>
            <w:tcBorders>
              <w:bottom w:val="single" w:color="auto" w:sz="4" w:space="0"/>
            </w:tcBorders>
            <w:vAlign w:val="center"/>
          </w:tcPr>
          <w:p w14:paraId="2F506113">
            <w:pPr>
              <w:rPr>
                <w:rFonts w:eastAsia="楷体_GB2312"/>
                <w:sz w:val="24"/>
              </w:rPr>
            </w:pPr>
          </w:p>
        </w:tc>
      </w:tr>
      <w:tr w14:paraId="5DD20EEA">
        <w:trPr>
          <w:trHeight w:val="397" w:hRule="atLeast"/>
          <w:jc w:val="center"/>
        </w:trPr>
        <w:tc>
          <w:tcPr>
            <w:tcW w:w="1075" w:type="dxa"/>
            <w:vAlign w:val="bottom"/>
          </w:tcPr>
          <w:p w14:paraId="21BFD529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学    号</w:t>
            </w:r>
          </w:p>
        </w:tc>
        <w:tc>
          <w:tcPr>
            <w:tcW w:w="1158" w:type="dxa"/>
            <w:gridSpan w:val="3"/>
            <w:tcBorders>
              <w:bottom w:val="single" w:color="auto" w:sz="4" w:space="0"/>
            </w:tcBorders>
            <w:vAlign w:val="bottom"/>
          </w:tcPr>
          <w:p w14:paraId="57615BD6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2024150040</w:t>
            </w:r>
          </w:p>
        </w:tc>
        <w:tc>
          <w:tcPr>
            <w:tcW w:w="1021" w:type="dxa"/>
            <w:gridSpan w:val="2"/>
            <w:vAlign w:val="bottom"/>
          </w:tcPr>
          <w:p w14:paraId="4D0D07B1">
            <w:pPr>
              <w:pStyle w:val="12"/>
              <w:numPr>
                <w:ilvl w:val="0"/>
                <w:numId w:val="1"/>
              </w:numPr>
              <w:ind w:firstLineChars="0"/>
              <w:jc w:val="right"/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姓名</w:t>
            </w:r>
          </w:p>
        </w:tc>
        <w:tc>
          <w:tcPr>
            <w:tcW w:w="1100" w:type="dxa"/>
            <w:gridSpan w:val="2"/>
            <w:tcBorders>
              <w:bottom w:val="single" w:color="auto" w:sz="4" w:space="0"/>
            </w:tcBorders>
            <w:vAlign w:val="bottom"/>
          </w:tcPr>
          <w:p w14:paraId="07ED012C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邓瑞霖</w:t>
            </w:r>
          </w:p>
        </w:tc>
        <w:tc>
          <w:tcPr>
            <w:tcW w:w="1539" w:type="dxa"/>
            <w:gridSpan w:val="2"/>
            <w:tcBorders>
              <w:left w:val="nil"/>
            </w:tcBorders>
            <w:vAlign w:val="bottom"/>
          </w:tcPr>
          <w:p w14:paraId="2A52AFBB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专业年级</w:t>
            </w:r>
          </w:p>
        </w:tc>
        <w:tc>
          <w:tcPr>
            <w:tcW w:w="3469" w:type="dxa"/>
            <w:gridSpan w:val="6"/>
            <w:tcBorders>
              <w:bottom w:val="single" w:color="auto" w:sz="4" w:space="0"/>
            </w:tcBorders>
            <w:vAlign w:val="bottom"/>
          </w:tcPr>
          <w:p w14:paraId="412C5BFF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2024级人工智能卓越班</w:t>
            </w:r>
          </w:p>
        </w:tc>
      </w:tr>
      <w:tr w14:paraId="4C48EBD3">
        <w:trPr>
          <w:trHeight w:val="113" w:hRule="exact"/>
          <w:jc w:val="center"/>
        </w:trPr>
        <w:tc>
          <w:tcPr>
            <w:tcW w:w="9362" w:type="dxa"/>
            <w:gridSpan w:val="16"/>
            <w:tcBorders>
              <w:bottom w:val="single" w:color="auto" w:sz="4" w:space="0"/>
            </w:tcBorders>
            <w:vAlign w:val="bottom"/>
          </w:tcPr>
          <w:p w14:paraId="5E931992">
            <w:pPr>
              <w:rPr>
                <w:rFonts w:eastAsia="楷体_GB2312"/>
                <w:szCs w:val="21"/>
              </w:rPr>
            </w:pPr>
          </w:p>
        </w:tc>
      </w:tr>
      <w:tr w14:paraId="26F02AC1">
        <w:trPr>
          <w:trHeight w:val="1395" w:hRule="atLeast"/>
          <w:jc w:val="center"/>
        </w:trPr>
        <w:tc>
          <w:tcPr>
            <w:tcW w:w="9362" w:type="dxa"/>
            <w:gridSpan w:val="16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48BEC2C">
            <w:pPr>
              <w:rPr>
                <w:rFonts w:eastAsia="楷体_GB2312"/>
                <w:szCs w:val="21"/>
              </w:rPr>
            </w:pPr>
            <w:r>
              <w:rPr>
                <w:rFonts w:hint="eastAsia" w:eastAsia="楷体_GB2312"/>
                <w:szCs w:val="21"/>
              </w:rPr>
              <w:t>教师评语：</w:t>
            </w:r>
          </w:p>
        </w:tc>
      </w:tr>
      <w:tr w14:paraId="68F71ED4">
        <w:trPr>
          <w:trHeight w:val="765" w:hRule="atLeast"/>
          <w:jc w:val="center"/>
        </w:trPr>
        <w:tc>
          <w:tcPr>
            <w:tcW w:w="1153" w:type="dxa"/>
            <w:gridSpan w:val="2"/>
            <w:tcBorders>
              <w:top w:val="single" w:color="auto" w:sz="4" w:space="0"/>
            </w:tcBorders>
            <w:vAlign w:val="center"/>
          </w:tcPr>
          <w:p w14:paraId="66A4EEA0">
            <w:pPr>
              <w:wordWrap w:val="0"/>
              <w:jc w:val="center"/>
              <w:rPr>
                <w:rFonts w:eastAsia="楷体_GB2312"/>
                <w:sz w:val="24"/>
              </w:rPr>
            </w:pPr>
            <w:r>
              <w:rPr>
                <w:rFonts w:hint="eastAsia" w:eastAsia="楷体_GB2312"/>
                <w:sz w:val="24"/>
              </w:rPr>
              <w:t>题目：</w:t>
            </w:r>
          </w:p>
        </w:tc>
        <w:tc>
          <w:tcPr>
            <w:tcW w:w="6913" w:type="dxa"/>
            <w:gridSpan w:val="11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63B13529">
            <w:pPr>
              <w:jc w:val="center"/>
              <w:rPr>
                <w:rFonts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 xml:space="preserve">The Convergence of Vision and Language: </w:t>
            </w:r>
          </w:p>
          <w:p w14:paraId="60635906">
            <w:pPr>
              <w:jc w:val="center"/>
              <w:rPr>
                <w:rFonts w:ascii="黑体" w:eastAsia="黑体"/>
                <w:sz w:val="28"/>
                <w:szCs w:val="28"/>
              </w:rPr>
            </w:pPr>
            <w:r>
              <w:rPr>
                <w:rFonts w:eastAsia="黑体"/>
                <w:sz w:val="28"/>
                <w:szCs w:val="28"/>
              </w:rPr>
              <w:t>A Survey on Multimodal Foundation Models</w:t>
            </w:r>
          </w:p>
        </w:tc>
        <w:tc>
          <w:tcPr>
            <w:tcW w:w="1296" w:type="dxa"/>
            <w:gridSpan w:val="3"/>
            <w:tcBorders>
              <w:top w:val="single" w:color="auto" w:sz="4" w:space="0"/>
            </w:tcBorders>
            <w:vAlign w:val="center"/>
          </w:tcPr>
          <w:p w14:paraId="5E5B2068">
            <w:pPr>
              <w:jc w:val="center"/>
              <w:rPr>
                <w:rFonts w:eastAsia="楷体_GB2312"/>
                <w:sz w:val="24"/>
              </w:rPr>
            </w:pPr>
          </w:p>
        </w:tc>
      </w:tr>
    </w:tbl>
    <w:p w14:paraId="6B669E2E"/>
    <w:p w14:paraId="5ACF2B84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Abstract</w:t>
      </w:r>
    </w:p>
    <w:p w14:paraId="227F1E8E">
      <w:r>
        <w:t>Multimodal artificial intelligence, which integrates data from diverse sources</w:t>
      </w:r>
      <w:r>
        <w:rPr>
          <w:rFonts w:hint="eastAsia"/>
        </w:rPr>
        <w:t xml:space="preserve"> </w:t>
      </w:r>
      <w:r>
        <w:t>such as text, images, video and audio, has emerged as a pivotal frontier</w:t>
      </w:r>
      <w:r>
        <w:rPr>
          <w:rFonts w:hint="eastAsia"/>
        </w:rPr>
        <w:t xml:space="preserve"> </w:t>
      </w:r>
      <w:r>
        <w:t>in deep learning. This survey reviews and synthesizes recent advances in</w:t>
      </w:r>
      <w:r>
        <w:rPr>
          <w:rFonts w:hint="eastAsia"/>
        </w:rPr>
        <w:t xml:space="preserve"> </w:t>
      </w:r>
      <w:r>
        <w:t>multimodal foundation models, with a particular focus on architectural</w:t>
      </w:r>
      <w:r>
        <w:rPr>
          <w:rFonts w:hint="eastAsia"/>
        </w:rPr>
        <w:t xml:space="preserve"> </w:t>
      </w:r>
      <w:r>
        <w:t>paradigms, training strategies, and emergent capabilities. Specifically, we</w:t>
      </w:r>
      <w:r>
        <w:rPr>
          <w:rFonts w:hint="eastAsia"/>
        </w:rPr>
        <w:t xml:space="preserve"> </w:t>
      </w:r>
      <w:r>
        <w:t>trace the track from early task-specific models to contemporary large-scale models like CLIP</w:t>
      </w:r>
      <w:r>
        <w:rPr>
          <w:rFonts w:hint="eastAsia"/>
          <w:lang w:val="en-US" w:eastAsia="zh-CN"/>
        </w:rPr>
        <w:t xml:space="preserve"> </w:t>
      </w:r>
      <w:r>
        <w:fldChar w:fldCharType="begin"/>
      </w:r>
      <w:r>
        <w:instrText xml:space="preserve"> HYPERLINK \l "CLIP" </w:instrText>
      </w:r>
      <w:r>
        <w:fldChar w:fldCharType="separate"/>
      </w:r>
      <w:r>
        <w:rPr>
          <w:rStyle w:val="11"/>
        </w:rPr>
        <w:t>(Radford et al.,2021)</w:t>
      </w:r>
      <w:r>
        <w:rPr>
          <w:rStyle w:val="11"/>
        </w:rPr>
        <w:fldChar w:fldCharType="end"/>
      </w:r>
      <w:r>
        <w:t xml:space="preserve"> and GPT-4V</w:t>
      </w:r>
      <w:r>
        <w:rPr>
          <w:rFonts w:hint="eastAsia"/>
          <w:lang w:val="en-US" w:eastAsia="zh-CN"/>
        </w:rPr>
        <w:t xml:space="preserve"> </w:t>
      </w:r>
      <w:r>
        <w:fldChar w:fldCharType="begin"/>
      </w:r>
      <w:r>
        <w:instrText xml:space="preserve"> HYPERLINK \l "GPT4V" </w:instrText>
      </w:r>
      <w:r>
        <w:fldChar w:fldCharType="separate"/>
      </w:r>
      <w:r>
        <w:rPr>
          <w:rStyle w:val="11"/>
        </w:rPr>
        <w:t>(OpenAI.,2023)</w:t>
      </w:r>
      <w:r>
        <w:rPr>
          <w:rStyle w:val="11"/>
        </w:rPr>
        <w:fldChar w:fldCharType="end"/>
      </w:r>
      <w:r>
        <w:t>,</w:t>
      </w:r>
      <w:r>
        <w:rPr>
          <w:rFonts w:hint="eastAsia"/>
        </w:rPr>
        <w:t xml:space="preserve"> </w:t>
      </w:r>
      <w:r>
        <w:t>which demonstrate remarkable zero-shot generalization. Our analysis of</w:t>
      </w:r>
      <w:r>
        <w:rPr>
          <w:rFonts w:hint="eastAsia"/>
        </w:rPr>
        <w:t xml:space="preserve"> </w:t>
      </w:r>
      <w:r>
        <w:t>key studies highlights that CLIP achieves state-of-the-art zero-shot performance on benchmarks such as ImageNet, while generative models like</w:t>
      </w:r>
      <w:r>
        <w:rPr>
          <w:rFonts w:hint="eastAsia"/>
        </w:rPr>
        <w:t xml:space="preserve"> </w:t>
      </w:r>
      <w:r>
        <w:t>GPT-4V set new standards in complex visual question answering and</w:t>
      </w:r>
      <w:r>
        <w:rPr>
          <w:rFonts w:hint="eastAsia"/>
        </w:rPr>
        <w:t xml:space="preserve"> </w:t>
      </w:r>
      <w:r>
        <w:t>conversational reasoning. However, significant challenges persist, including compositional reasoning deficiencies, high computational demands,</w:t>
      </w:r>
      <w:r>
        <w:rPr>
          <w:rFonts w:hint="eastAsia"/>
        </w:rPr>
        <w:t xml:space="preserve"> </w:t>
      </w:r>
      <w:r>
        <w:t>and potential social biases. We conclude that while these models have</w:t>
      </w:r>
      <w:r>
        <w:rPr>
          <w:rFonts w:hint="eastAsia"/>
        </w:rPr>
        <w:t xml:space="preserve"> </w:t>
      </w:r>
      <w:r>
        <w:t>substantially narrowed the gap between sensory modalities and semantic</w:t>
      </w:r>
      <w:r>
        <w:rPr>
          <w:rFonts w:hint="eastAsia"/>
        </w:rPr>
        <w:t xml:space="preserve"> </w:t>
      </w:r>
      <w:r>
        <w:t>understanding, future research must prioritize robustness, efficiency, and</w:t>
      </w:r>
      <w:r>
        <w:rPr>
          <w:rFonts w:hint="eastAsia"/>
        </w:rPr>
        <w:t xml:space="preserve"> </w:t>
      </w:r>
      <w:r>
        <w:t>ethical deployment to fully realize their potential.</w:t>
      </w:r>
    </w:p>
    <w:p w14:paraId="37CC8F83">
      <w:pPr>
        <w:pStyle w:val="12"/>
        <w:numPr>
          <w:ilvl w:val="0"/>
          <w:numId w:val="2"/>
        </w:numPr>
        <w:ind w:firstLine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Introduction of Relate Work</w:t>
      </w:r>
    </w:p>
    <w:p w14:paraId="677B1740">
      <w:r>
        <w:t>The long-standing goal of AI has been to develop systems that can perceive and</w:t>
      </w:r>
      <w:r>
        <w:rPr>
          <w:rFonts w:hint="eastAsia"/>
        </w:rPr>
        <w:t xml:space="preserve"> </w:t>
      </w:r>
      <w:r>
        <w:t>understand the world with human-like versatility. Traditional unimodal models</w:t>
      </w:r>
      <w:r>
        <w:rPr>
          <w:rFonts w:hint="eastAsia"/>
        </w:rPr>
        <w:t xml:space="preserve"> </w:t>
      </w:r>
      <w:r>
        <w:t>fall short of this ambition because they operate within a single data modality.</w:t>
      </w:r>
    </w:p>
    <w:p w14:paraId="6483E2E7">
      <w:pPr>
        <w:pStyle w:val="12"/>
        <w:numPr>
          <w:ilvl w:val="1"/>
          <w:numId w:val="3"/>
        </w:numPr>
        <w:spacing w:line="480" w:lineRule="auto"/>
        <w:ind w:firstLineChars="0"/>
        <w:rPr>
          <w:b/>
          <w:bCs/>
          <w:sz w:val="24"/>
        </w:rPr>
      </w:pPr>
      <w:r>
        <w:rPr>
          <w:b/>
          <w:bCs/>
          <w:sz w:val="24"/>
        </w:rPr>
        <w:t>Early Statistical and Embedding Methods</w:t>
      </w:r>
    </w:p>
    <w:p w14:paraId="430AFFBA">
      <w:r>
        <w:t>The concept of multimodality is not new; early efforts focused on canonical correlation analysis to find common subspaces for different data types. Subsequent</w:t>
      </w:r>
      <w:r>
        <w:rPr>
          <w:rFonts w:hint="eastAsia"/>
        </w:rPr>
        <w:t xml:space="preserve"> </w:t>
      </w:r>
      <w:r>
        <w:t>research introduced neural network-based encoders to embed images and text</w:t>
      </w:r>
      <w:r>
        <w:rPr>
          <w:rFonts w:hint="eastAsia"/>
        </w:rPr>
        <w:t xml:space="preserve"> </w:t>
      </w:r>
      <w:r>
        <w:t>into a shared vector space, enabling tasks like visual question answering and</w:t>
      </w:r>
    </w:p>
    <w:p w14:paraId="5F87FCDE">
      <w:r>
        <w:t>image-text retrieval.</w:t>
      </w:r>
    </w:p>
    <w:p w14:paraId="443365D6">
      <w:pPr>
        <w:pStyle w:val="12"/>
        <w:numPr>
          <w:ilvl w:val="1"/>
          <w:numId w:val="3"/>
        </w:numPr>
        <w:spacing w:line="480" w:lineRule="auto"/>
        <w:ind w:firstLineChars="0"/>
        <w:rPr>
          <w:b/>
          <w:bCs/>
          <w:sz w:val="24"/>
        </w:rPr>
      </w:pPr>
      <w:r>
        <w:rPr>
          <w:b/>
          <w:bCs/>
          <w:sz w:val="24"/>
        </w:rPr>
        <w:t>Transformer-based Fusion</w:t>
      </w:r>
    </w:p>
    <w:p w14:paraId="0D4B6F8F">
      <w:r>
        <w:t>Models like VisualBERT</w:t>
      </w:r>
      <w:r>
        <w:rPr>
          <w:rFonts w:hint="eastAsia"/>
          <w:lang w:val="en-US" w:eastAsia="zh-CN"/>
        </w:rPr>
        <w:t xml:space="preserve"> </w:t>
      </w:r>
      <w:r>
        <w:fldChar w:fldCharType="begin"/>
      </w:r>
      <w:r>
        <w:instrText xml:space="preserve">HYPERLINK  \l "VisualBERT"</w:instrText>
      </w:r>
      <w:r>
        <w:fldChar w:fldCharType="separate"/>
      </w:r>
      <w:r>
        <w:rPr>
          <w:rStyle w:val="11"/>
        </w:rPr>
        <w:t>(Li et al.,2019)</w:t>
      </w:r>
      <w:r>
        <w:fldChar w:fldCharType="end"/>
      </w:r>
      <w:r>
        <w:t xml:space="preserve"> and ViLBERT</w:t>
      </w:r>
      <w:r>
        <w:rPr>
          <w:rFonts w:hint="eastAsia"/>
          <w:lang w:val="en-US" w:eastAsia="zh-CN"/>
        </w:rPr>
        <w:t xml:space="preserve"> </w:t>
      </w:r>
      <w:r>
        <w:fldChar w:fldCharType="begin"/>
      </w:r>
      <w:r>
        <w:instrText xml:space="preserve"> HYPERLINK \l "ViLBERT" </w:instrText>
      </w:r>
      <w:r>
        <w:fldChar w:fldCharType="separate"/>
      </w:r>
      <w:r>
        <w:rPr>
          <w:rStyle w:val="11"/>
        </w:rPr>
        <w:t>(Lu et al.,2019)</w:t>
      </w:r>
      <w:r>
        <w:rPr>
          <w:rStyle w:val="11"/>
        </w:rPr>
        <w:fldChar w:fldCharType="end"/>
      </w:r>
      <w:r>
        <w:t xml:space="preserve"> pioneered</w:t>
      </w:r>
      <w:r>
        <w:rPr>
          <w:rFonts w:hint="eastAsia"/>
        </w:rPr>
        <w:t xml:space="preserve"> </w:t>
      </w:r>
      <w:r>
        <w:t>the use of transformer architectures and dual-stream encoders to fuse visual and</w:t>
      </w:r>
      <w:r>
        <w:rPr>
          <w:rFonts w:hint="eastAsia"/>
        </w:rPr>
        <w:t xml:space="preserve"> </w:t>
      </w:r>
      <w:r>
        <w:t>linguistic information, achieving state-of-the-art results on various benchmarks.</w:t>
      </w:r>
      <w:r>
        <w:rPr>
          <w:rFonts w:hint="eastAsia"/>
        </w:rPr>
        <w:t xml:space="preserve"> </w:t>
      </w:r>
      <w:r>
        <w:t>However, these earlier models were largely task-specific and required fine-tuning</w:t>
      </w:r>
      <w:r>
        <w:rPr>
          <w:rFonts w:hint="eastAsia"/>
        </w:rPr>
        <w:t xml:space="preserve"> </w:t>
      </w:r>
      <w:r>
        <w:t>on labeled datasets for each new application, which limited their scalability and</w:t>
      </w:r>
    </w:p>
    <w:p w14:paraId="162BC205">
      <w:r>
        <w:t>generalizability.</w:t>
      </w:r>
    </w:p>
    <w:p w14:paraId="4B67D165">
      <w:pPr>
        <w:pStyle w:val="12"/>
        <w:numPr>
          <w:ilvl w:val="1"/>
          <w:numId w:val="3"/>
        </w:numPr>
        <w:spacing w:line="480" w:lineRule="auto"/>
        <w:ind w:left="357" w:hanging="357" w:firstLineChars="0"/>
        <w:rPr>
          <w:b/>
          <w:bCs/>
          <w:sz w:val="24"/>
        </w:rPr>
      </w:pPr>
      <w:r>
        <w:rPr>
          <w:b/>
          <w:bCs/>
          <w:sz w:val="24"/>
        </w:rPr>
        <w:t>The Research Gap and Paradigm Shift</w:t>
      </w:r>
      <w:bookmarkStart w:id="8" w:name="_GoBack"/>
      <w:bookmarkEnd w:id="8"/>
    </w:p>
    <w:p w14:paraId="777DCF34">
      <w:r>
        <w:t>The field underwent a paradigm shift with the advent of foundation models,</w:t>
      </w:r>
      <w:r>
        <w:rPr>
          <w:rFonts w:hint="eastAsia"/>
        </w:rPr>
        <w:t xml:space="preserve"> </w:t>
      </w:r>
      <w:r>
        <w:t>which are pre-trained on broad data at scale and can be adapted to a wide</w:t>
      </w:r>
      <w:r>
        <w:rPr>
          <w:rFonts w:hint="eastAsia"/>
        </w:rPr>
        <w:t xml:space="preserve"> </w:t>
      </w:r>
      <w:r>
        <w:t>range of downstream tasks. While this shift was catalyzed by the success of</w:t>
      </w:r>
      <w:r>
        <w:rPr>
          <w:rFonts w:hint="eastAsia"/>
        </w:rPr>
        <w:t xml:space="preserve"> </w:t>
      </w:r>
      <w:r>
        <w:t>large language models, the critical research gap identified is the lack of a cross</w:t>
      </w:r>
      <w:r>
        <w:rPr>
          <w:rFonts w:hint="eastAsia"/>
        </w:rPr>
        <w:t>-</w:t>
      </w:r>
      <w:r>
        <w:t>modal objective that scales to uncurated, web-scale data. Furthermore, beyond</w:t>
      </w:r>
      <w:r>
        <w:rPr>
          <w:rFonts w:hint="eastAsia"/>
        </w:rPr>
        <w:t xml:space="preserve"> </w:t>
      </w:r>
      <w:r>
        <w:t>the challenge of raw data scaling, a significant secondary gap exists in aligning</w:t>
      </w:r>
      <w:r>
        <w:rPr>
          <w:rFonts w:hint="eastAsia"/>
        </w:rPr>
        <w:t xml:space="preserve"> </w:t>
      </w:r>
      <w:r>
        <w:t>these massive models with human intent. To address this, LLaVA</w:t>
      </w:r>
      <w:r>
        <w:rPr>
          <w:rFonts w:hint="default"/>
          <w:lang w:val="en-US"/>
        </w:rPr>
        <w:t xml:space="preserve"> </w:t>
      </w:r>
      <w:r>
        <w:fldChar w:fldCharType="begin"/>
      </w:r>
      <w:r>
        <w:instrText xml:space="preserve">HYPERLINK  \l "LLaVA"</w:instrText>
      </w:r>
      <w:r>
        <w:fldChar w:fldCharType="separate"/>
      </w:r>
      <w:r>
        <w:rPr>
          <w:rStyle w:val="11"/>
        </w:rPr>
        <w:t>(Liu et al.,</w:t>
      </w:r>
      <w:r>
        <w:rPr>
          <w:rStyle w:val="11"/>
          <w:rFonts w:hint="eastAsia"/>
          <w:lang w:val="en-US" w:eastAsia="zh-CN"/>
        </w:rPr>
        <w:t xml:space="preserve"> </w:t>
      </w:r>
      <w:r>
        <w:rPr>
          <w:rStyle w:val="11"/>
        </w:rPr>
        <w:t>2023</w:t>
      </w:r>
      <w:r>
        <w:rPr>
          <w:rStyle w:val="11"/>
          <w:rFonts w:hint="default"/>
          <w:lang w:val="en-US"/>
        </w:rPr>
        <w:t>)</w:t>
      </w:r>
      <w:r>
        <w:rPr>
          <w:rStyle w:val="11"/>
        </w:rPr>
        <w:t xml:space="preserve"> </w:t>
      </w:r>
      <w:r>
        <w:fldChar w:fldCharType="end"/>
      </w:r>
      <w:r>
        <w:t>emerged as a pioneering open-source model that utilizes visual instruction tuning. By fine-tuning multimodal models to ”understand instructions”</w:t>
      </w:r>
      <w:r>
        <w:rPr>
          <w:rFonts w:hint="eastAsia"/>
        </w:rPr>
        <w:t xml:space="preserve"> </w:t>
      </w:r>
      <w:r>
        <w:t>through text-image pairs, LLaVA demonstrates that models can move beyond</w:t>
      </w:r>
      <w:r>
        <w:rPr>
          <w:rFonts w:hint="eastAsia"/>
        </w:rPr>
        <w:t xml:space="preserve"> </w:t>
      </w:r>
      <w:r>
        <w:t>simple recognition to perform complex, interactive tasks directed by the user.</w:t>
      </w:r>
      <w:r>
        <w:rPr>
          <w:rFonts w:hint="eastAsia"/>
        </w:rPr>
        <w:t xml:space="preserve"> </w:t>
      </w:r>
      <w:r>
        <w:t>Our survey addresses these interconnected gaps by examining the key architectural innovations—such as contrastive, generative, and instruction-following</w:t>
      </w:r>
      <w:r>
        <w:rPr>
          <w:rFonts w:hint="eastAsia"/>
        </w:rPr>
        <w:t xml:space="preserve"> </w:t>
      </w:r>
      <w:r>
        <w:t>objectives—that have enabled general-purpose multimodal intelligence.</w:t>
      </w:r>
    </w:p>
    <w:p w14:paraId="2C08974A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2. Key Studies</w:t>
      </w:r>
    </w:p>
    <w:p w14:paraId="3BFF4479">
      <w:r>
        <w:t>We deliberately focus on two seminal works that represent contrasting yet</w:t>
      </w:r>
      <w:r>
        <w:rPr>
          <w:rFonts w:hint="eastAsia"/>
        </w:rPr>
        <w:t xml:space="preserve"> </w:t>
      </w:r>
      <w:r>
        <w:t>foundational approaches to multimodal learning: CLIP (Contrastive Language-Image Pre-training) and the GPT family of models with visual capabilities (e.g.,</w:t>
      </w:r>
      <w:r>
        <w:rPr>
          <w:rFonts w:hint="eastAsia"/>
        </w:rPr>
        <w:t xml:space="preserve"> </w:t>
      </w:r>
      <w:r>
        <w:t>GPT-4V).</w:t>
      </w:r>
    </w:p>
    <w:p w14:paraId="38E1C269">
      <w:pPr>
        <w:spacing w:line="48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2.1 CLIP</w:t>
      </w:r>
    </w:p>
    <w:p w14:paraId="48312E17">
      <w:r>
        <w:t>Radford et al. (2021) introduced CLIP</w:t>
      </w:r>
      <w:r>
        <w:rPr>
          <w:rFonts w:hint="default"/>
          <w:lang w:val="en-US"/>
        </w:rPr>
        <w:t xml:space="preserve"> </w:t>
      </w:r>
      <w:r>
        <w:fldChar w:fldCharType="begin"/>
      </w:r>
      <w:r>
        <w:instrText xml:space="preserve"> HYPERLINK \l "CLIP" </w:instrText>
      </w:r>
      <w:r>
        <w:fldChar w:fldCharType="separate"/>
      </w:r>
      <w:r>
        <w:rPr>
          <w:rStyle w:val="11"/>
        </w:rPr>
        <w:t>(Radford et al.,2021)</w:t>
      </w:r>
      <w:r>
        <w:rPr>
          <w:rStyle w:val="11"/>
        </w:rPr>
        <w:fldChar w:fldCharType="end"/>
      </w:r>
      <w:r>
        <w:rPr>
          <w:rStyle w:val="11"/>
          <w:rFonts w:hint="default"/>
          <w:lang w:val="en-US"/>
        </w:rPr>
        <w:t xml:space="preserve"> </w:t>
      </w:r>
      <w:r>
        <w:fldChar w:fldCharType="begin"/>
      </w:r>
      <w:r>
        <w:instrText xml:space="preserve"> HYPERLINK \l "Figurre1" </w:instrText>
      </w:r>
      <w:r>
        <w:fldChar w:fldCharType="separate"/>
      </w:r>
      <w:r>
        <w:rPr>
          <w:rStyle w:val="11"/>
        </w:rPr>
        <w:t>[Figure 1]</w:t>
      </w:r>
      <w:r>
        <w:rPr>
          <w:rStyle w:val="11"/>
        </w:rPr>
        <w:fldChar w:fldCharType="end"/>
      </w:r>
      <w:r>
        <w:t>,a model</w:t>
      </w:r>
      <w:r>
        <w:rPr>
          <w:rFonts w:hint="eastAsia"/>
        </w:rPr>
        <w:t xml:space="preserve"> </w:t>
      </w:r>
      <w:r>
        <w:t>that redefined scalability in multimodal learning. Its core innovation lies in its</w:t>
      </w:r>
      <w:r>
        <w:rPr>
          <w:rFonts w:hint="eastAsia"/>
        </w:rPr>
        <w:t xml:space="preserve"> </w:t>
      </w:r>
      <w:r>
        <w:t>simple yet powerful pre-training objective: contrastive learning. CLIP simultaneously trains an image encoder and a text encoder to maximize the similarity</w:t>
      </w:r>
      <w:r>
        <w:rPr>
          <w:rFonts w:hint="eastAsia"/>
        </w:rPr>
        <w:t xml:space="preserve"> </w:t>
      </w:r>
      <w:r>
        <w:t>between the embeddings of correct image-text pairs while minimizing the similarity for incorrect pairs, using hundreds of millions of noisy image-text pairs</w:t>
      </w:r>
      <w:r>
        <w:rPr>
          <w:rFonts w:hint="eastAsia"/>
        </w:rPr>
        <w:t xml:space="preserve"> </w:t>
      </w:r>
      <w:r>
        <w:t>scraped from the internet.</w:t>
      </w:r>
    </w:p>
    <w:p w14:paraId="234DA563">
      <w:pPr>
        <w:spacing w:line="480" w:lineRule="auto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2.1.1 The Contrastive Loss Mechanism</w:t>
      </w:r>
    </w:p>
    <w:p w14:paraId="2FB41F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CLIP uses a symmetric cross-entroy loss operating on a similarity matrix. For a batch of N (image, text) pairs:</w:t>
      </w:r>
    </w:p>
    <w:p w14:paraId="38CFB75E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image encoder and text encoder process the batch to produce N image embeddings and N text embeddings.</w:t>
      </w:r>
    </w:p>
    <w:p w14:paraId="56D3F42F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similarity matrix is computed where the diagonal elements represent the similarity scores of the correct pairs.</w:t>
      </w:r>
    </w:p>
    <w:p w14:paraId="073CD873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loss function is calculated in two directions:</w:t>
      </w:r>
    </w:p>
    <w:p w14:paraId="56D4A304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Image-to-Text Loss: Treating each image as a query and the texts as labels. It aims to correctly identify the matching text from all texts in the batch.</w:t>
      </w:r>
    </w:p>
    <w:p w14:paraId="11B4BDE0">
      <w:pPr>
        <w:numPr>
          <w:numId w:val="0"/>
        </w:numPr>
        <w:ind w:leftChars="0"/>
        <w:jc w:val="right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MS Mincho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ℒ</m:t>
            </m:r>
            <m:ctrlPr>
              <w:rPr>
                <w:rFonts w:ascii="Cambria Math" w:hAnsi="Cambria Math" w:eastAsia="MS Mincho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MS Mincho"/>
                <w:sz w:val="24"/>
              </w:rPr>
              <m:t>i2t</m:t>
            </m:r>
            <m:ctrlPr>
              <w:rPr>
                <w:rFonts w:ascii="Cambria Math" w:hAnsi="Cambria Math" w:eastAsia="MS Mincho"/>
                <w:sz w:val="24"/>
              </w:rPr>
            </m:ctrlPr>
          </m:sub>
        </m:sSub>
        <m:r>
          <m:rPr/>
          <w:rPr>
            <w:rFonts w:hint="default" w:ascii="Cambria Math" w:hAnsi="Cambria Math" w:eastAsia="MS Mincho"/>
            <w:sz w:val="24"/>
          </w:rPr>
          <m:t>=−</m:t>
        </m:r>
        <m:f>
          <m:fPr>
            <m:ctrlPr>
              <w:rPr>
                <w:rFonts w:hint="default" w:ascii="Cambria Math" w:hAnsi="Cambria Math" w:eastAsia="MS Mincho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MS Mincho"/>
                <w:sz w:val="24"/>
              </w:rPr>
              <m:t>1</m:t>
            </m:r>
            <m:ctrlPr>
              <w:rPr>
                <w:rFonts w:ascii="Cambria Math" w:hAnsi="Cambria Math" w:eastAsia="MS Mincho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MS Mincho"/>
                <w:sz w:val="24"/>
              </w:rPr>
              <m:t>N</m:t>
            </m:r>
            <m:ctrlPr>
              <w:rPr>
                <w:rFonts w:ascii="Cambria Math" w:hAnsi="Cambria Math" w:eastAsia="MS Mincho"/>
                <w:sz w:val="24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eastAsia="MS Mincho"/>
                <w:i/>
                <w:sz w:val="24"/>
              </w:rPr>
            </m:ctrlPr>
          </m:naryPr>
          <m:sub>
            <m:r>
              <m:rPr/>
              <w:rPr>
                <w:rFonts w:hint="default" w:ascii="Cambria Math" w:hAnsi="Cambria Math" w:eastAsia="MS Mincho"/>
                <w:sz w:val="24"/>
              </w:rPr>
              <m:t>i=1</m:t>
            </m:r>
            <m:ctrlPr>
              <w:rPr>
                <w:rFonts w:ascii="Cambria Math" w:hAnsi="Cambria Math" w:eastAsia="MS Mincho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MS Mincho"/>
                <w:sz w:val="24"/>
              </w:rPr>
              <m:t>N</m:t>
            </m:r>
            <m:ctrlPr>
              <w:rPr>
                <w:rFonts w:ascii="Cambria Math" w:hAnsi="Cambria Math" w:eastAsia="MS Mincho"/>
                <w:sz w:val="24"/>
              </w:rPr>
            </m:ctrlPr>
          </m:sup>
          <m:e>
            <m:func>
              <m:funcPr>
                <m:ctrlPr>
                  <w:rPr>
                    <w:rFonts w:hint="default" w:ascii="Cambria Math" w:hAnsi="Cambria Math" w:eastAsia="MS Mincho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 w:eastAsia="MS Mincho"/>
                    <w:sz w:val="24"/>
                  </w:rPr>
                  <m:t>log</m:t>
                </m:r>
                <m:ctrlPr>
                  <w:rPr>
                    <w:rFonts w:ascii="Cambria Math" w:hAnsi="Cambria Math" w:eastAsia="MS Mincho"/>
                    <w:sz w:val="24"/>
                  </w:rPr>
                </m:ctrlPr>
              </m:fName>
              <m:e>
                <m:f>
                  <m:fPr>
                    <m:ctrlPr>
                      <w:rPr>
                        <w:rFonts w:hint="default" w:ascii="Cambria Math" w:hAnsi="Cambria Math" w:eastAsia="MS Mincho"/>
                        <w:i/>
                        <w:sz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MS Mincho"/>
                            <w:sz w:val="24"/>
                          </w:rPr>
                          <m:t>exp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(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e>
                    </m:func>
                    <m:sSub>
                      <m:sSubPr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S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i,i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MS Mincho"/>
                        <w:sz w:val="24"/>
                      </w:rPr>
                      <m:t>/τ)</m:t>
                    </m:r>
                    <m:ctrlPr>
                      <w:rPr>
                        <w:rFonts w:hint="default" w:ascii="Cambria Math" w:hAnsi="Cambria Math" w:eastAsia="MS Mincho"/>
                        <w:sz w:val="24"/>
                      </w:rPr>
                    </m:ctrlP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 w:eastAsia="MS Mincho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j=1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N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sup>
                      <m:e>
                        <m:func>
                          <m:funcPr>
                            <m:ctrlPr>
                              <w:rPr>
                                <w:rFonts w:hint="default" w:ascii="Cambria Math" w:hAnsi="Cambria Math" w:eastAsia="MS Mincho"/>
                                <w:sz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MS Mincho"/>
                                <w:sz w:val="24"/>
                              </w:rPr>
                              <m:t>exp</m:t>
                            </m:r>
                            <m:ctrlPr>
                              <w:rPr>
                                <w:rFonts w:ascii="Cambria Math" w:hAnsi="Cambria Math" w:eastAsia="MS Mincho"/>
                                <w:sz w:val="24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 w:eastAsia="MS Mincho"/>
                                <w:sz w:val="24"/>
                              </w:rPr>
                              <m:t>(</m:t>
                            </m:r>
                            <m:ctrlPr>
                              <w:rPr>
                                <w:rFonts w:ascii="Cambria Math" w:hAnsi="Cambria Math" w:eastAsia="MS Mincho"/>
                                <w:sz w:val="24"/>
                              </w:rPr>
                            </m:ctrlPr>
                          </m:e>
                        </m:func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i,j</m:t>
                        </m:r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MS Mincho"/>
                        <w:sz w:val="24"/>
                      </w:rPr>
                      <m:t>/τ)</m:t>
                    </m:r>
                    <m:ctrlPr>
                      <w:rPr>
                        <w:rFonts w:hint="default" w:ascii="Cambria Math" w:hAnsi="Cambria Math" w:eastAsia="MS Mincho"/>
                        <w:sz w:val="24"/>
                      </w:rPr>
                    </m:ctrlPr>
                  </m:den>
                </m:f>
                <m:ctrlPr>
                  <w:rPr>
                    <w:rFonts w:hint="default" w:ascii="Cambria Math" w:hAnsi="Cambria Math" w:eastAsia="MS Mincho"/>
                    <w:i/>
                    <w:sz w:val="24"/>
                  </w:rPr>
                </m:ctrlPr>
              </m:e>
            </m:func>
            <m:ctrlPr>
              <w:rPr>
                <w:rFonts w:hint="default" w:ascii="Cambria Math" w:hAnsi="Cambria Math" w:eastAsia="MS Mincho"/>
                <w:sz w:val="24"/>
              </w:rPr>
            </m:ctrlPr>
          </m:e>
        </m:nary>
      </m:oMath>
      <w:r>
        <w:rPr>
          <w:rFonts w:hint="default" w:hAnsi="Cambria Math" w:eastAsia="MS Mincho"/>
          <w:i w:val="0"/>
          <w:sz w:val="24"/>
          <w:lang w:val="en-US"/>
        </w:rPr>
        <w:t xml:space="preserve">                     (1)</w:t>
      </w:r>
    </w:p>
    <w:p w14:paraId="749446D5">
      <w:pPr>
        <w:numPr>
          <w:ilvl w:val="1"/>
          <w:numId w:val="4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Text-to-Image Loss: Treating each text as a query and the images as labels. It aims to correctly identify the matching image from all images in the batch.</w:t>
      </w:r>
    </w:p>
    <w:p w14:paraId="4566811A">
      <w:pPr>
        <w:widowControl w:val="0"/>
        <w:numPr>
          <w:numId w:val="0"/>
        </w:numPr>
        <w:jc w:val="right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MS Mincho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Cambria Math" w:hAnsi="Cambria Math" w:eastAsia="MS Mincho"/>
                <w:sz w:val="24"/>
              </w:rPr>
              <m:t>ℒ</m:t>
            </m:r>
            <m:ctrlPr>
              <w:rPr>
                <w:rFonts w:ascii="Cambria Math" w:hAnsi="Cambria Math" w:eastAsia="MS Mincho"/>
                <w:sz w:val="24"/>
              </w:rPr>
            </m:ctrlPr>
          </m:e>
          <m:sub>
            <m:r>
              <m:rPr/>
              <w:rPr>
                <w:rFonts w:hint="default" w:ascii="DejaVu Math TeX Gyre" w:hAnsi="DejaVu Math TeX Gyre" w:eastAsia="MS Mincho"/>
                <w:sz w:val="24"/>
                <w:lang w:val="en-US"/>
              </w:rPr>
              <m:t>t</m:t>
            </m:r>
            <m:r>
              <m:rPr/>
              <w:rPr>
                <w:rFonts w:hint="default" w:ascii="Cambria Math" w:hAnsi="Cambria Math" w:eastAsia="MS Mincho"/>
                <w:sz w:val="24"/>
              </w:rPr>
              <m:t>2</m:t>
            </m:r>
            <m:r>
              <m:rPr/>
              <w:rPr>
                <w:rFonts w:hint="default" w:ascii="DejaVu Math TeX Gyre" w:hAnsi="DejaVu Math TeX Gyre" w:eastAsia="MS Mincho"/>
                <w:sz w:val="24"/>
                <w:lang w:val="en-US"/>
              </w:rPr>
              <m:t>i</m:t>
            </m:r>
            <m:ctrlPr>
              <w:rPr>
                <w:rFonts w:ascii="Cambria Math" w:hAnsi="Cambria Math" w:eastAsia="MS Mincho"/>
                <w:sz w:val="24"/>
              </w:rPr>
            </m:ctrlPr>
          </m:sub>
        </m:sSub>
        <m:r>
          <m:rPr/>
          <w:rPr>
            <w:rFonts w:hint="default" w:ascii="Cambria Math" w:hAnsi="Cambria Math" w:eastAsia="MS Mincho"/>
            <w:sz w:val="24"/>
          </w:rPr>
          <m:t>=−</m:t>
        </m:r>
        <m:f>
          <m:fPr>
            <m:ctrlPr>
              <w:rPr>
                <w:rFonts w:hint="default" w:ascii="Cambria Math" w:hAnsi="Cambria Math" w:eastAsia="MS Mincho"/>
                <w:i/>
                <w:sz w:val="24"/>
              </w:rPr>
            </m:ctrlPr>
          </m:fPr>
          <m:num>
            <m:r>
              <m:rPr/>
              <w:rPr>
                <w:rFonts w:hint="default" w:ascii="Cambria Math" w:hAnsi="Cambria Math" w:eastAsia="MS Mincho"/>
                <w:sz w:val="24"/>
              </w:rPr>
              <m:t>1</m:t>
            </m:r>
            <m:ctrlPr>
              <w:rPr>
                <w:rFonts w:ascii="Cambria Math" w:hAnsi="Cambria Math" w:eastAsia="MS Mincho"/>
                <w:sz w:val="24"/>
              </w:rPr>
            </m:ctrlPr>
          </m:num>
          <m:den>
            <m:r>
              <m:rPr/>
              <w:rPr>
                <w:rFonts w:hint="default" w:ascii="Cambria Math" w:hAnsi="Cambria Math" w:eastAsia="MS Mincho"/>
                <w:sz w:val="24"/>
              </w:rPr>
              <m:t>N</m:t>
            </m:r>
            <m:ctrlPr>
              <w:rPr>
                <w:rFonts w:ascii="Cambria Math" w:hAnsi="Cambria Math" w:eastAsia="MS Mincho"/>
                <w:sz w:val="24"/>
              </w:rPr>
            </m:ctrlPr>
          </m:den>
        </m:f>
        <m:nary>
          <m:naryPr>
            <m:chr m:val="∑"/>
            <m:limLoc m:val="undOvr"/>
            <m:ctrlPr>
              <w:rPr>
                <w:rFonts w:hint="default" w:ascii="Cambria Math" w:hAnsi="Cambria Math" w:eastAsia="MS Mincho"/>
                <w:i/>
                <w:sz w:val="24"/>
              </w:rPr>
            </m:ctrlPr>
          </m:naryPr>
          <m:sub>
            <m:r>
              <m:rPr/>
              <w:rPr>
                <w:rFonts w:hint="default" w:ascii="Cambria Math" w:hAnsi="Cambria Math" w:eastAsia="MS Mincho"/>
                <w:sz w:val="24"/>
              </w:rPr>
              <m:t>j=1</m:t>
            </m:r>
            <m:ctrlPr>
              <w:rPr>
                <w:rFonts w:ascii="Cambria Math" w:hAnsi="Cambria Math" w:eastAsia="MS Mincho"/>
                <w:sz w:val="24"/>
              </w:rPr>
            </m:ctrlPr>
          </m:sub>
          <m:sup>
            <m:r>
              <m:rPr/>
              <w:rPr>
                <w:rFonts w:hint="default" w:ascii="Cambria Math" w:hAnsi="Cambria Math" w:eastAsia="MS Mincho"/>
                <w:sz w:val="24"/>
              </w:rPr>
              <m:t>N</m:t>
            </m:r>
            <m:ctrlPr>
              <w:rPr>
                <w:rFonts w:ascii="Cambria Math" w:hAnsi="Cambria Math" w:eastAsia="MS Mincho"/>
                <w:sz w:val="24"/>
              </w:rPr>
            </m:ctrlPr>
          </m:sup>
          <m:e>
            <m:func>
              <m:funcPr>
                <m:ctrlPr>
                  <w:rPr>
                    <w:rFonts w:hint="default" w:ascii="Cambria Math" w:hAnsi="Cambria Math" w:eastAsia="MS Mincho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Cambria Math" w:hAnsi="Cambria Math" w:eastAsia="MS Mincho"/>
                    <w:sz w:val="24"/>
                  </w:rPr>
                  <m:t>log</m:t>
                </m:r>
                <m:ctrlPr>
                  <w:rPr>
                    <w:rFonts w:ascii="Cambria Math" w:hAnsi="Cambria Math" w:eastAsia="MS Mincho"/>
                    <w:sz w:val="24"/>
                  </w:rPr>
                </m:ctrlPr>
              </m:fName>
              <m:e>
                <m:f>
                  <m:fPr>
                    <m:ctrlPr>
                      <w:rPr>
                        <w:rFonts w:hint="default" w:ascii="Cambria Math" w:hAnsi="Cambria Math" w:eastAsia="MS Mincho"/>
                        <w:i/>
                        <w:sz w:val="24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MS Mincho"/>
                            <w:sz w:val="24"/>
                          </w:rPr>
                          <m:t>exp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fName>
                      <m:e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(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e>
                    </m:func>
                    <m:sSub>
                      <m:sSubPr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S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hint="default" w:ascii="Cambria Math" w:hAnsi="Cambria Math" w:eastAsia="MS Mincho"/>
                            <w:sz w:val="24"/>
                          </w:rPr>
                          <m:t>j,j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MS Mincho"/>
                        <w:sz w:val="24"/>
                      </w:rPr>
                      <m:t>/τ)</m:t>
                    </m:r>
                    <m:ctrlPr>
                      <w:rPr>
                        <w:rFonts w:hint="default" w:ascii="Cambria Math" w:hAnsi="Cambria Math" w:eastAsia="MS Mincho"/>
                        <w:sz w:val="24"/>
                      </w:rPr>
                    </m:ctrlPr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hint="default" w:ascii="Cambria Math" w:hAnsi="Cambria Math" w:eastAsia="MS Mincho"/>
                            <w:i/>
                            <w:sz w:val="24"/>
                          </w:rPr>
                        </m:ctrlPr>
                      </m:naryPr>
                      <m:sub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i=1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N</m:t>
                        </m:r>
                        <m:ctrlPr>
                          <w:rPr>
                            <w:rFonts w:ascii="Cambria Math" w:hAnsi="Cambria Math" w:eastAsia="MS Mincho"/>
                            <w:sz w:val="24"/>
                          </w:rPr>
                        </m:ctrlPr>
                      </m:sup>
                      <m:e>
                        <m:func>
                          <m:funcPr>
                            <m:ctrlPr>
                              <w:rPr>
                                <w:rFonts w:hint="default" w:ascii="Cambria Math" w:hAnsi="Cambria Math" w:eastAsia="MS Mincho"/>
                                <w:sz w:val="24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hint="default" w:ascii="Cambria Math" w:hAnsi="Cambria Math" w:eastAsia="MS Mincho"/>
                                <w:sz w:val="24"/>
                              </w:rPr>
                              <m:t>exp</m:t>
                            </m:r>
                            <m:ctrlPr>
                              <w:rPr>
                                <w:rFonts w:ascii="Cambria Math" w:hAnsi="Cambria Math" w:eastAsia="MS Mincho"/>
                                <w:sz w:val="24"/>
                              </w:rPr>
                            </m:ctrlPr>
                          </m:fName>
                          <m:e>
                            <m:r>
                              <m:rPr/>
                              <w:rPr>
                                <w:rFonts w:hint="default" w:ascii="Cambria Math" w:hAnsi="Cambria Math" w:eastAsia="MS Mincho"/>
                                <w:sz w:val="24"/>
                              </w:rPr>
                              <m:t>(</m:t>
                            </m:r>
                            <m:ctrlPr>
                              <w:rPr>
                                <w:rFonts w:ascii="Cambria Math" w:hAnsi="Cambria Math" w:eastAsia="MS Mincho"/>
                                <w:sz w:val="24"/>
                              </w:rPr>
                            </m:ctrlPr>
                          </m:e>
                        </m:func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e>
                    </m:nary>
                    <m:sSub>
                      <m:sSubPr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S</m:t>
                        </m:r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Cambria Math" w:hAnsi="Cambria Math" w:eastAsia="MS Mincho"/>
                            <w:sz w:val="24"/>
                          </w:rPr>
                          <m:t>i,j</m:t>
                        </m:r>
                        <m:ctrlPr>
                          <w:rPr>
                            <w:rFonts w:hint="default" w:ascii="Cambria Math" w:hAnsi="Cambria Math" w:eastAsia="MS Mincho"/>
                            <w:sz w:val="24"/>
                          </w:rPr>
                        </m:ctrlPr>
                      </m:sub>
                    </m:sSub>
                    <m:r>
                      <m:rPr/>
                      <w:rPr>
                        <w:rFonts w:hint="default" w:ascii="Cambria Math" w:hAnsi="Cambria Math" w:eastAsia="MS Mincho"/>
                        <w:sz w:val="24"/>
                      </w:rPr>
                      <m:t>/τ)</m:t>
                    </m:r>
                    <m:ctrlPr>
                      <w:rPr>
                        <w:rFonts w:hint="default" w:ascii="Cambria Math" w:hAnsi="Cambria Math" w:eastAsia="MS Mincho"/>
                        <w:sz w:val="24"/>
                      </w:rPr>
                    </m:ctrlPr>
                  </m:den>
                </m:f>
                <m:ctrlPr>
                  <w:rPr>
                    <w:rFonts w:hint="default" w:ascii="Cambria Math" w:hAnsi="Cambria Math" w:eastAsia="MS Mincho"/>
                    <w:i/>
                    <w:sz w:val="24"/>
                  </w:rPr>
                </m:ctrlPr>
              </m:e>
            </m:func>
            <m:ctrlPr>
              <w:rPr>
                <w:rFonts w:hint="default" w:ascii="Cambria Math" w:hAnsi="Cambria Math" w:eastAsia="MS Mincho"/>
                <w:sz w:val="24"/>
              </w:rPr>
            </m:ctrlPr>
          </m:e>
        </m:nary>
      </m:oMath>
      <w:r>
        <w:rPr>
          <w:rFonts w:hint="default" w:hAnsi="Cambria Math" w:eastAsia="MS Mincho"/>
          <w:i w:val="0"/>
          <w:sz w:val="24"/>
          <w:lang w:val="en-US"/>
        </w:rPr>
        <w:t xml:space="preserve">                     (2)</w:t>
      </w:r>
    </w:p>
    <w:p w14:paraId="51B0B44F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final loss is the average of these two losses.</w:t>
      </w:r>
    </w:p>
    <w:p w14:paraId="4CBAC983">
      <w:pPr>
        <w:widowControl w:val="0"/>
        <w:numPr>
          <w:numId w:val="0"/>
        </w:numPr>
        <w:jc w:val="right"/>
        <w:rPr>
          <w:rFonts w:hint="default"/>
          <w:lang w:val="en-US" w:eastAsia="zh-CN"/>
        </w:rPr>
      </w:pPr>
      <m:oMath>
        <m:sSub>
          <m:sSubPr>
            <m:ctrlPr>
              <w:rPr>
                <w:rFonts w:hint="default" w:ascii="DejaVu Math TeX Gyre" w:hAnsi="DejaVu Math TeX Gyre" w:eastAsia="MS Mincho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DejaVu Math TeX Gyre" w:hAnsi="DejaVu Math TeX Gyre" w:eastAsia="MS Mincho"/>
                <w:sz w:val="24"/>
              </w:rPr>
              <m:t>ℒ</m:t>
            </m:r>
            <m:ctrlPr>
              <w:rPr>
                <w:rFonts w:ascii="DejaVu Math TeX Gyre" w:hAnsi="DejaVu Math TeX Gyre" w:eastAsia="MS Mincho"/>
                <w:sz w:val="24"/>
              </w:rPr>
            </m:ctrlPr>
          </m:e>
          <m:sub>
            <m:r>
              <m:rPr/>
              <w:rPr>
                <w:rFonts w:hint="default" w:ascii="DejaVu Math TeX Gyre" w:hAnsi="DejaVu Math TeX Gyre" w:eastAsia="MS Mincho"/>
                <w:sz w:val="24"/>
              </w:rPr>
              <m:t>total</m:t>
            </m:r>
            <m:ctrlPr>
              <w:rPr>
                <w:rFonts w:ascii="DejaVu Math TeX Gyre" w:hAnsi="DejaVu Math TeX Gyre" w:eastAsia="MS Mincho"/>
                <w:sz w:val="24"/>
              </w:rPr>
            </m:ctrlPr>
          </m:sub>
        </m:sSub>
        <m:r>
          <m:rPr/>
          <w:rPr>
            <w:rFonts w:hint="default" w:ascii="DejaVu Math TeX Gyre" w:hAnsi="DejaVu Math TeX Gyre" w:eastAsia="MS Mincho"/>
            <w:sz w:val="24"/>
          </w:rPr>
          <m:t>=</m:t>
        </m:r>
        <m:f>
          <m:fPr>
            <m:ctrlPr>
              <w:rPr>
                <w:rFonts w:hint="default" w:ascii="DejaVu Math TeX Gyre" w:hAnsi="DejaVu Math TeX Gyre" w:eastAsia="MS Mincho"/>
                <w:i/>
                <w:sz w:val="24"/>
              </w:rPr>
            </m:ctrlPr>
          </m:fPr>
          <m:num>
            <m:sSub>
              <m:sSubPr>
                <m:ctrlPr>
                  <w:rPr>
                    <w:rFonts w:hint="default" w:ascii="DejaVu Math TeX Gyre" w:hAnsi="DejaVu Math TeX Gyre" w:eastAsia="MS Mincho"/>
                    <w:sz w:val="24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hint="default" w:ascii="DejaVu Math TeX Gyre" w:hAnsi="DejaVu Math TeX Gyre" w:eastAsia="MS Mincho"/>
                    <w:sz w:val="24"/>
                  </w:rPr>
                  <m:t>ℒ</m:t>
                </m:r>
                <m:ctrlPr>
                  <w:rPr>
                    <w:rFonts w:ascii="DejaVu Math TeX Gyre" w:hAnsi="DejaVu Math TeX Gyre" w:eastAsia="MS Mincho"/>
                    <w:sz w:val="24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eastAsia="MS Mincho"/>
                    <w:sz w:val="24"/>
                  </w:rPr>
                  <m:t>i2t</m:t>
                </m:r>
                <m:ctrlPr>
                  <w:rPr>
                    <w:rFonts w:ascii="DejaVu Math TeX Gyre" w:hAnsi="DejaVu Math TeX Gyre" w:eastAsia="MS Mincho"/>
                    <w:sz w:val="24"/>
                  </w:rPr>
                </m:ctrlPr>
              </m:sub>
            </m:sSub>
            <m:r>
              <m:rPr/>
              <w:rPr>
                <w:rFonts w:hint="default" w:ascii="DejaVu Math TeX Gyre" w:hAnsi="DejaVu Math TeX Gyre" w:eastAsia="MS Mincho"/>
                <w:sz w:val="24"/>
              </w:rPr>
              <m:t>+</m:t>
            </m:r>
            <m:sSub>
              <m:sSubPr>
                <m:ctrlPr>
                  <w:rPr>
                    <w:rFonts w:hint="default" w:ascii="DejaVu Math TeX Gyre" w:hAnsi="DejaVu Math TeX Gyre" w:eastAsia="MS Mincho"/>
                    <w:sz w:val="24"/>
                  </w:rPr>
                </m:ctrlPr>
              </m:sSubPr>
              <m:e>
                <m:r>
                  <m:rPr>
                    <m:scr m:val="script"/>
                  </m:rPr>
                  <w:rPr>
                    <w:rFonts w:hint="default" w:ascii="DejaVu Math TeX Gyre" w:hAnsi="DejaVu Math TeX Gyre" w:eastAsia="MS Mincho"/>
                    <w:sz w:val="24"/>
                  </w:rPr>
                  <m:t>ℒ</m:t>
                </m:r>
                <m:ctrlPr>
                  <w:rPr>
                    <w:rFonts w:ascii="DejaVu Math TeX Gyre" w:hAnsi="DejaVu Math TeX Gyre" w:eastAsia="MS Mincho"/>
                    <w:sz w:val="24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 w:eastAsia="MS Mincho"/>
                    <w:sz w:val="24"/>
                  </w:rPr>
                  <m:t>t2i</m:t>
                </m:r>
                <m:ctrlPr>
                  <w:rPr>
                    <w:rFonts w:ascii="DejaVu Math TeX Gyre" w:hAnsi="DejaVu Math TeX Gyre" w:eastAsia="MS Mincho"/>
                    <w:sz w:val="24"/>
                  </w:rPr>
                </m:ctrlPr>
              </m:sub>
            </m:sSub>
            <m:ctrlPr>
              <w:rPr>
                <w:rFonts w:hint="default" w:ascii="DejaVu Math TeX Gyre" w:hAnsi="DejaVu Math TeX Gyre" w:eastAsia="MS Mincho"/>
                <w:sz w:val="24"/>
              </w:rPr>
            </m:ctrlPr>
          </m:num>
          <m:den>
            <m:r>
              <m:rPr/>
              <w:rPr>
                <w:rFonts w:hint="default" w:ascii="DejaVu Math TeX Gyre" w:hAnsi="DejaVu Math TeX Gyre" w:eastAsia="MS Mincho"/>
                <w:sz w:val="24"/>
              </w:rPr>
              <m:t>2</m:t>
            </m:r>
            <m:ctrlPr>
              <w:rPr>
                <w:rFonts w:hint="default" w:ascii="DejaVu Math TeX Gyre" w:hAnsi="DejaVu Math TeX Gyre" w:eastAsia="MS Mincho"/>
                <w:sz w:val="24"/>
              </w:rPr>
            </m:ctrlPr>
          </m:den>
        </m:f>
      </m:oMath>
      <w:r>
        <w:rPr>
          <w:rFonts w:hint="default" w:hAnsi="Cambria Math" w:eastAsia="MS Mincho"/>
          <w:i w:val="0"/>
          <w:sz w:val="24"/>
          <w:lang w:val="en-US"/>
        </w:rPr>
        <w:t xml:space="preserve">                           (3)</w:t>
      </w:r>
    </w:p>
    <w:p w14:paraId="124A1E87">
      <w:pPr>
        <w:rPr>
          <w:rFonts w:hint="default"/>
          <w:lang w:val="en-US" w:eastAsia="zh-CN"/>
        </w:rPr>
      </w:pPr>
    </w:p>
    <w:p w14:paraId="4088D9E0">
      <w:pPr>
        <w:spacing w:line="480" w:lineRule="auto"/>
        <w:rPr>
          <w:rFonts w:hint="default" w:ascii="Times New Roman Bold" w:hAnsi="Times New Roman Bold" w:cs="Times New Roman Bold"/>
          <w:b/>
          <w:bCs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lang w:val="en-US" w:eastAsia="zh-CN"/>
        </w:rPr>
        <w:t>2.1.2 Strengths and Limitations of the Contrastive Loss</w:t>
      </w:r>
    </w:p>
    <w:p w14:paraId="131C50C2">
      <w:pPr>
        <w:pStyle w:val="12"/>
        <w:numPr>
          <w:numId w:val="0"/>
        </w:numPr>
        <w:ind w:leftChars="0"/>
      </w:pPr>
      <w:r>
        <w:t>Strengths and Contributions:</w:t>
      </w:r>
      <w:r>
        <w:rPr>
          <w:rFonts w:hint="eastAsia"/>
        </w:rPr>
        <w:t xml:space="preserve"> </w:t>
      </w:r>
      <w:r>
        <w:t>The primary strength of CLIP is its remarkable zero-shot transfer capability. By learning a rich, aligned representation space, CLIP can perform tasks like image classification without</w:t>
      </w:r>
      <w:r>
        <w:rPr>
          <w:rFonts w:hint="eastAsia"/>
        </w:rPr>
        <w:t xml:space="preserve"> </w:t>
      </w:r>
      <w:r>
        <w:t>any task-specific training, simply by providing the candidate categories as</w:t>
      </w:r>
      <w:r>
        <w:rPr>
          <w:rFonts w:hint="eastAsia"/>
        </w:rPr>
        <w:t xml:space="preserve"> </w:t>
      </w:r>
      <w:r>
        <w:t>text prompts. This “prompting” approach, borrowed from NLP, demonstrated that open-world perception was achievable without curated labels.</w:t>
      </w:r>
      <w:r>
        <w:rPr>
          <w:rFonts w:hint="eastAsia"/>
        </w:rPr>
        <w:t xml:space="preserve"> </w:t>
      </w:r>
      <w:r>
        <w:t>Furthermore, its dual-encoder architecture is computationally efficient for</w:t>
      </w:r>
      <w:r>
        <w:rPr>
          <w:rFonts w:hint="eastAsia"/>
        </w:rPr>
        <w:t xml:space="preserve"> </w:t>
      </w:r>
      <w:r>
        <w:t>inference, enabling real</w:t>
      </w:r>
      <w:r>
        <w:rPr>
          <w:rFonts w:hint="eastAsia"/>
        </w:rPr>
        <w:t>-</w:t>
      </w:r>
      <w:r>
        <w:t>time</w:t>
      </w:r>
      <w:r>
        <w:rPr>
          <w:rFonts w:hint="eastAsia"/>
        </w:rPr>
        <w:t xml:space="preserve"> </w:t>
      </w:r>
      <w:r>
        <w:t>applications.</w:t>
      </w:r>
    </w:p>
    <w:p w14:paraId="6D721D9A">
      <w:pPr>
        <w:pStyle w:val="12"/>
        <w:numPr>
          <w:numId w:val="0"/>
        </w:numPr>
        <w:ind w:leftChars="0"/>
      </w:pPr>
    </w:p>
    <w:p w14:paraId="43C7ACBA">
      <w:pPr>
        <w:pStyle w:val="12"/>
        <w:numPr>
          <w:numId w:val="0"/>
        </w:numPr>
        <w:ind w:leftChars="0"/>
      </w:pPr>
      <w:r>
        <w:t>Limitations and Context:</w:t>
      </w:r>
      <w:r>
        <w:rPr>
          <w:rFonts w:hint="eastAsia"/>
        </w:rPr>
        <w:t xml:space="preserve"> </w:t>
      </w:r>
      <w:r>
        <w:t>The simplicity of CLIP</w:t>
      </w:r>
      <w:r>
        <w:rPr>
          <w:rFonts w:hint="default"/>
          <w:lang w:val="en-US"/>
        </w:rPr>
        <w:t>’</w:t>
      </w:r>
      <w:r>
        <w:t>s objective is also</w:t>
      </w:r>
      <w:r>
        <w:rPr>
          <w:rFonts w:hint="eastAsia"/>
        </w:rPr>
        <w:t xml:space="preserve"> </w:t>
      </w:r>
      <w:r>
        <w:t>a</w:t>
      </w:r>
      <w:r>
        <w:rPr>
          <w:rFonts w:hint="eastAsia"/>
        </w:rPr>
        <w:t xml:space="preserve"> </w:t>
      </w:r>
      <w:r>
        <w:t>limiting factor. The model excels at “global” semantic matching, but</w:t>
      </w:r>
      <w:r>
        <w:rPr>
          <w:rFonts w:hint="eastAsia"/>
        </w:rPr>
        <w:t xml:space="preserve"> </w:t>
      </w:r>
      <w:r>
        <w:t>struggles with fine-grained or compositional reasoning, such as counting</w:t>
      </w:r>
      <w:r>
        <w:rPr>
          <w:rFonts w:hint="eastAsia"/>
        </w:rPr>
        <w:t xml:space="preserve"> </w:t>
      </w:r>
      <w:r>
        <w:t>objects or understanding spatial relationships within an image. Its performance is also highly dependent on the phrasing of the text prompt, a</w:t>
      </w:r>
      <w:r>
        <w:rPr>
          <w:rFonts w:hint="eastAsia"/>
        </w:rPr>
        <w:t xml:space="preserve"> </w:t>
      </w:r>
      <w:r>
        <w:t>phenomenon known as ”prompt sensitivity.” Finally, because it is trained</w:t>
      </w:r>
      <w:r>
        <w:rPr>
          <w:rFonts w:hint="eastAsia"/>
        </w:rPr>
        <w:t xml:space="preserve"> </w:t>
      </w:r>
      <w:r>
        <w:t>on web data, it inevitably inherits and can amplify social biases present</w:t>
      </w:r>
      <w:r>
        <w:rPr>
          <w:rFonts w:hint="eastAsia"/>
        </w:rPr>
        <w:t xml:space="preserve"> </w:t>
      </w:r>
      <w:r>
        <w:t>in that data.</w:t>
      </w:r>
    </w:p>
    <w:p w14:paraId="627C87A4">
      <w:bookmarkStart w:id="0" w:name="Figurre1"/>
      <w:r>
        <w:drawing>
          <wp:inline distT="0" distB="0" distL="0" distR="0">
            <wp:extent cx="5740400" cy="2082800"/>
            <wp:effectExtent l="0" t="0" r="0" b="0"/>
            <wp:docPr id="20010185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18507" name="图片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075D74B6">
      <w:r>
        <w:t>Figure 1: While standard image models jointly train an image feature extractor</w:t>
      </w:r>
      <w:r>
        <w:rPr>
          <w:rFonts w:hint="eastAsia"/>
        </w:rPr>
        <w:t xml:space="preserve"> </w:t>
      </w:r>
      <w:r>
        <w:t>and a linear classifier to predict some label, CLIP jointly trains an image encoder</w:t>
      </w:r>
      <w:r>
        <w:rPr>
          <w:rFonts w:hint="eastAsia"/>
        </w:rPr>
        <w:t xml:space="preserve"> </w:t>
      </w:r>
      <w:r>
        <w:t>and a text encoder to predict the correct pairings of a batch of (image, text)</w:t>
      </w:r>
      <w:r>
        <w:rPr>
          <w:rFonts w:hint="eastAsia"/>
        </w:rPr>
        <w:t xml:space="preserve"> </w:t>
      </w:r>
      <w:r>
        <w:t>training examples. At test time the learned text encoder synthesizes a zero-shot</w:t>
      </w:r>
    </w:p>
    <w:p w14:paraId="6054B89A">
      <w:r>
        <w:t>linear classifier by embedding the names or descriptions of the target dataset’s</w:t>
      </w:r>
      <w:r>
        <w:rPr>
          <w:rFonts w:hint="eastAsia"/>
        </w:rPr>
        <w:t xml:space="preserve"> </w:t>
      </w:r>
      <w:r>
        <w:t>classes.</w:t>
      </w:r>
    </w:p>
    <w:p w14:paraId="0CD90B48">
      <w:pPr>
        <w:spacing w:line="480" w:lineRule="auto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2.2 GPT</w:t>
      </w:r>
    </w:p>
    <w:p w14:paraId="4499E85D">
      <w:pPr>
        <w:rPr>
          <w:szCs w:val="21"/>
        </w:rPr>
      </w:pPr>
      <w:r>
        <w:rPr>
          <w:szCs w:val="21"/>
        </w:rPr>
        <w:t xml:space="preserve">Building upon the success of autoregressive language models, OpenAI’s GPT-4V (ision) </w:t>
      </w:r>
      <w:r>
        <w:fldChar w:fldCharType="begin"/>
      </w:r>
      <w:r>
        <w:instrText xml:space="preserve"> HYPERLINK \l "GPT4V" </w:instrText>
      </w:r>
      <w:r>
        <w:fldChar w:fldCharType="separate"/>
      </w:r>
      <w:r>
        <w:rPr>
          <w:rStyle w:val="11"/>
          <w:szCs w:val="21"/>
        </w:rPr>
        <w:t>(OpenAI.,2023)</w:t>
      </w:r>
      <w:r>
        <w:rPr>
          <w:rStyle w:val="11"/>
          <w:rFonts w:hint="eastAsia"/>
          <w:szCs w:val="21"/>
        </w:rPr>
        <w:t xml:space="preserve"> </w:t>
      </w:r>
      <w:r>
        <w:rPr>
          <w:rStyle w:val="11"/>
          <w:rFonts w:hint="eastAsia"/>
          <w:szCs w:val="21"/>
        </w:rPr>
        <w:fldChar w:fldCharType="end"/>
      </w:r>
      <w:r>
        <w:rPr>
          <w:szCs w:val="21"/>
        </w:rPr>
        <w:t>represents a different paradigm: generative alignment.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Instead of using a contrastive objective, this approach feeds visual features into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a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massive, pre-trained language model and trains the entire system to generate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textual responses conditioned on both image and text inputs.</w:t>
      </w:r>
    </w:p>
    <w:p w14:paraId="02099515">
      <w:pPr>
        <w:spacing w:line="480" w:lineRule="auto"/>
        <w:rPr>
          <w:rFonts w:hint="default" w:ascii="Times New Roman Bold" w:hAnsi="Times New Roman Bold" w:cs="Times New Roman Bold"/>
          <w:b/>
          <w:bCs/>
          <w:szCs w:val="21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Cs w:val="21"/>
          <w:lang w:val="en-US" w:eastAsia="zh-CN"/>
        </w:rPr>
        <w:t>2.2.1 Generative Loss Mechanism</w:t>
      </w:r>
    </w:p>
    <w:p w14:paraId="55AFC5D4">
      <w:pPr>
        <w:pStyle w:val="12"/>
        <w:numPr>
          <w:numId w:val="0"/>
        </w:numPr>
        <w:ind w:leftChars="0"/>
        <w:rPr>
          <w:rFonts w:hint="eastAsia"/>
          <w:szCs w:val="21"/>
        </w:rPr>
      </w:pPr>
      <w:r>
        <w:rPr>
          <w:rFonts w:hint="eastAsia"/>
          <w:szCs w:val="21"/>
        </w:rPr>
        <w:t xml:space="preserve">Technically, GPT-4V is trained using an Autoregressive Language Modeling Loss (Cross-Entropy). Given a visual input </w:t>
      </w:r>
      <m:oMath>
        <m:r>
          <m:rPr/>
          <w:rPr>
            <w:rFonts w:hint="default" w:ascii="DejaVu Math TeX Gyre" w:hAnsi="DejaVu Math TeX Gyre"/>
            <w:sz w:val="21"/>
          </w:rPr>
          <m:t>V</m:t>
        </m:r>
      </m:oMath>
      <w:r>
        <w:rPr>
          <w:rFonts w:hint="eastAsia"/>
          <w:szCs w:val="21"/>
        </w:rPr>
        <w:t xml:space="preserve"> and a sequence of text tokens</w:t>
      </w:r>
      <w:r>
        <w:rPr>
          <w:rFonts w:hint="default"/>
          <w:szCs w:val="21"/>
          <w:lang w:val="en-US"/>
        </w:rPr>
        <w:t xml:space="preserve"> </w:t>
      </w:r>
      <m:oMath>
        <m:r>
          <m:rPr/>
          <w:rPr>
            <w:rFonts w:hint="default" w:ascii="DejaVu Math TeX Gyre" w:hAnsi="DejaVu Math TeX Gyre"/>
            <w:sz w:val="21"/>
          </w:rPr>
          <m:t>T=</m:t>
        </m:r>
        <m:r>
          <m:rPr/>
          <w:rPr>
            <w:rFonts w:hint="default" w:ascii="DejaVu Math TeX Gyre" w:hAnsi="DejaVu Math TeX Gyre"/>
            <w:sz w:val="21"/>
            <w:lang w:val="en-US"/>
          </w:rPr>
          <m:t>{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t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1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t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2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</w:rPr>
          <m:t>,...,</m:t>
        </m:r>
        <m:sSub>
          <m:sSubPr>
            <m:ctrlPr>
              <w:rPr>
                <w:rFonts w:hint="default" w:ascii="DejaVu Math TeX Gyre" w:hAnsi="DejaVu Math TeX Gyre"/>
                <w:sz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</w:rPr>
              <m:t>t</m:t>
            </m:r>
            <m:ctrlPr>
              <w:rPr>
                <w:rFonts w:ascii="DejaVu Math TeX Gyre" w:hAnsi="DejaVu Math TeX Gyre"/>
                <w:sz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</w:rPr>
              <m:t>n</m:t>
            </m:r>
            <m:ctrlPr>
              <w:rPr>
                <w:rFonts w:ascii="DejaVu Math TeX Gyre" w:hAnsi="DejaVu Math TeX Gyre"/>
                <w:sz w:val="21"/>
              </w:rPr>
            </m:ctrlPr>
          </m:sub>
        </m:sSub>
        <m:r>
          <m:rPr>
            <m:sty m:val="p"/>
          </m:rPr>
          <w:rPr>
            <w:rFonts w:hint="default" w:ascii="DejaVu Math TeX Gyre" w:hAnsi="DejaVu Math TeX Gyre"/>
            <w:sz w:val="21"/>
            <w:lang w:val="en-US"/>
          </w:rPr>
          <m:t>}</m:t>
        </m:r>
      </m:oMath>
      <w:r>
        <w:rPr>
          <w:rFonts w:hint="eastAsia"/>
          <w:szCs w:val="21"/>
        </w:rPr>
        <w:t>, the model aims to maximize the likelihood of predicting the next token based on all previous tokens and the visual features. The negative log-likelihood loss function is expressed as:</w:t>
      </w:r>
    </w:p>
    <w:p w14:paraId="29868E14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23" w:lineRule="atLeast"/>
        <w:ind w:leftChars="0"/>
        <w:jc w:val="right"/>
        <m:rPr/>
        <w:rPr>
          <w:rFonts w:hint="default" w:hAnsi="DejaVu Math TeX Gyre" w:eastAsia="sans-serif"/>
          <w:i w:val="0"/>
          <w:sz w:val="24"/>
          <w:lang w:val="en-US"/>
        </w:rPr>
      </w:pPr>
      <w:r>
        <w:rPr>
          <w:rFonts w:hint="default" w:hAnsi="DejaVu Math TeX Gyre" w:eastAsia="sans-serif"/>
          <w:i w:val="0"/>
          <w:sz w:val="24"/>
          <w:lang w:val="en-US"/>
        </w:rPr>
        <w:t xml:space="preserve">  </w:t>
      </w:r>
      <m:oMath>
        <m:sSub>
          <m:sSubPr>
            <m:ctrlPr>
              <w:rPr>
                <w:rFonts w:hint="default" w:ascii="DejaVu Math TeX Gyre" w:hAnsi="DejaVu Math TeX Gyre" w:eastAsia="sans-serif"/>
                <w:sz w:val="24"/>
              </w:rPr>
            </m:ctrlPr>
          </m:sSubPr>
          <m:e>
            <m:r>
              <m:rPr>
                <m:scr m:val="script"/>
              </m:rPr>
              <w:rPr>
                <w:rFonts w:hint="default" w:ascii="DejaVu Math TeX Gyre" w:hAnsi="DejaVu Math TeX Gyre" w:eastAsia="MS Mincho"/>
                <w:sz w:val="24"/>
              </w:rPr>
              <m:t>ℒ</m:t>
            </m:r>
            <m:ctrlPr>
              <w:rPr>
                <w:rFonts w:ascii="DejaVu Math TeX Gyre" w:hAnsi="DejaVu Math TeX Gyre" w:eastAsia="sans-serif"/>
                <w:sz w:val="24"/>
              </w:rPr>
            </m:ctrlPr>
          </m:e>
          <m:sub>
            <m:r>
              <m:rPr/>
              <w:rPr>
                <w:rFonts w:hint="default" w:ascii="DejaVu Math TeX Gyre" w:hAnsi="DejaVu Math TeX Gyre" w:eastAsia="sans-serif"/>
                <w:sz w:val="24"/>
              </w:rPr>
              <m:t>gen</m:t>
            </m:r>
            <m:ctrlPr>
              <w:rPr>
                <w:rFonts w:ascii="DejaVu Math TeX Gyre" w:hAnsi="DejaVu Math TeX Gyre" w:eastAsia="sans-serif"/>
                <w:sz w:val="24"/>
              </w:rPr>
            </m:ctrlPr>
          </m:sub>
        </m:sSub>
        <m:r>
          <m:rPr/>
          <w:rPr>
            <w:rFonts w:hint="default" w:ascii="DejaVu Math TeX Gyre" w:hAnsi="DejaVu Math TeX Gyre" w:eastAsia="sans-serif"/>
            <w:sz w:val="24"/>
          </w:rPr>
          <m:t>=−</m:t>
        </m:r>
        <m:nary>
          <m:naryPr>
            <m:chr m:val="∑"/>
            <m:limLoc m:val="undOvr"/>
            <m:ctrlPr>
              <w:rPr>
                <w:rFonts w:hint="default" w:ascii="DejaVu Math TeX Gyre" w:hAnsi="DejaVu Math TeX Gyre" w:eastAsia="sans-serif"/>
                <w:i/>
                <w:sz w:val="24"/>
              </w:rPr>
            </m:ctrlPr>
          </m:naryPr>
          <m:sub>
            <m:r>
              <m:rPr/>
              <w:rPr>
                <w:rFonts w:hint="default" w:ascii="DejaVu Math TeX Gyre" w:hAnsi="DejaVu Math TeX Gyre" w:eastAsia="sans-serif"/>
                <w:sz w:val="24"/>
              </w:rPr>
              <m:t>i=1</m:t>
            </m:r>
            <m:ctrlPr>
              <w:rPr>
                <w:rFonts w:ascii="DejaVu Math TeX Gyre" w:hAnsi="DejaVu Math TeX Gyre" w:eastAsia="sans-serif"/>
                <w:sz w:val="24"/>
              </w:rPr>
            </m:ctrlPr>
          </m:sub>
          <m:sup>
            <m:r>
              <m:rPr/>
              <w:rPr>
                <w:rFonts w:hint="default" w:ascii="DejaVu Math TeX Gyre" w:hAnsi="DejaVu Math TeX Gyre" w:eastAsia="sans-serif"/>
                <w:sz w:val="24"/>
              </w:rPr>
              <m:t>n</m:t>
            </m:r>
            <m:ctrlPr>
              <w:rPr>
                <w:rFonts w:ascii="DejaVu Math TeX Gyre" w:hAnsi="DejaVu Math TeX Gyre" w:eastAsia="sans-serif"/>
                <w:sz w:val="24"/>
              </w:rPr>
            </m:ctrlPr>
          </m:sup>
          <m:e>
            <m:func>
              <m:funcPr>
                <m:ctrlPr>
                  <w:rPr>
                    <w:rFonts w:hint="default" w:ascii="DejaVu Math TeX Gyre" w:hAnsi="DejaVu Math TeX Gyre" w:eastAsia="sans-serif"/>
                    <w:sz w:val="24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hint="default" w:ascii="DejaVu Math TeX Gyre" w:hAnsi="DejaVu Math TeX Gyre" w:eastAsia="sans-serif"/>
                    <w:sz w:val="24"/>
                  </w:rPr>
                  <m:t>log</m:t>
                </m:r>
                <m:ctrlPr>
                  <w:rPr>
                    <w:rFonts w:ascii="DejaVu Math TeX Gyre" w:hAnsi="DejaVu Math TeX Gyre" w:eastAsia="sans-serif"/>
                    <w:sz w:val="24"/>
                  </w:rPr>
                </m:ctrlPr>
              </m:fName>
              <m:e>
                <m:r>
                  <m:rPr/>
                  <w:rPr>
                    <w:rFonts w:hint="default" w:ascii="DejaVu Math TeX Gyre" w:hAnsi="DejaVu Math TeX Gyre" w:eastAsia="sans-serif"/>
                    <w:sz w:val="24"/>
                  </w:rPr>
                  <m:t>P</m:t>
                </m:r>
                <m:ctrlPr>
                  <w:rPr>
                    <w:rFonts w:ascii="DejaVu Math TeX Gyre" w:hAnsi="DejaVu Math TeX Gyre" w:eastAsia="sans-serif"/>
                    <w:sz w:val="24"/>
                  </w:rPr>
                </m:ctrlPr>
              </m:e>
            </m:func>
            <m:ctrlPr>
              <w:rPr>
                <w:rFonts w:hint="default" w:ascii="DejaVu Math TeX Gyre" w:hAnsi="DejaVu Math TeX Gyre" w:eastAsia="sans-serif"/>
                <w:sz w:val="24"/>
              </w:rPr>
            </m:ctrlPr>
          </m:e>
        </m:nary>
        <m:r>
          <m:rPr/>
          <w:rPr>
            <w:rFonts w:hint="default" w:ascii="DejaVu Math TeX Gyre" w:hAnsi="DejaVu Math TeX Gyre" w:eastAsia="sans-serif"/>
            <w:sz w:val="24"/>
          </w:rPr>
          <m:t>(</m:t>
        </m:r>
        <m:sSub>
          <m:sSubPr>
            <m:ctrlPr>
              <w:rPr>
                <w:rFonts w:hint="default" w:ascii="DejaVu Math TeX Gyre" w:hAnsi="DejaVu Math TeX Gyre" w:eastAsia="sans-serif"/>
                <w:sz w:val="24"/>
              </w:rPr>
            </m:ctrlPr>
          </m:sSubPr>
          <m:e>
            <m:r>
              <m:rPr/>
              <w:rPr>
                <w:rFonts w:hint="default" w:ascii="DejaVu Math TeX Gyre" w:hAnsi="DejaVu Math TeX Gyre" w:eastAsia="sans-serif"/>
                <w:sz w:val="24"/>
              </w:rPr>
              <m:t>t</m:t>
            </m:r>
            <m:ctrlPr>
              <w:rPr>
                <w:rFonts w:hint="default" w:ascii="DejaVu Math TeX Gyre" w:hAnsi="DejaVu Math TeX Gyre" w:eastAsia="sans-serif"/>
                <w:sz w:val="24"/>
              </w:rPr>
            </m:ctrlPr>
          </m:e>
          <m:sub>
            <m:r>
              <m:rPr/>
              <w:rPr>
                <w:rFonts w:hint="default" w:ascii="DejaVu Math TeX Gyre" w:hAnsi="DejaVu Math TeX Gyre" w:eastAsia="sans-serif"/>
                <w:sz w:val="24"/>
              </w:rPr>
              <m:t>i</m:t>
            </m:r>
            <m:ctrlPr>
              <w:rPr>
                <w:rFonts w:hint="default" w:ascii="DejaVu Math TeX Gyre" w:hAnsi="DejaVu Math TeX Gyre" w:eastAsia="sans-serif"/>
                <w:sz w:val="24"/>
              </w:rPr>
            </m:ctrlPr>
          </m:sub>
        </m:sSub>
        <m:r>
          <m:rPr/>
          <w:rPr>
            <w:rFonts w:hint="default" w:ascii="DejaVu Math TeX Gyre" w:hAnsi="DejaVu Math TeX Gyre" w:eastAsia="sans-serif"/>
            <w:sz w:val="24"/>
          </w:rPr>
          <m:t>∣V,</m:t>
        </m:r>
        <m:sSub>
          <m:sSubPr>
            <m:ctrlPr>
              <w:rPr>
                <w:rFonts w:hint="default" w:ascii="DejaVu Math TeX Gyre" w:hAnsi="DejaVu Math TeX Gyre" w:eastAsia="sans-serif"/>
                <w:sz w:val="24"/>
              </w:rPr>
            </m:ctrlPr>
          </m:sSubPr>
          <m:e>
            <m:r>
              <m:rPr/>
              <w:rPr>
                <w:rFonts w:hint="default" w:ascii="DejaVu Math TeX Gyre" w:hAnsi="DejaVu Math TeX Gyre" w:eastAsia="sans-serif"/>
                <w:sz w:val="24"/>
              </w:rPr>
              <m:t>t</m:t>
            </m:r>
            <m:ctrlPr>
              <w:rPr>
                <w:rFonts w:hint="default" w:ascii="DejaVu Math TeX Gyre" w:hAnsi="DejaVu Math TeX Gyre" w:eastAsia="sans-serif"/>
                <w:sz w:val="24"/>
              </w:rPr>
            </m:ctrlPr>
          </m:e>
          <m:sub>
            <m:r>
              <m:rPr/>
              <w:rPr>
                <w:rFonts w:hint="default" w:ascii="DejaVu Math TeX Gyre" w:hAnsi="DejaVu Math TeX Gyre" w:eastAsia="sans-serif"/>
                <w:sz w:val="24"/>
              </w:rPr>
              <m:t>&lt;i</m:t>
            </m:r>
            <m:ctrlPr>
              <w:rPr>
                <w:rFonts w:hint="default" w:ascii="DejaVu Math TeX Gyre" w:hAnsi="DejaVu Math TeX Gyre" w:eastAsia="sans-serif"/>
                <w:sz w:val="24"/>
              </w:rPr>
            </m:ctrlPr>
          </m:sub>
        </m:sSub>
        <m:r>
          <m:rPr/>
          <w:rPr>
            <w:rFonts w:hint="default" w:ascii="DejaVu Math TeX Gyre" w:hAnsi="DejaVu Math TeX Gyre" w:eastAsia="sans-serif"/>
            <w:sz w:val="24"/>
          </w:rPr>
          <m:t>;θ)</m:t>
        </m:r>
      </m:oMath>
      <w:r>
        <m:rPr/>
        <w:rPr>
          <w:rFonts w:hint="default" w:hAnsi="DejaVu Math TeX Gyre" w:eastAsia="sans-serif"/>
          <w:i w:val="0"/>
          <w:sz w:val="24"/>
          <w:lang w:val="en-US"/>
        </w:rPr>
        <w:t xml:space="preserve">                   (4)</w:t>
      </w:r>
    </w:p>
    <w:p w14:paraId="652016C8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240" w:lineRule="auto"/>
        <w:ind w:leftChars="0"/>
        <w:jc w:val="both"/>
        <m:rPr/>
        <w:rPr>
          <w:rFonts w:hint="default" w:hAnsi="DejaVu Math TeX Gyre" w:eastAsia="sans-serif"/>
          <w:i w:val="0"/>
          <w:sz w:val="24"/>
          <w:lang w:val="en-US"/>
        </w:rPr>
      </w:pPr>
      <w:r>
        <m:rPr/>
        <w:rPr>
          <w:rFonts w:hint="default" w:hAnsi="DejaVu Math TeX Gyre" w:eastAsia="sans-serif"/>
          <w:i w:val="0"/>
          <w:sz w:val="24"/>
          <w:lang w:val="en-US"/>
        </w:rPr>
        <w:t xml:space="preserve">where </w:t>
      </w:r>
      <m:oMath>
        <m:r>
          <m:rPr/>
          <w:rPr>
            <w:rFonts w:hint="default" w:ascii="DejaVu Math TeX Gyre" w:hAnsi="DejaVu Math TeX Gyre" w:eastAsia="sans-serif"/>
            <w:sz w:val="24"/>
          </w:rPr>
          <m:t>V</m:t>
        </m:r>
      </m:oMath>
      <w:r>
        <m:rPr/>
        <w:rPr>
          <w:rFonts w:hint="default" w:hAnsi="DejaVu Math TeX Gyre" w:eastAsia="sans-serif"/>
          <w:i w:val="0"/>
          <w:sz w:val="24"/>
          <w:lang w:val="en-US"/>
        </w:rPr>
        <w:t xml:space="preserve"> represents visual features, </w:t>
      </w:r>
      <m:oMath>
        <m:sSub>
          <m:sSubPr>
            <m:ctrlPr>
              <w:rPr>
                <w:rFonts w:hint="default" w:ascii="DejaVu Math TeX Gyre" w:hAnsi="DejaVu Math TeX Gyre" w:eastAsia="sans-serif"/>
                <w:sz w:val="24"/>
              </w:rPr>
            </m:ctrlPr>
          </m:sSubPr>
          <m:e>
            <m:r>
              <m:rPr/>
              <w:rPr>
                <w:rFonts w:hint="default" w:ascii="DejaVu Math TeX Gyre" w:hAnsi="DejaVu Math TeX Gyre" w:eastAsia="sans-serif"/>
                <w:sz w:val="24"/>
              </w:rPr>
              <m:t>t</m:t>
            </m:r>
            <m:ctrlPr>
              <w:rPr>
                <w:rFonts w:ascii="DejaVu Math TeX Gyre" w:hAnsi="DejaVu Math TeX Gyre" w:eastAsia="sans-serif"/>
                <w:sz w:val="24"/>
              </w:rPr>
            </m:ctrlPr>
          </m:e>
          <m:sub>
            <m:r>
              <m:rPr/>
              <w:rPr>
                <w:rFonts w:hint="default" w:ascii="DejaVu Math TeX Gyre" w:hAnsi="DejaVu Math TeX Gyre" w:eastAsia="sans-serif"/>
                <w:sz w:val="24"/>
              </w:rPr>
              <m:t>&lt;i</m:t>
            </m:r>
            <m:ctrlPr>
              <w:rPr>
                <w:rFonts w:ascii="DejaVu Math TeX Gyre" w:hAnsi="DejaVu Math TeX Gyre" w:eastAsia="sans-serif"/>
                <w:sz w:val="24"/>
              </w:rPr>
            </m:ctrlPr>
          </m:sub>
        </m:sSub>
      </m:oMath>
      <w:r>
        <w:rPr>
          <w:rFonts w:hint="default" w:hAnsi="DejaVu Math TeX Gyre" w:eastAsia="sans-serif"/>
          <w:i w:val="0"/>
          <w:sz w:val="24"/>
          <w:lang w:val="en-US"/>
        </w:rPr>
        <w:t xml:space="preserve"> represents the sequence of tokens preceding the current token </w:t>
      </w:r>
      <m:oMath>
        <m:r>
          <m:rPr/>
          <w:rPr>
            <w:rFonts w:hint="default" w:ascii="DejaVu Math TeX Gyre" w:hAnsi="DejaVu Math TeX Gyre" w:eastAsia="sans-serif"/>
            <w:sz w:val="24"/>
          </w:rPr>
          <m:t>i</m:t>
        </m:r>
      </m:oMath>
      <w:r>
        <m:rPr/>
        <w:rPr>
          <w:rFonts w:hint="default" w:hAnsi="DejaVu Math TeX Gyre" w:eastAsia="sans-serif"/>
          <w:i w:val="0"/>
          <w:sz w:val="24"/>
          <w:lang w:val="en-US"/>
        </w:rPr>
        <w:t xml:space="preserve">, and </w:t>
      </w:r>
      <m:oMath>
        <m:r>
          <m:rPr/>
          <w:rPr>
            <w:rFonts w:hint="default" w:ascii="DejaVu Math TeX Gyre" w:hAnsi="DejaVu Math TeX Gyre" w:eastAsia="sans-serif"/>
            <w:sz w:val="24"/>
          </w:rPr>
          <m:t>θ</m:t>
        </m:r>
      </m:oMath>
      <w:r>
        <m:rPr/>
        <w:rPr>
          <w:rFonts w:hint="default" w:hAnsi="DejaVu Math TeX Gyre" w:eastAsia="sans-serif"/>
          <w:i w:val="0"/>
          <w:sz w:val="24"/>
          <w:lang w:val="en-US"/>
        </w:rPr>
        <w:t xml:space="preserve"> denotes the model parameters. This objective allows the model to treat visual understanding as a next-token prediction problem.</w:t>
      </w:r>
    </w:p>
    <w:p w14:paraId="6C34072E">
      <w:pPr>
        <w:keepNext w:val="0"/>
        <w:keepLines w:val="0"/>
        <w:widowControl/>
        <w:numPr>
          <w:numId w:val="0"/>
        </w:numPr>
        <w:suppressLineNumbers w:val="0"/>
        <w:spacing w:before="0" w:beforeAutospacing="0" w:line="240" w:lineRule="auto"/>
        <w:ind w:leftChars="0"/>
        <w:jc w:val="both"/>
        <m:rPr/>
        <w:rPr>
          <w:rFonts w:hint="default" w:hAnsi="DejaVu Math TeX Gyre" w:eastAsia="sans-serif"/>
          <w:i w:val="0"/>
          <w:sz w:val="24"/>
          <w:lang w:val="en-US" w:eastAsia="zh-CN"/>
        </w:rPr>
      </w:pPr>
    </w:p>
    <w:p w14:paraId="296912CF">
      <w:pPr>
        <w:pStyle w:val="12"/>
        <w:numPr>
          <w:numId w:val="0"/>
        </w:numPr>
        <w:spacing w:line="480" w:lineRule="auto"/>
        <w:ind w:leftChars="0"/>
        <w:rPr>
          <w:rFonts w:hint="default" w:ascii="Times New Roman Bold" w:hAnsi="Times New Roman Bold" w:cs="Times New Roman Bold"/>
          <w:b/>
          <w:bCs/>
          <w:szCs w:val="21"/>
          <w:lang w:val="en-US"/>
        </w:rPr>
      </w:pPr>
      <w:r>
        <w:rPr>
          <w:rFonts w:hint="default" w:ascii="Times New Roman Bold" w:hAnsi="Times New Roman Bold" w:cs="Times New Roman Bold"/>
          <w:b/>
          <w:bCs/>
          <w:szCs w:val="21"/>
          <w:lang w:val="en-US"/>
        </w:rPr>
        <w:t>2.2.2 Strengths and Limitations</w:t>
      </w:r>
    </w:p>
    <w:p w14:paraId="5DF2B2EC">
      <w:pPr>
        <w:pStyle w:val="12"/>
        <w:numPr>
          <w:numId w:val="0"/>
        </w:numPr>
        <w:ind w:leftChars="0"/>
        <w:rPr>
          <w:szCs w:val="21"/>
        </w:rPr>
      </w:pPr>
      <w:r>
        <w:rPr>
          <w:szCs w:val="21"/>
        </w:rPr>
        <w:t>Strengths and Contributions: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GPT-4V demonstrates an unprecedented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ability for complex, conversational reasoning across vision and language.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It can not only describe images but also answer follow-up questions, explain jokes, infer intentions, and even perform basic reasoning based on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visual information. This creates a truly interactive and unified model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where the language model acts as a central reasoning engine. Its ability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to follow intricate instructions makes it highly versatile.</w:t>
      </w:r>
    </w:p>
    <w:p w14:paraId="641EBB5E">
      <w:pPr>
        <w:pStyle w:val="12"/>
        <w:numPr>
          <w:numId w:val="0"/>
        </w:numPr>
        <w:ind w:leftChars="0"/>
        <w:rPr>
          <w:szCs w:val="21"/>
        </w:rPr>
      </w:pPr>
    </w:p>
    <w:p w14:paraId="20689BD7">
      <w:pPr>
        <w:pStyle w:val="12"/>
        <w:numPr>
          <w:numId w:val="0"/>
        </w:numPr>
        <w:ind w:leftChars="0"/>
        <w:rPr>
          <w:szCs w:val="21"/>
        </w:rPr>
      </w:pPr>
      <w:r>
        <w:rPr>
          <w:szCs w:val="21"/>
        </w:rPr>
        <w:t>Limitations and Context: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The primary limitation of this approach is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its computational cost. Autoregressive generation is significantly slower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than the retrieval-based approach of CLIP, making it less suitable for high</w:t>
      </w:r>
      <w:r>
        <w:rPr>
          <w:rFonts w:hint="eastAsia"/>
          <w:szCs w:val="21"/>
        </w:rPr>
        <w:t>-</w:t>
      </w:r>
      <w:r>
        <w:rPr>
          <w:szCs w:val="21"/>
        </w:rPr>
        <w:t>throughput applications. Moreover, as a closed model, its training data,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internal architecture, and failure modes are not fully transparent, which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raises concerns about reproducibility and bias mitigation. Like CLIP, it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can still make errors in detailed spatial or logical reasoning.</w:t>
      </w:r>
    </w:p>
    <w:p w14:paraId="34659D32">
      <w:pPr>
        <w:rPr>
          <w:szCs w:val="21"/>
        </w:rPr>
      </w:pPr>
    </w:p>
    <w:p w14:paraId="4CE587A8">
      <w:pPr>
        <w:rPr>
          <w:szCs w:val="21"/>
        </w:rPr>
      </w:pPr>
      <w:r>
        <w:rPr>
          <w:szCs w:val="21"/>
        </w:rPr>
        <w:t>The selection of these two studies is justified as they represent the two dominant paths in current multimodal research: one favoring efficient, discriminative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representation learning (CLIP) and the other favoring powerful, generative reasoning (GPT-4V). The tension between these approaches defines the current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research landscape, prompting efforts to create more efficient hybrids, such as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BLIP-2</w:t>
      </w:r>
      <w:r>
        <w:rPr>
          <w:rFonts w:hint="default"/>
          <w:szCs w:val="21"/>
          <w:lang w:val="en-US"/>
        </w:rPr>
        <w:t xml:space="preserve"> </w:t>
      </w:r>
      <w:r>
        <w:fldChar w:fldCharType="begin"/>
      </w:r>
      <w:r>
        <w:instrText xml:space="preserve"> HYPERLINK \l "BLIP" </w:instrText>
      </w:r>
      <w:r>
        <w:fldChar w:fldCharType="separate"/>
      </w:r>
      <w:r>
        <w:rPr>
          <w:rStyle w:val="11"/>
          <w:szCs w:val="21"/>
        </w:rPr>
        <w:t>(Li et al.,2023)</w:t>
      </w:r>
      <w:r>
        <w:rPr>
          <w:rStyle w:val="11"/>
          <w:szCs w:val="21"/>
        </w:rPr>
        <w:fldChar w:fldCharType="end"/>
      </w:r>
      <w:r>
        <w:rPr>
          <w:szCs w:val="21"/>
        </w:rPr>
        <w:t>,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which bootstraps training by leveraging frozen, pre-trained encoders to reduce computational cost.”</w:t>
      </w:r>
    </w:p>
    <w:p w14:paraId="1BDF8AB3">
      <w:pPr>
        <w:spacing w:line="48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3. Discussion</w:t>
      </w:r>
    </w:p>
    <w:p w14:paraId="6BB81301">
      <w:pPr>
        <w:rPr>
          <w:szCs w:val="21"/>
        </w:rPr>
      </w:pPr>
      <w:r>
        <w:rPr>
          <w:szCs w:val="21"/>
        </w:rPr>
        <w:t>The analysis of CLIP and GPT-4V reveals a clear trend: the key to powerful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multimodal AI is scalable pre-training that establishes a deep semantic connection between modalities, moving beyond simple feature concatenation. The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contrastive approach of CLIP proves that learning a shared embedding space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from web-scale data is sufficient for many recognition tasks, while the generative approach of GPT-4V shows that visual understanding can be effectively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cast as a next-token prediction problem within a powerful language model. This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synthesis suggests that the boundary between “vision” and “</w:t>
      </w:r>
      <w:r>
        <w:rPr>
          <w:rFonts w:hint="eastAsia"/>
          <w:szCs w:val="21"/>
        </w:rPr>
        <w:t>l</w:t>
      </w:r>
      <w:r>
        <w:rPr>
          <w:szCs w:val="21"/>
        </w:rPr>
        <w:t>anguage” models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is blurring, with language providing a powerful scaffold for general reasoning.</w:t>
      </w:r>
    </w:p>
    <w:p w14:paraId="3A1E6654">
      <w:pPr>
        <w:rPr>
          <w:sz w:val="24"/>
        </w:rPr>
      </w:pPr>
    </w:p>
    <w:p w14:paraId="64EB1456">
      <w:pPr>
        <w:rPr>
          <w:szCs w:val="21"/>
        </w:rPr>
      </w:pPr>
      <w:r>
        <w:rPr>
          <w:szCs w:val="21"/>
        </w:rPr>
        <w:t>However, both paradigms share significant limitations. A critical unresolved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challenge is compositional reasoning. Neither model reliably understands complex phrases like “the cat to the left of the dog that is sleeping,” indicating a gap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between associating concepts and truly parsing scene grammar. Furthermore,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the reliance on massive datasets introduces risks of memorization, copyright issues, and the propagation of biases. The computational cost of these models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also raises concerns about their environmental impact and accessibility for re-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searchers with limited resources. Future work must address these limitations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by developing more data-efficient training methods, incorporating structured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knowledge or symbolic reasoning to improve compositional understanding, and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establishing rigorous frameworks for auditing and mitigating bias.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Also exploring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hybrid architectures is necessary, such as Kosmos-1’s token-based multimodal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fusion </w:t>
      </w:r>
      <w:r>
        <w:fldChar w:fldCharType="begin"/>
      </w:r>
      <w:r>
        <w:instrText xml:space="preserve"> HYPERLINK \l "Huang" </w:instrText>
      </w:r>
      <w:r>
        <w:fldChar w:fldCharType="separate"/>
      </w:r>
      <w:r>
        <w:rPr>
          <w:rStyle w:val="11"/>
          <w:szCs w:val="21"/>
        </w:rPr>
        <w:t>(Huang et al., 2023)</w:t>
      </w:r>
      <w:r>
        <w:rPr>
          <w:rStyle w:val="11"/>
          <w:szCs w:val="21"/>
        </w:rPr>
        <w:fldChar w:fldCharType="end"/>
      </w:r>
      <w:r>
        <w:rPr>
          <w:szCs w:val="21"/>
        </w:rPr>
        <w:t>,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to balance compositional reasoning efficiency with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the scalability of contrastive learning.</w:t>
      </w:r>
    </w:p>
    <w:p w14:paraId="701E1569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4. Conclusion</w:t>
      </w:r>
    </w:p>
    <w:p w14:paraId="0409C451">
      <w:pPr>
        <w:rPr>
          <w:szCs w:val="21"/>
        </w:rPr>
      </w:pPr>
      <w:r>
        <w:rPr>
          <w:szCs w:val="21"/>
        </w:rPr>
        <w:t>This survey has synthesized the rapid progression of multimodal AI, highlighting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the transformative impact of foundation models like CLIP and GPT-4V. We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have delineated how contrastive and generative pre-training paradigms have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enabled unprecedented zero-shot and conversational abilities by learning aligned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representations across vision and language. The core contribution of this line of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work is the demonstration that a unified, scalable approach to multimodality is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feasible and highly effective.</w:t>
      </w:r>
    </w:p>
    <w:p w14:paraId="143AC993">
      <w:pPr>
        <w:rPr>
          <w:szCs w:val="21"/>
        </w:rPr>
      </w:pPr>
    </w:p>
    <w:p w14:paraId="60DA8B0B">
      <w:pPr>
        <w:rPr>
          <w:szCs w:val="21"/>
        </w:rPr>
      </w:pPr>
      <w:r>
        <w:rPr>
          <w:szCs w:val="21"/>
        </w:rPr>
        <w:t>The broader significance lies in paving the way for more general and accessible AI systems that can interact with the world in a more human-like manner.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Despite these advances, we acknowledge that challenges in robustness, reasoning, and ethics remain formidable. Therefore, we propose that specific future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directions should include: 1) developing benchmarks that rigorously test compositional reasoning, 2) exploring modular or neuro</w:t>
      </w:r>
      <w:r>
        <w:rPr>
          <w:rFonts w:hint="default"/>
          <w:szCs w:val="21"/>
          <w:lang w:val="en-US"/>
        </w:rPr>
        <w:t>-</w:t>
      </w:r>
      <w:r>
        <w:rPr>
          <w:szCs w:val="21"/>
        </w:rPr>
        <w:t>symbolic architectures to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enhance interpretability and efficiency, and 3) creating standardized protocols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for evaluating and ensuring fairness in multimodal systems. Ultimately, the convergence of modalities is not merely a technical achievement but a step towards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building more intelligent and helpful machines.</w:t>
      </w:r>
    </w:p>
    <w:p w14:paraId="7CE03648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5. Reference</w:t>
      </w:r>
    </w:p>
    <w:p w14:paraId="3D12D066">
      <w:bookmarkStart w:id="1" w:name="CLIP"/>
      <w:r>
        <w:t>Radford, A., Kim, J. W., Hallacy, C., Ramesh, A., Goh, G., Agarwal, S.,</w:t>
      </w:r>
      <w:r>
        <w:rPr>
          <w:rFonts w:hint="eastAsia"/>
        </w:rPr>
        <w:t xml:space="preserve"> .</w:t>
      </w:r>
      <w:r>
        <w:t xml:space="preserve"> . &amp; Sutskever, I. (2021). Learning transferable visual models from natural</w:t>
      </w:r>
      <w:r>
        <w:rPr>
          <w:rFonts w:hint="eastAsia"/>
        </w:rPr>
        <w:t xml:space="preserve"> </w:t>
      </w:r>
      <w:r>
        <w:t>language supervision. Proceedings of the 38th International Conference on Ma-</w:t>
      </w:r>
      <w:r>
        <w:rPr>
          <w:rFonts w:hint="eastAsia"/>
        </w:rPr>
        <w:t xml:space="preserve"> </w:t>
      </w:r>
      <w:r>
        <w:t>chine Learning (ICML).</w:t>
      </w:r>
    </w:p>
    <w:bookmarkEnd w:id="1"/>
    <w:p w14:paraId="01FDD394"/>
    <w:p w14:paraId="20F3D035">
      <w:bookmarkStart w:id="2" w:name="VisualBERT"/>
      <w:r>
        <w:t>Li, L. H., Yatskar, M., Yin, D., Hsieh, C. J., &amp; Chang, K. W. (2019). VisualBERT: A simple and performant baseline for vision and language. arXiv</w:t>
      </w:r>
      <w:r>
        <w:rPr>
          <w:rFonts w:hint="eastAsia"/>
        </w:rPr>
        <w:t xml:space="preserve"> </w:t>
      </w:r>
      <w:r>
        <w:t>preprint arXiv:1908.03557.</w:t>
      </w:r>
    </w:p>
    <w:bookmarkEnd w:id="2"/>
    <w:p w14:paraId="7D745C64"/>
    <w:p w14:paraId="29EA64E9">
      <w:bookmarkStart w:id="3" w:name="GPT4V"/>
      <w:r>
        <w:t>OpenAI. (2023). GPT-4 Technical Report. arXiv preprint arXiv:2303.08774.</w:t>
      </w:r>
      <w:r>
        <w:rPr>
          <w:rFonts w:hint="eastAsia"/>
        </w:rPr>
        <w:t xml:space="preserve"> </w:t>
      </w:r>
    </w:p>
    <w:bookmarkEnd w:id="3"/>
    <w:p w14:paraId="21ADB2E5"/>
    <w:p w14:paraId="1B4E0490">
      <w:bookmarkStart w:id="4" w:name="ViLBERT"/>
      <w:r>
        <w:t>Lu, J., Batra, D., Parikh, D., &amp; Lee, S. (2019). ViLBERT: Pretraining task-agnostic visiolinguistic representations for vision-and-language tasks. Advances</w:t>
      </w:r>
      <w:r>
        <w:rPr>
          <w:rFonts w:hint="eastAsia"/>
        </w:rPr>
        <w:t xml:space="preserve"> </w:t>
      </w:r>
      <w:r>
        <w:t>in Neural Information Processing Systems (NeurIPS).</w:t>
      </w:r>
    </w:p>
    <w:bookmarkEnd w:id="4"/>
    <w:p w14:paraId="1F344698"/>
    <w:p w14:paraId="162C7A37">
      <w:bookmarkStart w:id="5" w:name="LLaVA"/>
      <w:r>
        <w:t>Liu, H., Li, C., Wu, Q., &amp; Lee, Y. J. (2023). Visual Instruction Tuning. Advances in Neural Information Processing Systems (NeurIPS), 36, 34892–34916.</w:t>
      </w:r>
    </w:p>
    <w:bookmarkEnd w:id="5"/>
    <w:p w14:paraId="4A6C2049"/>
    <w:p w14:paraId="3F65C04C">
      <w:bookmarkStart w:id="6" w:name="BLIP"/>
      <w:r>
        <w:t>Li, J., Li, D., Savarese, S., &amp; Hoi, S. (2023). BLIP-2: Bootstrapping Language-Image Pre-training with Frozen Image Encoders and Large Language Models.</w:t>
      </w:r>
      <w:r>
        <w:rPr>
          <w:rFonts w:hint="eastAsia"/>
        </w:rPr>
        <w:t xml:space="preserve"> </w:t>
      </w:r>
      <w:r>
        <w:t>Proceedings of the 40th International Conference on Machine Learning</w:t>
      </w:r>
      <w:r>
        <w:rPr>
          <w:rFonts w:hint="eastAsia"/>
        </w:rPr>
        <w:t xml:space="preserve"> </w:t>
      </w:r>
      <w:r>
        <w:t>(PMLR202).</w:t>
      </w:r>
    </w:p>
    <w:bookmarkEnd w:id="6"/>
    <w:p w14:paraId="14447F09"/>
    <w:p w14:paraId="245927BB">
      <w:bookmarkStart w:id="7" w:name="Huang"/>
      <w:r>
        <w:t>Huang, S., et al. (2023). Language Is Not All You Need: Aligning Perception</w:t>
      </w:r>
      <w:r>
        <w:rPr>
          <w:rFonts w:hint="eastAsia"/>
        </w:rPr>
        <w:t xml:space="preserve"> </w:t>
      </w:r>
      <w:r>
        <w:t>with Language Models. ArXiv Preprint. arXiv:2302.14045</w:t>
      </w:r>
      <w:r>
        <w:rPr>
          <w:rFonts w:hint="eastAsia"/>
        </w:rPr>
        <w:t>.</w:t>
      </w:r>
      <w:bookmarkEnd w:id="7"/>
    </w:p>
    <w:sectPr>
      <w:footerReference r:id="rId3" w:type="default"/>
      <w:pgSz w:w="11906" w:h="16838"/>
      <w:pgMar w:top="794" w:right="1418" w:bottom="794" w:left="1418" w:header="794" w:footer="794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A51BD7">
    <w:pPr>
      <w:pStyle w:val="3"/>
      <w:jc w:val="center"/>
      <w:rPr>
        <w:sz w:val="21"/>
        <w:szCs w:val="21"/>
      </w:rPr>
    </w:pPr>
    <w:r>
      <w:rPr>
        <w:rFonts w:hint="eastAsia"/>
        <w:sz w:val="21"/>
        <w:szCs w:val="21"/>
      </w:rPr>
      <w:t>第</w:t>
    </w:r>
    <w:r>
      <w:rPr>
        <w:rStyle w:val="10"/>
        <w:sz w:val="21"/>
        <w:szCs w:val="21"/>
      </w:rPr>
      <w:fldChar w:fldCharType="begin"/>
    </w:r>
    <w:r>
      <w:rPr>
        <w:rStyle w:val="10"/>
        <w:sz w:val="21"/>
        <w:szCs w:val="21"/>
      </w:rPr>
      <w:instrText xml:space="preserve"> PAGE </w:instrText>
    </w:r>
    <w:r>
      <w:rPr>
        <w:rStyle w:val="10"/>
        <w:sz w:val="21"/>
        <w:szCs w:val="21"/>
      </w:rPr>
      <w:fldChar w:fldCharType="separate"/>
    </w:r>
    <w:r>
      <w:rPr>
        <w:rStyle w:val="10"/>
        <w:sz w:val="21"/>
        <w:szCs w:val="21"/>
      </w:rPr>
      <w:t>1</w:t>
    </w:r>
    <w:r>
      <w:rPr>
        <w:rStyle w:val="10"/>
        <w:sz w:val="21"/>
        <w:szCs w:val="21"/>
      </w:rPr>
      <w:fldChar w:fldCharType="end"/>
    </w:r>
    <w:r>
      <w:rPr>
        <w:rFonts w:hint="eastAsia"/>
        <w:sz w:val="21"/>
        <w:szCs w:val="21"/>
      </w:rPr>
      <w:t>页  共</w:t>
    </w:r>
    <w:r>
      <w:rPr>
        <w:rStyle w:val="10"/>
        <w:sz w:val="21"/>
        <w:szCs w:val="21"/>
      </w:rPr>
      <w:fldChar w:fldCharType="begin"/>
    </w:r>
    <w:r>
      <w:rPr>
        <w:rStyle w:val="10"/>
        <w:sz w:val="21"/>
        <w:szCs w:val="21"/>
      </w:rPr>
      <w:instrText xml:space="preserve"> NUMPAGES </w:instrText>
    </w:r>
    <w:r>
      <w:rPr>
        <w:rStyle w:val="10"/>
        <w:sz w:val="21"/>
        <w:szCs w:val="21"/>
      </w:rPr>
      <w:fldChar w:fldCharType="separate"/>
    </w:r>
    <w:r>
      <w:rPr>
        <w:rStyle w:val="10"/>
        <w:sz w:val="21"/>
        <w:szCs w:val="21"/>
      </w:rPr>
      <w:t>1</w:t>
    </w:r>
    <w:r>
      <w:rPr>
        <w:rStyle w:val="10"/>
        <w:sz w:val="21"/>
        <w:szCs w:val="21"/>
      </w:rPr>
      <w:fldChar w:fldCharType="end"/>
    </w:r>
    <w:r>
      <w:rPr>
        <w:rFonts w:hint="eastAsia"/>
        <w:sz w:val="21"/>
        <w:szCs w:val="21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3BFE0C4"/>
    <w:multiLevelType w:val="multilevel"/>
    <w:tmpl w:val="B3BFE0C4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1">
    <w:nsid w:val="01C74BB8"/>
    <w:multiLevelType w:val="multilevel"/>
    <w:tmpl w:val="01C74BB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15522C68"/>
    <w:multiLevelType w:val="multilevel"/>
    <w:tmpl w:val="15522C6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>
    <w:nsid w:val="41D548E8"/>
    <w:multiLevelType w:val="multilevel"/>
    <w:tmpl w:val="41D548E8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D65"/>
    <w:rsid w:val="0007013E"/>
    <w:rsid w:val="000E0A9E"/>
    <w:rsid w:val="0013004F"/>
    <w:rsid w:val="001E0B7E"/>
    <w:rsid w:val="002036FB"/>
    <w:rsid w:val="002A112E"/>
    <w:rsid w:val="00324F57"/>
    <w:rsid w:val="00326D45"/>
    <w:rsid w:val="0034521E"/>
    <w:rsid w:val="00351741"/>
    <w:rsid w:val="00380A8C"/>
    <w:rsid w:val="004111A4"/>
    <w:rsid w:val="00450B84"/>
    <w:rsid w:val="00466240"/>
    <w:rsid w:val="00517A80"/>
    <w:rsid w:val="00541EF0"/>
    <w:rsid w:val="00577C48"/>
    <w:rsid w:val="006114E2"/>
    <w:rsid w:val="00663530"/>
    <w:rsid w:val="006F76AA"/>
    <w:rsid w:val="00782294"/>
    <w:rsid w:val="008F3BBB"/>
    <w:rsid w:val="00963E92"/>
    <w:rsid w:val="00A856BD"/>
    <w:rsid w:val="00B259DE"/>
    <w:rsid w:val="00B35797"/>
    <w:rsid w:val="00BC5CB6"/>
    <w:rsid w:val="00BD2D65"/>
    <w:rsid w:val="00CB29C5"/>
    <w:rsid w:val="00D3703E"/>
    <w:rsid w:val="00D42BE6"/>
    <w:rsid w:val="00DB34E7"/>
    <w:rsid w:val="00DC1E0F"/>
    <w:rsid w:val="00DD469F"/>
    <w:rsid w:val="00E602E6"/>
    <w:rsid w:val="00E71FF4"/>
    <w:rsid w:val="00F4498F"/>
    <w:rsid w:val="0EE14F30"/>
    <w:rsid w:val="3DBF4426"/>
    <w:rsid w:val="F2CDA64C"/>
    <w:rsid w:val="F5FEB492"/>
    <w:rsid w:val="FEDF5938"/>
    <w:rsid w:val="FEFF1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page number"/>
    <w:basedOn w:val="8"/>
    <w:uiPriority w:val="0"/>
  </w:style>
  <w:style w:type="character" w:styleId="11">
    <w:name w:val="Hyperlink"/>
    <w:basedOn w:val="8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Unresolved Mention"/>
    <w:basedOn w:val="8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5371</Words>
  <Characters>6929</Characters>
  <Lines>301</Lines>
  <Paragraphs>273</Paragraphs>
  <TotalTime>17</TotalTime>
  <ScaleCrop>false</ScaleCrop>
  <LinksUpToDate>false</LinksUpToDate>
  <CharactersWithSpaces>12027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2025-12-19T17:36:00Z</dcterms:created>
  <dc:creator>DengBingZhong</dc:creator>
  <cp:lastModifiedBy>WPS_1647091957</cp:lastModifiedBy>
  <cp:lastPrinted>2007-05-17T09:51:00Z</cp:lastPrinted>
  <dcterms:modified xsi:type="dcterms:W3CDTF">2025-12-27T16:57:21Z</dcterms:modified>
  <dc:title>深圳大学考试答题纸</dc:title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7F8E918797F1542EF8984F6903541D4A_43</vt:lpwstr>
  </property>
</Properties>
</file>