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Study Protocol — draft v0.1</w:t>
      </w:r>
    </w:p>
    <w:p>
      <w:r>
        <w:rPr>
          <w:rFonts w:ascii="Aptos" w:hAnsi="Aptos"/>
          <w:b/>
          <w:i w:val="0"/>
        </w:rPr>
        <w:t>Unscheduled 72-hour return visits to the pediatric emergency department of a Palestinian governmental hospital: rate, reasons, and predictors</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PI</w:t>
            </w:r>
          </w:p>
        </w:tc>
        <w:tc>
          <w:tcPr>
            <w:tcW w:type="dxa" w:w="4968"/>
          </w:tcPr>
          <w:p>
            <w:pPr>
              <w:spacing w:after="20"/>
            </w:pPr>
            <w:r/>
            <w:r>
              <w:rPr>
                <w:rFonts w:ascii="Aptos" w:hAnsi="Aptos"/>
                <w:b w:val="0"/>
                <w:i w:val="0"/>
                <w:sz w:val="20"/>
              </w:rPr>
              <w:t>Dr Lami Qurt</w:t>
            </w:r>
          </w:p>
        </w:tc>
      </w:tr>
      <w:tr>
        <w:tc>
          <w:tcPr>
            <w:tcW w:type="dxa" w:w="3024"/>
          </w:tcPr>
          <w:p>
            <w:pPr>
              <w:spacing w:after="20"/>
            </w:pPr>
            <w:r/>
            <w:r>
              <w:rPr>
                <w:rFonts w:ascii="Aptos" w:hAnsi="Aptos"/>
                <w:b/>
                <w:i w:val="0"/>
                <w:sz w:val="20"/>
              </w:rPr>
              <w:t>Site</w:t>
            </w:r>
          </w:p>
        </w:tc>
        <w:tc>
          <w:tcPr>
            <w:tcW w:type="dxa" w:w="4968"/>
          </w:tcPr>
          <w:p>
            <w:pPr>
              <w:spacing w:after="20"/>
            </w:pPr>
            <w:r/>
            <w:r>
              <w:rPr>
                <w:rFonts w:ascii="Aptos" w:hAnsi="Aptos"/>
                <w:b w:val="0"/>
                <w:i w:val="0"/>
                <w:sz w:val="20"/>
              </w:rPr>
              <w:t>Palestine Medical Complex (PMC), Ramallah, Palestine</w:t>
            </w:r>
          </w:p>
        </w:tc>
      </w:tr>
      <w:tr>
        <w:tc>
          <w:tcPr>
            <w:tcW w:type="dxa" w:w="3024"/>
          </w:tcPr>
          <w:p>
            <w:pPr>
              <w:spacing w:after="20"/>
            </w:pPr>
            <w:r/>
            <w:r>
              <w:rPr>
                <w:rFonts w:ascii="Aptos" w:hAnsi="Aptos"/>
                <w:b/>
                <w:i w:val="0"/>
                <w:sz w:val="20"/>
              </w:rPr>
              <w:t>Date</w:t>
            </w:r>
          </w:p>
        </w:tc>
        <w:tc>
          <w:tcPr>
            <w:tcW w:type="dxa" w:w="4968"/>
          </w:tcPr>
          <w:p>
            <w:pPr>
              <w:spacing w:after="20"/>
            </w:pPr>
            <w:r/>
            <w:r>
              <w:rPr>
                <w:rFonts w:ascii="Aptos" w:hAnsi="Aptos"/>
                <w:b w:val="0"/>
                <w:i w:val="0"/>
                <w:sz w:val="20"/>
              </w:rPr>
              <w:t>2026-08-16</w:t>
            </w:r>
          </w:p>
        </w:tc>
      </w:tr>
      <w:tr>
        <w:tc>
          <w:tcPr>
            <w:tcW w:type="dxa" w:w="3024"/>
          </w:tcPr>
          <w:p>
            <w:pPr>
              <w:spacing w:after="20"/>
            </w:pPr>
            <w:r/>
            <w:r>
              <w:rPr>
                <w:rFonts w:ascii="Aptos" w:hAnsi="Aptos"/>
                <w:b/>
                <w:i w:val="0"/>
                <w:sz w:val="20"/>
              </w:rPr>
              <w:t>Reporting standard</w:t>
            </w:r>
          </w:p>
        </w:tc>
        <w:tc>
          <w:tcPr>
            <w:tcW w:type="dxa" w:w="4968"/>
          </w:tcPr>
          <w:p>
            <w:pPr>
              <w:spacing w:after="20"/>
            </w:pPr>
            <w:r/>
            <w:r>
              <w:rPr>
                <w:rFonts w:ascii="Aptos" w:hAnsi="Aptos"/>
                <w:b w:val="0"/>
                <w:i w:val="0"/>
                <w:sz w:val="20"/>
              </w:rPr>
              <w:t>STROBE (cohort)</w:t>
            </w:r>
          </w:p>
        </w:tc>
      </w:tr>
    </w:tbl>
    <w:p>
      <w:pPr>
        <w:spacing w:after="80"/>
      </w:pPr>
    </w:p>
    <w:p>
      <w:pPr>
        <w:pStyle w:val="Heading2"/>
      </w:pPr>
      <w:r>
        <w:rPr>
          <w:rFonts w:ascii="Aptos" w:hAnsi="Aptos"/>
          <w:b w:val="0"/>
          <w:i w:val="0"/>
        </w:rPr>
        <w:t>1. Background</w:t>
      </w:r>
    </w:p>
    <w:p>
      <w:r>
        <w:rPr>
          <w:rFonts w:ascii="Aptos" w:hAnsi="Aptos"/>
          <w:b w:val="0"/>
          <w:i w:val="0"/>
        </w:rPr>
        <w:t xml:space="preserve">Unscheduled return to an emergency department shortly after discharge is an established quality and safety indicator. It asks, in effect, whether the decision </w:t>
      </w:r>
      <w:r>
        <w:rPr>
          <w:rFonts w:ascii="Aptos" w:hAnsi="Aptos"/>
          <w:b w:val="0"/>
          <w:i/>
        </w:rPr>
        <w:t>"this child is well enough to go home"</w:t>
      </w:r>
      <w:r>
        <w:rPr>
          <w:rFonts w:ascii="Aptos" w:hAnsi="Aptos"/>
          <w:b w:val="0"/>
          <w:i w:val="0"/>
        </w:rPr>
        <w:t xml:space="preserve"> was correct. A 72-hour window is the conventional standard: long enough to capture deterioration plausibly related to the index visit, short enough to exclude unrelated new illness.</w:t>
      </w:r>
    </w:p>
    <w:p>
      <w:r>
        <w:rPr>
          <w:rFonts w:ascii="Aptos" w:hAnsi="Aptos"/>
          <w:b w:val="0"/>
          <w:i w:val="0"/>
        </w:rPr>
        <w:t>Reported pediatric rates cluster in the low single digits: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DEE7F0"/>
          </w:tcPr>
          <w:p>
            <w:pPr>
              <w:spacing w:after="40"/>
            </w:pPr>
            <w:r/>
            <w:r>
              <w:rPr>
                <w:rFonts w:ascii="Aptos" w:hAnsi="Aptos"/>
                <w:b/>
                <w:i w:val="0"/>
                <w:sz w:val="19"/>
              </w:rPr>
              <w:t>Study</w:t>
            </w:r>
          </w:p>
        </w:tc>
        <w:tc>
          <w:tcPr>
            <w:tcW w:type="dxa" w:w="2484"/>
            <w:shd w:val="clear" w:fill="DEE7F0"/>
          </w:tcPr>
          <w:p>
            <w:pPr>
              <w:spacing w:after="40"/>
            </w:pPr>
            <w:r/>
            <w:r>
              <w:rPr>
                <w:rFonts w:ascii="Aptos" w:hAnsi="Aptos"/>
                <w:b/>
                <w:i w:val="0"/>
                <w:sz w:val="19"/>
              </w:rPr>
              <w:t>Setting</w:t>
            </w:r>
          </w:p>
        </w:tc>
        <w:tc>
          <w:tcPr>
            <w:tcW w:type="dxa" w:w="2484"/>
            <w:shd w:val="clear" w:fill="DEE7F0"/>
          </w:tcPr>
          <w:p>
            <w:pPr>
              <w:spacing w:after="40"/>
            </w:pPr>
            <w:r/>
            <w:r>
              <w:rPr>
                <w:rFonts w:ascii="Aptos" w:hAnsi="Aptos"/>
                <w:b/>
                <w:i w:val="0"/>
                <w:sz w:val="19"/>
              </w:rPr>
              <w:t>Denominator</w:t>
            </w:r>
          </w:p>
        </w:tc>
        <w:tc>
          <w:tcPr>
            <w:tcW w:type="dxa" w:w="2484"/>
            <w:shd w:val="clear" w:fill="DEE7F0"/>
          </w:tcPr>
          <w:p>
            <w:pPr>
              <w:spacing w:after="40"/>
            </w:pPr>
            <w:r/>
            <w:r>
              <w:rPr>
                <w:rFonts w:ascii="Aptos" w:hAnsi="Aptos"/>
                <w:b/>
                <w:i w:val="0"/>
                <w:sz w:val="19"/>
              </w:rPr>
              <w:t>72-h revisit rate</w:t>
            </w:r>
          </w:p>
        </w:tc>
      </w:tr>
      <w:tr>
        <w:tc>
          <w:tcPr>
            <w:tcW w:type="dxa" w:w="2484"/>
          </w:tcPr>
          <w:p>
            <w:pPr>
              <w:spacing w:after="40"/>
            </w:pPr>
            <w:r/>
            <w:r>
              <w:rPr>
                <w:rFonts w:ascii="Aptos" w:hAnsi="Aptos"/>
                <w:b w:val="0"/>
                <w:i w:val="0"/>
                <w:sz w:val="19"/>
              </w:rPr>
              <w:t>West J Emerg Med 2025; PMID 41192994 (Libov D, Zocchi M, Venkat A, Ruttan T, Allen C, Wilkinson M)</w:t>
            </w:r>
          </w:p>
        </w:tc>
        <w:tc>
          <w:tcPr>
            <w:tcW w:type="dxa" w:w="2484"/>
          </w:tcPr>
          <w:p>
            <w:pPr>
              <w:spacing w:after="40"/>
            </w:pPr>
            <w:r/>
            <w:r>
              <w:rPr>
                <w:rFonts w:ascii="Aptos" w:hAnsi="Aptos"/>
                <w:b w:val="0"/>
                <w:i w:val="0"/>
                <w:sz w:val="19"/>
              </w:rPr>
              <w:t>144 US EDs</w:t>
            </w:r>
          </w:p>
        </w:tc>
        <w:tc>
          <w:tcPr>
            <w:tcW w:type="dxa" w:w="2484"/>
          </w:tcPr>
          <w:p>
            <w:pPr>
              <w:spacing w:after="40"/>
            </w:pPr>
            <w:r/>
            <w:r>
              <w:rPr>
                <w:rFonts w:ascii="Aptos" w:hAnsi="Aptos"/>
                <w:b w:val="0"/>
                <w:i w:val="0"/>
                <w:sz w:val="19"/>
              </w:rPr>
              <w:t>2,588,680 pediatric visits</w:t>
            </w:r>
          </w:p>
        </w:tc>
        <w:tc>
          <w:tcPr>
            <w:tcW w:type="dxa" w:w="2484"/>
          </w:tcPr>
          <w:p>
            <w:pPr>
              <w:spacing w:after="40"/>
            </w:pPr>
            <w:r/>
            <w:r>
              <w:rPr>
                <w:rFonts w:ascii="Aptos" w:hAnsi="Aptos"/>
                <w:b/>
                <w:i w:val="0"/>
                <w:sz w:val="19"/>
              </w:rPr>
              <w:t>3.5%</w:t>
            </w:r>
            <w:r>
              <w:rPr>
                <w:rFonts w:ascii="Aptos" w:hAnsi="Aptos"/>
                <w:b w:val="0"/>
                <w:i w:val="0"/>
                <w:sz w:val="19"/>
              </w:rPr>
              <w:t xml:space="preserve"> pediatric EDs vs </w:t>
            </w:r>
            <w:r>
              <w:rPr>
                <w:rFonts w:ascii="Aptos" w:hAnsi="Aptos"/>
                <w:b/>
                <w:i w:val="0"/>
                <w:sz w:val="19"/>
              </w:rPr>
              <w:t>2.4%</w:t>
            </w:r>
            <w:r>
              <w:rPr>
                <w:rFonts w:ascii="Aptos" w:hAnsi="Aptos"/>
                <w:b w:val="0"/>
                <w:i w:val="0"/>
                <w:sz w:val="19"/>
              </w:rPr>
              <w:t xml:space="preserve"> general EDs (aOR 1.3, 95% CI 1.15–1.38)</w:t>
            </w:r>
          </w:p>
        </w:tc>
      </w:tr>
      <w:tr>
        <w:tc>
          <w:tcPr>
            <w:tcW w:type="dxa" w:w="2484"/>
          </w:tcPr>
          <w:p>
            <w:pPr>
              <w:spacing w:after="40"/>
            </w:pPr>
            <w:r/>
            <w:r>
              <w:rPr>
                <w:rFonts w:ascii="Aptos" w:hAnsi="Aptos"/>
                <w:b w:val="0"/>
                <w:i w:val="0"/>
                <w:sz w:val="19"/>
              </w:rPr>
              <w:t xml:space="preserve">Am J Med Qual 2016; PMID 26160967 </w:t>
            </w:r>
            <w:r>
              <w:rPr>
                <w:rFonts w:ascii="Consolas" w:hAnsi="Consolas"/>
                <w:b w:val="0"/>
                <w:i w:val="0"/>
                <w:color w:val="444444"/>
                <w:sz w:val="19"/>
              </w:rPr>
              <w:t>[VERIFY authors]</w:t>
            </w:r>
          </w:p>
        </w:tc>
        <w:tc>
          <w:tcPr>
            <w:tcW w:type="dxa" w:w="2484"/>
          </w:tcPr>
          <w:p>
            <w:pPr>
              <w:spacing w:after="40"/>
            </w:pPr>
            <w:r/>
            <w:r>
              <w:rPr>
                <w:rFonts w:ascii="Aptos" w:hAnsi="Aptos"/>
                <w:b w:val="0"/>
                <w:i w:val="0"/>
                <w:sz w:val="19"/>
              </w:rPr>
              <w:t>US tertiary</w:t>
            </w:r>
          </w:p>
        </w:tc>
        <w:tc>
          <w:tcPr>
            <w:tcW w:type="dxa" w:w="2484"/>
          </w:tcPr>
          <w:p>
            <w:pPr>
              <w:spacing w:after="40"/>
            </w:pPr>
            <w:r/>
            <w:r>
              <w:rPr>
                <w:rFonts w:ascii="Aptos" w:hAnsi="Aptos"/>
                <w:b w:val="0"/>
                <w:i w:val="0"/>
                <w:sz w:val="19"/>
              </w:rPr>
              <w:t>45,071 discharges</w:t>
            </w:r>
          </w:p>
        </w:tc>
        <w:tc>
          <w:tcPr>
            <w:tcW w:type="dxa" w:w="2484"/>
          </w:tcPr>
          <w:p>
            <w:pPr>
              <w:spacing w:after="40"/>
            </w:pPr>
            <w:r/>
            <w:r>
              <w:rPr>
                <w:rFonts w:ascii="Aptos" w:hAnsi="Aptos"/>
                <w:b/>
                <w:i w:val="0"/>
                <w:sz w:val="19"/>
              </w:rPr>
              <w:t>4.1%</w:t>
            </w:r>
            <w:r>
              <w:rPr>
                <w:rFonts w:ascii="Aptos" w:hAnsi="Aptos"/>
                <w:b w:val="0"/>
                <w:i w:val="0"/>
                <w:sz w:val="19"/>
              </w:rPr>
              <w:t xml:space="preserve"> all returns; </w:t>
            </w:r>
            <w:r>
              <w:rPr>
                <w:rFonts w:ascii="Aptos" w:hAnsi="Aptos"/>
                <w:b/>
                <w:i w:val="0"/>
                <w:sz w:val="19"/>
              </w:rPr>
              <w:t>0.96%</w:t>
            </w:r>
            <w:r>
              <w:rPr>
                <w:rFonts w:ascii="Aptos" w:hAnsi="Aptos"/>
                <w:b w:val="0"/>
                <w:i w:val="0"/>
                <w:sz w:val="19"/>
              </w:rPr>
              <w:t xml:space="preserve"> related returns</w:t>
            </w:r>
          </w:p>
        </w:tc>
      </w:tr>
      <w:tr>
        <w:tc>
          <w:tcPr>
            <w:tcW w:type="dxa" w:w="2484"/>
          </w:tcPr>
          <w:p>
            <w:pPr>
              <w:spacing w:after="40"/>
            </w:pPr>
            <w:r/>
            <w:r>
              <w:rPr>
                <w:rFonts w:ascii="Aptos" w:hAnsi="Aptos"/>
                <w:b w:val="0"/>
                <w:i w:val="0"/>
                <w:sz w:val="19"/>
              </w:rPr>
              <w:t xml:space="preserve">Ann Emerg Med 2018; PMID 28967514 </w:t>
            </w:r>
            <w:r>
              <w:rPr>
                <w:rFonts w:ascii="Consolas" w:hAnsi="Consolas"/>
                <w:b w:val="0"/>
                <w:i w:val="0"/>
                <w:color w:val="444444"/>
                <w:sz w:val="19"/>
              </w:rPr>
              <w:t>[VERIFY authors]</w:t>
            </w:r>
          </w:p>
        </w:tc>
        <w:tc>
          <w:tcPr>
            <w:tcW w:type="dxa" w:w="2484"/>
          </w:tcPr>
          <w:p>
            <w:pPr>
              <w:spacing w:after="40"/>
            </w:pPr>
            <w:r/>
            <w:r>
              <w:rPr>
                <w:rFonts w:ascii="Aptos" w:hAnsi="Aptos"/>
                <w:b w:val="0"/>
                <w:i w:val="0"/>
                <w:sz w:val="19"/>
              </w:rPr>
              <w:t>31 US hospitals</w:t>
            </w:r>
          </w:p>
        </w:tc>
        <w:tc>
          <w:tcPr>
            <w:tcW w:type="dxa" w:w="2484"/>
          </w:tcPr>
          <w:p>
            <w:pPr>
              <w:spacing w:after="40"/>
            </w:pPr>
            <w:r/>
            <w:r>
              <w:rPr>
                <w:rFonts w:ascii="Aptos" w:hAnsi="Aptos"/>
                <w:b w:val="0"/>
                <w:i w:val="0"/>
                <w:sz w:val="19"/>
              </w:rPr>
              <w:t>12,621,159 visits</w:t>
            </w:r>
          </w:p>
        </w:tc>
        <w:tc>
          <w:tcPr>
            <w:tcW w:type="dxa" w:w="2484"/>
          </w:tcPr>
          <w:p>
            <w:pPr>
              <w:spacing w:after="40"/>
            </w:pPr>
            <w:r/>
            <w:r>
              <w:rPr>
                <w:rFonts w:ascii="Aptos" w:hAnsi="Aptos"/>
                <w:b/>
                <w:i w:val="0"/>
                <w:sz w:val="19"/>
              </w:rPr>
              <w:t>7.5%</w:t>
            </w:r>
            <w:r>
              <w:rPr>
                <w:rFonts w:ascii="Aptos" w:hAnsi="Aptos"/>
                <w:b w:val="0"/>
                <w:i w:val="0"/>
                <w:sz w:val="19"/>
              </w:rPr>
              <w:t xml:space="preserve"> total returns</w:t>
            </w:r>
          </w:p>
        </w:tc>
      </w:tr>
      <w:tr>
        <w:tc>
          <w:tcPr>
            <w:tcW w:type="dxa" w:w="2484"/>
          </w:tcPr>
          <w:p>
            <w:pPr>
              <w:spacing w:after="40"/>
            </w:pPr>
            <w:r/>
            <w:r>
              <w:rPr>
                <w:rFonts w:ascii="Aptos" w:hAnsi="Aptos"/>
                <w:b w:val="0"/>
                <w:i w:val="0"/>
                <w:sz w:val="19"/>
              </w:rPr>
              <w:t xml:space="preserve">Emerg Med J 2017; PMID 28801485 </w:t>
            </w:r>
            <w:r>
              <w:rPr>
                <w:rFonts w:ascii="Consolas" w:hAnsi="Consolas"/>
                <w:b w:val="0"/>
                <w:i w:val="0"/>
                <w:color w:val="444444"/>
                <w:sz w:val="19"/>
              </w:rPr>
              <w:t>[VERIFY authors]</w:t>
            </w:r>
          </w:p>
        </w:tc>
        <w:tc>
          <w:tcPr>
            <w:tcW w:type="dxa" w:w="2484"/>
          </w:tcPr>
          <w:p>
            <w:pPr>
              <w:spacing w:after="40"/>
            </w:pPr>
            <w:r/>
            <w:r>
              <w:rPr>
                <w:rFonts w:ascii="Aptos" w:hAnsi="Aptos"/>
                <w:b w:val="0"/>
                <w:i w:val="0"/>
                <w:sz w:val="19"/>
              </w:rPr>
              <w:t>Single ED</w:t>
            </w:r>
          </w:p>
        </w:tc>
        <w:tc>
          <w:tcPr>
            <w:tcW w:type="dxa" w:w="2484"/>
          </w:tcPr>
          <w:p>
            <w:pPr>
              <w:spacing w:after="40"/>
            </w:pPr>
            <w:r/>
            <w:r>
              <w:rPr>
                <w:rFonts w:ascii="Aptos" w:hAnsi="Aptos"/>
                <w:b w:val="0"/>
                <w:i w:val="0"/>
                <w:sz w:val="19"/>
              </w:rPr>
              <w:t>31,630 visits</w:t>
            </w:r>
          </w:p>
        </w:tc>
        <w:tc>
          <w:tcPr>
            <w:tcW w:type="dxa" w:w="2484"/>
          </w:tcPr>
          <w:p>
            <w:pPr>
              <w:spacing w:after="40"/>
            </w:pPr>
            <w:r/>
            <w:r>
              <w:rPr>
                <w:rFonts w:ascii="Aptos" w:hAnsi="Aptos"/>
                <w:b/>
                <w:i w:val="0"/>
                <w:sz w:val="19"/>
              </w:rPr>
              <w:t>1.8%</w:t>
            </w:r>
            <w:r>
              <w:rPr>
                <w:rFonts w:ascii="Aptos" w:hAnsi="Aptos"/>
                <w:b w:val="0"/>
                <w:i w:val="0"/>
                <w:sz w:val="19"/>
              </w:rPr>
              <w:t>; 42% of returns admitted</w:t>
            </w:r>
          </w:p>
        </w:tc>
      </w:tr>
    </w:tbl>
    <w:p>
      <w:pPr>
        <w:spacing w:after="80"/>
      </w:pPr>
    </w:p>
    <w:p>
      <w:pPr>
        <w:pStyle w:val="Heading2"/>
      </w:pPr>
      <w:r>
        <w:rPr>
          <w:rFonts w:ascii="Aptos" w:hAnsi="Aptos"/>
          <w:b w:val="0"/>
          <w:i w:val="0"/>
        </w:rPr>
        <w:t>2. Rationale and the gap</w:t>
      </w:r>
    </w:p>
    <w:p>
      <w:r>
        <w:rPr>
          <w:rFonts w:ascii="Aptos" w:hAnsi="Aptos"/>
          <w:b w:val="0"/>
          <w:i w:val="0"/>
        </w:rPr>
        <w:t xml:space="preserve">A PubMed search conducted </w:t>
      </w:r>
      <w:r>
        <w:rPr>
          <w:rFonts w:ascii="Aptos" w:hAnsi="Aptos"/>
          <w:b/>
          <w:i w:val="0"/>
        </w:rPr>
        <w:t>2026-08-16</w:t>
      </w:r>
      <w:r>
        <w:rPr>
          <w:rFonts w:ascii="Aptos" w:hAnsi="Aptos"/>
          <w:b w:val="0"/>
          <w:i w:val="0"/>
        </w:rPr>
        <w:t xml:space="preserve"> established the following:</w:t>
      </w:r>
    </w:p>
    <w:p>
      <w:r>
        <w:rPr>
          <w:rFonts w:ascii="Aptos" w:hAnsi="Aptos"/>
          <w:b/>
          <w:i w:val="0"/>
        </w:rPr>
        <w:t>2.1 No patient-level pediatric emergency medicine cohort has been published from Palestine.</w:t>
      </w:r>
      <w:r>
        <w:rPr>
          <w:rFonts w:ascii="Aptos" w:hAnsi="Aptos"/>
          <w:b w:val="0"/>
          <w:i w:val="0"/>
        </w:rPr>
        <w:t xml:space="preserve"> A search for Palestine/Palestinian/West Bank/Gaza combined with pediatric emergency department terms returned 109 records. The only Palestinian pediatric-ED work is </w:t>
      </w:r>
      <w:r>
        <w:rPr>
          <w:rFonts w:ascii="Aptos" w:hAnsi="Aptos"/>
          <w:b/>
          <w:i w:val="0"/>
        </w:rPr>
        <w:t>Shawahna R et al., *Pediatr Emerg Care* 2024</w:t>
      </w:r>
      <w:r>
        <w:rPr>
          <w:rFonts w:ascii="Aptos" w:hAnsi="Aptos"/>
          <w:b w:val="0"/>
          <w:i w:val="0"/>
        </w:rPr>
        <w:t xml:space="preserve">, a survey of the </w:t>
      </w:r>
      <w:r>
        <w:rPr>
          <w:rFonts w:ascii="Aptos" w:hAnsi="Aptos"/>
          <w:b w:val="0"/>
          <w:i/>
        </w:rPr>
        <w:t>availability of pediatric equipment</w:t>
      </w:r>
      <w:r>
        <w:rPr>
          <w:rFonts w:ascii="Aptos" w:hAnsi="Aptos"/>
          <w:b w:val="0"/>
          <w:i w:val="0"/>
        </w:rPr>
        <w:t xml:space="preserve"> across 30 West Bank emergency departments — a facility study, not a patient study. That paper establishes that pediatric emergency care in Palestine is under-resourced and undescribed, and is the natural citation for this gap.</w:t>
      </w:r>
    </w:p>
    <w:p>
      <w:r>
        <w:rPr>
          <w:rFonts w:ascii="Aptos" w:hAnsi="Aptos"/>
          <w:b/>
          <w:i w:val="0"/>
        </w:rPr>
        <w:t>2.2 The global literature is large; the regional literature is nearly empty.</w:t>
      </w:r>
      <w:r>
        <w:rPr>
          <w:rFonts w:ascii="Aptos" w:hAnsi="Aptos"/>
          <w:b w:val="0"/>
          <w:i w:val="0"/>
        </w:rPr>
        <w:t xml:space="preserve"> A PubMed search on </w:t>
      </w:r>
      <w:r>
        <w:rPr>
          <w:rFonts w:ascii="Aptos" w:hAnsi="Aptos"/>
          <w:b/>
          <w:i w:val="0"/>
        </w:rPr>
        <w:t>2026-08-19</w:t>
      </w:r>
      <w:r>
        <w:rPr>
          <w:rFonts w:ascii="Aptos" w:hAnsi="Aptos"/>
          <w:b w:val="0"/>
          <w:i w:val="0"/>
        </w:rPr>
        <w:t xml:space="preserve"> returned </w:t>
      </w:r>
      <w:r>
        <w:rPr>
          <w:rFonts w:ascii="Aptos" w:hAnsi="Aptos"/>
          <w:b/>
          <w:i w:val="0"/>
        </w:rPr>
        <w:t>769</w:t>
      </w:r>
      <w:r>
        <w:rPr>
          <w:rFonts w:ascii="Aptos" w:hAnsi="Aptos"/>
          <w:b w:val="0"/>
          <w:i w:val="0"/>
        </w:rPr>
        <w:t xml:space="preserve"> records on pediatric emergency department return visits, of which </w:t>
      </w:r>
      <w:r>
        <w:rPr>
          <w:rFonts w:ascii="Aptos" w:hAnsi="Aptos"/>
          <w:b/>
          <w:i w:val="0"/>
        </w:rPr>
        <w:t>122</w:t>
      </w:r>
      <w:r>
        <w:rPr>
          <w:rFonts w:ascii="Aptos" w:hAnsi="Aptos"/>
          <w:b w:val="0"/>
          <w:i w:val="0"/>
        </w:rPr>
        <w:t xml:space="preserve"> address the 72-hour window specifically, </w:t>
      </w:r>
      <w:r>
        <w:rPr>
          <w:rFonts w:ascii="Aptos" w:hAnsi="Aptos"/>
          <w:b/>
          <w:i w:val="0"/>
        </w:rPr>
        <w:t>368</w:t>
      </w:r>
      <w:r>
        <w:rPr>
          <w:rFonts w:ascii="Aptos" w:hAnsi="Aptos"/>
          <w:b w:val="0"/>
          <w:i w:val="0"/>
        </w:rPr>
        <w:t xml:space="preserve"> were published in the last five years, and </w:t>
      </w:r>
      <w:r>
        <w:rPr>
          <w:rFonts w:ascii="Aptos" w:hAnsi="Aptos"/>
          <w:b/>
          <w:i w:val="0"/>
        </w:rPr>
        <w:t>32</w:t>
      </w:r>
      <w:r>
        <w:rPr>
          <w:rFonts w:ascii="Aptos" w:hAnsi="Aptos"/>
          <w:b w:val="0"/>
          <w:i w:val="0"/>
        </w:rPr>
        <w:t xml:space="preserve"> are systematic reviews or meta-analyses. The research question is therefore mature and heavily worked, and this protocol does not present it as new (see §2.5).</w:t>
      </w:r>
    </w:p>
    <w:p>
      <w:r>
        <w:rPr>
          <w:rFonts w:ascii="Aptos" w:hAnsi="Aptos"/>
          <w:b w:val="0"/>
          <w:i w:val="0"/>
        </w:rPr>
        <w:t xml:space="preserve">What is absent is evidence from settings resembling this one. Only </w:t>
      </w:r>
      <w:r>
        <w:rPr>
          <w:rFonts w:ascii="Aptos" w:hAnsi="Aptos"/>
          <w:b/>
          <w:i w:val="0"/>
        </w:rPr>
        <w:t>9</w:t>
      </w:r>
      <w:r>
        <w:rPr>
          <w:rFonts w:ascii="Aptos" w:hAnsi="Aptos"/>
          <w:b w:val="0"/>
          <w:i w:val="0"/>
        </w:rPr>
        <w:t xml:space="preserve"> records mention a low- or middle-income setting, and on inspection only one is a genuine cohort study of the same question — </w:t>
      </w:r>
      <w:r>
        <w:rPr>
          <w:rFonts w:ascii="Aptos" w:hAnsi="Aptos"/>
          <w:b/>
          <w:i w:val="0"/>
        </w:rPr>
        <w:t>Okeke CV et al., *Niger Med J* 2025 (PMID 40309556)</w:t>
      </w:r>
      <w:r>
        <w:rPr>
          <w:rFonts w:ascii="Aptos" w:hAnsi="Aptos"/>
          <w:b w:val="0"/>
          <w:i w:val="0"/>
        </w:rPr>
        <w:t xml:space="preserve">, a tertiary hospital in southeast Nigeria. From the Arab world there are </w:t>
      </w:r>
      <w:r>
        <w:rPr>
          <w:rFonts w:ascii="Aptos" w:hAnsi="Aptos"/>
          <w:b/>
          <w:i w:val="0"/>
        </w:rPr>
        <w:t>two</w:t>
      </w:r>
      <w:r>
        <w:rPr>
          <w:rFonts w:ascii="Aptos" w:hAnsi="Aptos"/>
          <w:b w:val="0"/>
          <w:i w:val="0"/>
        </w:rPr>
        <w:t xml:space="preserve"> pediatric studies, both from Saudi tertiary children's hospitals:</w:t>
      </w:r>
    </w:p>
    <w:p>
      <w:pPr>
        <w:pStyle w:val="ListBullet"/>
        <w:spacing w:after="60"/>
        <w:ind w:left="403"/>
      </w:pPr>
      <w:r>
        <w:rPr>
          <w:rFonts w:ascii="Aptos" w:hAnsi="Aptos"/>
          <w:b/>
          <w:i w:val="0"/>
        </w:rPr>
        <w:t>AlAteeq M et al., *Int J Pediatr* 2026 (PMID 42328418)</w:t>
      </w:r>
      <w:r>
        <w:rPr>
          <w:rFonts w:ascii="Aptos" w:hAnsi="Aptos"/>
          <w:b w:val="0"/>
          <w:i w:val="0"/>
        </w:rPr>
        <w:t xml:space="preserve"> — Riyadh, 300 children aged 0–14; persistent cough accounted for 34% of revisits and asthma exacerbation 12%; </w:t>
      </w:r>
      <w:r>
        <w:rPr>
          <w:rFonts w:ascii="Aptos" w:hAnsi="Aptos"/>
          <w:b/>
          <w:i w:val="0"/>
        </w:rPr>
        <w:t>no denominator reported</w:t>
      </w:r>
      <w:r>
        <w:rPr>
          <w:rFonts w:ascii="Aptos" w:hAnsi="Aptos"/>
          <w:b w:val="0"/>
          <w:i w:val="0"/>
        </w:rPr>
        <w:t>.</w:t>
      </w:r>
    </w:p>
    <w:p>
      <w:pPr>
        <w:pStyle w:val="ListBullet"/>
        <w:spacing w:after="60"/>
        <w:ind w:left="403"/>
      </w:pPr>
      <w:r>
        <w:rPr>
          <w:rFonts w:ascii="Aptos" w:hAnsi="Aptos"/>
          <w:b/>
          <w:i w:val="0"/>
        </w:rPr>
        <w:t>Ahmed AE et al., *BMC Pediatr* 2018 (PMID 29945589)</w:t>
      </w:r>
      <w:r>
        <w:rPr>
          <w:rFonts w:ascii="Aptos" w:hAnsi="Aptos"/>
          <w:b w:val="0"/>
          <w:i w:val="0"/>
        </w:rPr>
        <w:t xml:space="preserve"> — restricted to </w:t>
      </w:r>
      <w:r>
        <w:rPr>
          <w:rFonts w:ascii="Aptos" w:hAnsi="Aptos"/>
          <w:b/>
          <w:i w:val="0"/>
        </w:rPr>
        <w:t>children with chronic diseases</w:t>
      </w:r>
      <w:r>
        <w:rPr>
          <w:rFonts w:ascii="Aptos" w:hAnsi="Aptos"/>
          <w:b w:val="0"/>
          <w:i w:val="0"/>
        </w:rPr>
        <w:t>, and therefore not a general emergency population.</w:t>
      </w:r>
    </w:p>
    <w:p>
      <w:r>
        <w:rPr>
          <w:rFonts w:ascii="Aptos" w:hAnsi="Aptos"/>
          <w:b w:val="0"/>
          <w:i w:val="0"/>
        </w:rPr>
        <w:t>A third Saudi paper (</w:t>
      </w:r>
      <w:r>
        <w:rPr>
          <w:rFonts w:ascii="Aptos" w:hAnsi="Aptos"/>
          <w:b/>
          <w:i w:val="0"/>
        </w:rPr>
        <w:t>Jamjoom M et al., *Cureus* 2026, PMID 42037826</w:t>
      </w:r>
      <w:r>
        <w:rPr>
          <w:rFonts w:ascii="Aptos" w:hAnsi="Aptos"/>
          <w:b w:val="0"/>
          <w:i w:val="0"/>
        </w:rPr>
        <w:t xml:space="preserve">) studied patients </w:t>
      </w:r>
      <w:r>
        <w:rPr>
          <w:rFonts w:ascii="Aptos" w:hAnsi="Aptos"/>
          <w:b/>
          <w:i w:val="0"/>
        </w:rPr>
        <w:t>aged ≥14 years</w:t>
      </w:r>
      <w:r>
        <w:rPr>
          <w:rFonts w:ascii="Aptos" w:hAnsi="Aptos"/>
          <w:b w:val="0"/>
          <w:i w:val="0"/>
        </w:rPr>
        <w:t xml:space="preserve"> and is therefore not pediatric. </w:t>
      </w:r>
      <w:r>
        <w:rPr>
          <w:rFonts w:ascii="Aptos" w:hAnsi="Aptos"/>
          <w:b/>
          <w:i w:val="0"/>
        </w:rPr>
        <w:t>Nothing from Palestine, Jordan or Lebanon; nothing from a conflict-affected setting; and nothing from a general first-contact hospital anywhere in the region.</w:t>
      </w:r>
    </w:p>
    <w:p>
      <w:r>
        <w:rPr>
          <w:rFonts w:ascii="Aptos" w:hAnsi="Aptos"/>
          <w:b/>
          <w:i w:val="0"/>
        </w:rPr>
        <w:t>2.3 Four specific methodological improvements over the closest regional precedent.</w:t>
      </w:r>
      <w:r>
        <w:rPr>
          <w:rFonts w:ascii="Aptos" w:hAnsi="Aptos"/>
          <w:b w:val="0"/>
          <w:i w:val="0"/>
        </w:rPr>
        <w:t xml:space="preserve"> AlAteeq 2026 (a) reports 300 revisits but </w:t>
      </w:r>
      <w:r>
        <w:rPr>
          <w:rFonts w:ascii="Aptos" w:hAnsi="Aptos"/>
          <w:b/>
          <w:i w:val="0"/>
        </w:rPr>
        <w:t>no denominator</w:t>
      </w:r>
      <w:r>
        <w:rPr>
          <w:rFonts w:ascii="Aptos" w:hAnsi="Aptos"/>
          <w:b w:val="0"/>
          <w:i w:val="0"/>
        </w:rPr>
        <w:t xml:space="preserve">, so no rate is derivable and the result cannot be compared to any other study; (b) </w:t>
      </w:r>
      <w:r>
        <w:rPr>
          <w:rFonts w:ascii="Aptos" w:hAnsi="Aptos"/>
          <w:b/>
          <w:i w:val="0"/>
        </w:rPr>
        <w:t>excluded non-citizen children</w:t>
      </w:r>
      <w:r>
        <w:rPr>
          <w:rFonts w:ascii="Aptos" w:hAnsi="Aptos"/>
          <w:b w:val="0"/>
          <w:i w:val="0"/>
        </w:rPr>
        <w:t xml:space="preserve">, limiting generalisability; (c) classified returns by </w:t>
      </w:r>
      <w:r>
        <w:rPr>
          <w:rFonts w:ascii="Aptos" w:hAnsi="Aptos"/>
          <w:b/>
          <w:i w:val="0"/>
        </w:rPr>
        <w:t>presenting symptom only</w:t>
      </w:r>
      <w:r>
        <w:rPr>
          <w:rFonts w:ascii="Aptos" w:hAnsi="Aptos"/>
          <w:b w:val="0"/>
          <w:i w:val="0"/>
        </w:rPr>
        <w:t xml:space="preserve">, with no related/unrelated or attribution judgement; and (d) performed </w:t>
      </w:r>
      <w:r>
        <w:rPr>
          <w:rFonts w:ascii="Aptos" w:hAnsi="Aptos"/>
          <w:b/>
          <w:i w:val="0"/>
        </w:rPr>
        <w:t>no multivariable analysis</w:t>
      </w:r>
      <w:r>
        <w:rPr>
          <w:rFonts w:ascii="Aptos" w:hAnsi="Aptos"/>
          <w:b w:val="0"/>
          <w:i w:val="0"/>
        </w:rPr>
        <w:t xml:space="preserve"> of predictors. This protocol addresses all four. Ahmed 2018 differs on a fifth point: it enrolled only children with chronic disease, whereas this study covers the whole discharged population.</w:t>
      </w:r>
    </w:p>
    <w:p>
      <w:r>
        <w:rPr>
          <w:rFonts w:ascii="Aptos" w:hAnsi="Aptos"/>
          <w:b/>
          <w:i w:val="0"/>
        </w:rPr>
        <w:t>2.4 The setting makes the result substantively different, not a replication.</w:t>
      </w:r>
      <w:r>
        <w:rPr>
          <w:rFonts w:ascii="Aptos" w:hAnsi="Aptos"/>
          <w:b w:val="0"/>
          <w:i w:val="0"/>
        </w:rPr>
        <w:t xml:space="preserve"> Reported rates come almost entirely from high-income systems with formal triage and functioning primary care. PMC differs structurally: there is </w:t>
      </w:r>
      <w:r>
        <w:rPr>
          <w:rFonts w:ascii="Aptos" w:hAnsi="Aptos"/>
          <w:b/>
          <w:i w:val="0"/>
        </w:rPr>
        <w:t>no triage system anywhere in Palestine</w:t>
      </w:r>
      <w:r>
        <w:rPr>
          <w:rFonts w:ascii="Aptos" w:hAnsi="Aptos"/>
          <w:b w:val="0"/>
          <w:i w:val="0"/>
        </w:rPr>
        <w:t>; after-hours primary care is largely unavailable, so the ED functions as the default first point of contact rather than a safety net; and movement restrictions in a conflict-affected setting affect whether and when a family is able to return. A revisit rate measured here is therefore partly a measure of health-system structure, not only of clinical judgement.</w:t>
      </w:r>
    </w:p>
    <w:p>
      <w:r>
        <w:rPr>
          <w:rFonts w:ascii="Aptos" w:hAnsi="Aptos"/>
          <w:b w:val="0"/>
          <w:i w:val="0"/>
        </w:rPr>
        <w:t xml:space="preserve">This has a concrete methodological consequence rather than only a descriptive one. Essentially every published revisit risk model uses triage acuity as a core predictor. A model that must identify children at risk of return </w:t>
      </w:r>
      <w:r>
        <w:rPr>
          <w:rFonts w:ascii="Aptos" w:hAnsi="Aptos"/>
          <w:b/>
          <w:i w:val="0"/>
        </w:rPr>
        <w:t>without any acuity variable available</w:t>
      </w:r>
      <w:r>
        <w:rPr>
          <w:rFonts w:ascii="Aptos" w:hAnsi="Aptos"/>
          <w:b w:val="0"/>
          <w:i w:val="0"/>
        </w:rPr>
        <w:t xml:space="preserve"> is answering a materially different question — and it is the question that applies to the majority of the world's emergency departments, where formal triage does not exist. We are not aware of any published pediatric revisit study conducted in a department without a triage system. This is the study's principal conceptual contribution, and the reason its findings are not interchangeable with those of the high-income literature.</w:t>
      </w:r>
    </w:p>
    <w:p>
      <w:pPr>
        <w:pStyle w:val="Heading3"/>
      </w:pPr>
      <w:r>
        <w:rPr>
          <w:rFonts w:ascii="Aptos" w:hAnsi="Aptos"/>
          <w:b w:val="0"/>
          <w:i w:val="0"/>
        </w:rPr>
        <w:t>2.5 What this study claims, and what it does not</w:t>
      </w:r>
    </w:p>
    <w:p>
      <w:r>
        <w:rPr>
          <w:rFonts w:ascii="Aptos" w:hAnsi="Aptos"/>
          <w:b/>
          <w:i w:val="0"/>
        </w:rPr>
        <w:t>No claim is made to novelty of the research question.</w:t>
      </w:r>
      <w:r>
        <w:rPr>
          <w:rFonts w:ascii="Aptos" w:hAnsi="Aptos"/>
          <w:b w:val="0"/>
          <w:i w:val="0"/>
        </w:rPr>
        <w:t xml:space="preserve"> Seventy-two-hour revisit is a mature indicator with 769 published pediatric studies behind it (§2.2). Any claim to have asked it first would be false, and would be recognised as such by any reviewer who works in this field. The contribution is stated precisely, as five specific additions:</w:t>
      </w:r>
    </w:p>
    <w:p>
      <w:pPr>
        <w:pStyle w:val="ListNumber"/>
        <w:spacing w:after="60"/>
        <w:ind w:left="403"/>
      </w:pPr>
      <w:r>
        <w:rPr>
          <w:rFonts w:ascii="Aptos" w:hAnsi="Aptos"/>
          <w:b/>
          <w:i w:val="0"/>
        </w:rPr>
        <w:t>Population.</w:t>
      </w:r>
      <w:r>
        <w:rPr>
          <w:rFonts w:ascii="Aptos" w:hAnsi="Aptos"/>
          <w:b w:val="0"/>
          <w:i w:val="0"/>
        </w:rPr>
        <w:t xml:space="preserve"> No pediatric emergency department cohort of any kind has been published from Palestine (§2.1), and none from a conflict-affected setting anywhere.</w:t>
      </w:r>
    </w:p>
    <w:p>
      <w:pPr>
        <w:pStyle w:val="ListNumber"/>
        <w:spacing w:after="60"/>
        <w:ind w:left="403"/>
      </w:pPr>
      <w:r>
        <w:rPr>
          <w:rFonts w:ascii="Aptos" w:hAnsi="Aptos"/>
          <w:b/>
          <w:i w:val="0"/>
        </w:rPr>
        <w:t>A comparable rate where none exists regionally.</w:t>
      </w:r>
      <w:r>
        <w:rPr>
          <w:rFonts w:ascii="Aptos" w:hAnsi="Aptos"/>
          <w:b w:val="0"/>
          <w:i w:val="0"/>
        </w:rPr>
        <w:t xml:space="preserve"> A denominator-based rate that can be set beside the international benchmarks in §1 — which the only comparable regional study cannot provide, having reported no denominator (§2.3).</w:t>
      </w:r>
    </w:p>
    <w:p>
      <w:pPr>
        <w:pStyle w:val="ListNumber"/>
        <w:spacing w:after="60"/>
        <w:ind w:left="403"/>
      </w:pPr>
      <w:r>
        <w:rPr>
          <w:rFonts w:ascii="Aptos" w:hAnsi="Aptos"/>
          <w:b/>
          <w:i w:val="0"/>
        </w:rPr>
        <w:t>Prediction without acuity.</w:t>
      </w:r>
      <w:r>
        <w:rPr>
          <w:rFonts w:ascii="Aptos" w:hAnsi="Aptos"/>
          <w:b w:val="0"/>
          <w:i w:val="0"/>
        </w:rPr>
        <w:t xml:space="preserve"> Revisit predictors identified in a department with no triage system, where the acuity variable that anchors every published model is unavailable (§2.4).</w:t>
      </w:r>
    </w:p>
    <w:p>
      <w:pPr>
        <w:pStyle w:val="ListNumber"/>
        <w:spacing w:after="60"/>
        <w:ind w:left="403"/>
      </w:pPr>
      <w:r>
        <w:rPr>
          <w:rFonts w:ascii="Aptos" w:hAnsi="Aptos"/>
          <w:b/>
          <w:i w:val="0"/>
        </w:rPr>
        <w:t>Classification reliability treated as a measurement problem.</w:t>
      </w:r>
      <w:r>
        <w:rPr>
          <w:rFonts w:ascii="Aptos" w:hAnsi="Aptos"/>
          <w:b w:val="0"/>
          <w:i w:val="0"/>
        </w:rPr>
        <w:t xml:space="preserve"> Goldman et al. (2017) documented 25% discordance between senior physicians and trainees classifying the root cause of the same revisits; most published revisit studies nonetheless rely on a single reviewer. This protocol uses duplicate independent review with the index-visit judgement locked and initialled </w:t>
      </w:r>
      <w:r>
        <w:rPr>
          <w:rFonts w:ascii="Aptos" w:hAnsi="Aptos"/>
          <w:b/>
          <w:i w:val="0"/>
        </w:rPr>
        <w:t>before</w:t>
      </w:r>
      <w:r>
        <w:rPr>
          <w:rFonts w:ascii="Aptos" w:hAnsi="Aptos"/>
          <w:b w:val="0"/>
          <w:i w:val="0"/>
        </w:rPr>
        <w:t xml:space="preserve"> the return record is opened (§4.7), and reports agreement statistics alongside the classification results rather than assuming agreement.</w:t>
      </w:r>
    </w:p>
    <w:p>
      <w:pPr>
        <w:pStyle w:val="ListNumber"/>
        <w:spacing w:after="60"/>
        <w:ind w:left="403"/>
      </w:pPr>
      <w:r>
        <w:rPr>
          <w:rFonts w:ascii="Aptos" w:hAnsi="Aptos"/>
          <w:b/>
          <w:i w:val="0"/>
        </w:rPr>
        <w:t>An access-barrier flag</w:t>
      </w:r>
      <w:r>
        <w:rPr>
          <w:rFonts w:ascii="Aptos" w:hAnsi="Aptos"/>
          <w:b w:val="0"/>
          <w:i w:val="0"/>
        </w:rPr>
        <w:t xml:space="preserve"> recorded separately from the standard attribution taxonomy (§4.7), capturing returns driven by an inability to reach the intended follow-up route rather than by illness or by clinical error. This variable does not appear in the existing literature and is unrecoverable if not captured prospectively in the coding design.</w:t>
      </w:r>
    </w:p>
    <w:p>
      <w:r>
        <w:rPr>
          <w:rFonts w:ascii="Aptos" w:hAnsi="Aptos"/>
          <w:b/>
          <w:i w:val="0"/>
        </w:rPr>
        <w:t>The manuscript introduction should follow this order: the structural argument first, the setting second.</w:t>
      </w:r>
      <w:r>
        <w:rPr>
          <w:rFonts w:ascii="Aptos" w:hAnsi="Aptos"/>
          <w:b w:val="0"/>
          <w:i w:val="0"/>
        </w:rPr>
        <w:t xml:space="preserve"> Opening with </w:t>
      </w:r>
      <w:r>
        <w:rPr>
          <w:rFonts w:ascii="Aptos" w:hAnsi="Aptos"/>
          <w:b w:val="0"/>
          <w:i/>
        </w:rPr>
        <w:t>"the first study in Palestine"</w:t>
      </w:r>
      <w:r>
        <w:rPr>
          <w:rFonts w:ascii="Aptos" w:hAnsi="Aptos"/>
          <w:b w:val="0"/>
          <w:i w:val="0"/>
        </w:rPr>
        <w:t xml:space="preserve"> invites a reader to classify the work as a local audit, which is the most likely route to rejection without review. Opening with the absence of acuity data across most of the world's emergency departments states a scientific problem to which this setting is the answer, and places Palestine as the reason the question is answerable here rather than as the claim itself.</w:t>
      </w:r>
    </w:p>
    <w:p>
      <w:pPr>
        <w:pStyle w:val="Heading2"/>
      </w:pPr>
      <w:r>
        <w:rPr>
          <w:rFonts w:ascii="Aptos" w:hAnsi="Aptos"/>
          <w:b w:val="0"/>
          <w:i w:val="0"/>
        </w:rPr>
        <w:t>3. Objectives</w:t>
      </w:r>
    </w:p>
    <w:p>
      <w:r>
        <w:rPr>
          <w:rFonts w:ascii="Aptos" w:hAnsi="Aptos"/>
          <w:b/>
          <w:i w:val="0"/>
        </w:rPr>
        <w:t>Primary objective</w:t>
      </w:r>
      <w:r>
        <w:rPr>
          <w:rFonts w:ascii="Aptos" w:hAnsi="Aptos"/>
          <w:b w:val="0"/>
          <w:i w:val="0"/>
        </w:rPr>
        <w:t xml:space="preserve"> To determine the proportion of children discharged from the PMC pediatric emergency department who make an unscheduled return visit to the same department within 72 hours.</w:t>
      </w:r>
    </w:p>
    <w:p>
      <w:r>
        <w:rPr>
          <w:rFonts w:ascii="Aptos" w:hAnsi="Aptos"/>
          <w:b/>
          <w:i w:val="0"/>
        </w:rPr>
        <w:t>Secondary objectives</w:t>
      </w:r>
    </w:p>
    <w:p>
      <w:pPr>
        <w:pStyle w:val="ListNumber"/>
        <w:spacing w:after="60"/>
        <w:ind w:left="403"/>
      </w:pPr>
      <w:r>
        <w:rPr>
          <w:rFonts w:ascii="Aptos" w:hAnsi="Aptos"/>
          <w:b w:val="0"/>
          <w:i w:val="0"/>
        </w:rPr>
        <w:t>To describe the clinical reasons for return.</w:t>
      </w:r>
    </w:p>
    <w:p>
      <w:pPr>
        <w:pStyle w:val="ListNumber"/>
        <w:spacing w:after="60"/>
        <w:ind w:left="403"/>
      </w:pPr>
      <w:r>
        <w:rPr>
          <w:rFonts w:ascii="Aptos" w:hAnsi="Aptos"/>
          <w:b w:val="0"/>
          <w:i w:val="0"/>
        </w:rPr>
        <w:t>To determine the proportion of return visits resulting in hospital admission.</w:t>
      </w:r>
    </w:p>
    <w:p>
      <w:pPr>
        <w:pStyle w:val="ListNumber"/>
        <w:spacing w:after="60"/>
        <w:ind w:left="403"/>
      </w:pPr>
      <w:r>
        <w:rPr>
          <w:rFonts w:ascii="Aptos" w:hAnsi="Aptos"/>
          <w:b w:val="0"/>
          <w:i w:val="0"/>
        </w:rPr>
        <w:t>To classify each return as related or unrelated to the index visit, and as illness-related, patient-related or physician-related.</w:t>
      </w:r>
    </w:p>
    <w:p>
      <w:pPr>
        <w:pStyle w:val="ListNumber"/>
        <w:spacing w:after="60"/>
        <w:ind w:left="403"/>
      </w:pPr>
      <w:r>
        <w:rPr>
          <w:rFonts w:ascii="Aptos" w:hAnsi="Aptos"/>
          <w:b w:val="0"/>
          <w:i w:val="0"/>
        </w:rPr>
        <w:t>To identify index-visit factors independently associated with an unscheduled 72-hour return.</w:t>
      </w:r>
    </w:p>
    <w:p>
      <w:pPr>
        <w:pStyle w:val="Heading2"/>
      </w:pPr>
      <w:r>
        <w:rPr>
          <w:rFonts w:ascii="Aptos" w:hAnsi="Aptos"/>
          <w:b w:val="0"/>
          <w:i w:val="0"/>
        </w:rPr>
        <w:t>4. Methods</w:t>
      </w:r>
    </w:p>
    <w:p>
      <w:pPr>
        <w:pStyle w:val="Heading3"/>
      </w:pPr>
      <w:r>
        <w:rPr>
          <w:rFonts w:ascii="Aptos" w:hAnsi="Aptos"/>
          <w:b w:val="0"/>
          <w:i w:val="0"/>
        </w:rPr>
        <w:t>4.1 Design</w:t>
      </w:r>
    </w:p>
    <w:p>
      <w:r>
        <w:rPr>
          <w:rFonts w:ascii="Aptos" w:hAnsi="Aptos"/>
          <w:b w:val="0"/>
          <w:i w:val="0"/>
        </w:rPr>
        <w:t>Retrospective cohort study using routinely collected electronic emergency department data.</w:t>
      </w:r>
    </w:p>
    <w:p>
      <w:pPr>
        <w:pStyle w:val="Heading3"/>
      </w:pPr>
      <w:r>
        <w:rPr>
          <w:rFonts w:ascii="Aptos" w:hAnsi="Aptos"/>
          <w:b w:val="0"/>
          <w:i w:val="0"/>
        </w:rPr>
        <w:t>4.2 Setting</w:t>
      </w:r>
    </w:p>
    <w:p>
      <w:r>
        <w:rPr>
          <w:rFonts w:ascii="Aptos" w:hAnsi="Aptos"/>
          <w:b w:val="0"/>
          <w:i w:val="0"/>
        </w:rPr>
        <w:t xml:space="preserve">PMC, Ramallah — a Palestinian Ministry of Health governmental hospital with NICU, PICU, pediatric ward and emergency department. It is </w:t>
      </w:r>
      <w:r>
        <w:rPr>
          <w:rFonts w:ascii="Aptos" w:hAnsi="Aptos"/>
          <w:b/>
          <w:i w:val="0"/>
        </w:rPr>
        <w:t>not solely a referral centre</w:t>
      </w:r>
      <w:r>
        <w:rPr>
          <w:rFonts w:ascii="Aptos" w:hAnsi="Aptos"/>
          <w:b w:val="0"/>
          <w:i w:val="0"/>
        </w:rPr>
        <w:t xml:space="preserve">: it serves as a first-contact hospital for the population of its catchment area as well as receiving referrals, so the pediatric ED sees unselected general presentations rather than a filtered tertiary case mix. </w:t>
      </w:r>
      <w:r>
        <w:rPr>
          <w:rFonts w:ascii="Aptos" w:hAnsi="Aptos"/>
          <w:b/>
          <w:i w:val="0"/>
        </w:rPr>
        <w:t>Pediatric care at PMC follows the Palestinian Ministry of Health definition: pediatrics covers ages 0 to under 13 years; patients aged 13 and over attend the adult emergency department.</w:t>
      </w:r>
      <w:r>
        <w:rPr>
          <w:rFonts w:ascii="Aptos" w:hAnsi="Aptos"/>
          <w:b w:val="0"/>
          <w:i w:val="0"/>
        </w:rPr>
        <w:t xml:space="preserve"> The pediatric ED is therefore an under-13 department, and an under-13 cohort describes the whole department rather than a subset of it. The pediatric ED receives approximately 80–100 visits per day (~32,000/year) </w:t>
      </w:r>
      <w:r>
        <w:rPr>
          <w:rFonts w:ascii="Consolas" w:hAnsi="Consolas"/>
          <w:b w:val="0"/>
          <w:i w:val="0"/>
          <w:color w:val="444444"/>
          <w:sz w:val="19"/>
        </w:rPr>
        <w:t>[VERIFY from records]</w:t>
      </w:r>
      <w:r>
        <w:rPr>
          <w:rFonts w:ascii="Aptos" w:hAnsi="Aptos"/>
          <w:b w:val="0"/>
          <w:i w:val="0"/>
        </w:rPr>
        <w:t xml:space="preserve">. The department has </w:t>
      </w:r>
      <w:r>
        <w:rPr>
          <w:rFonts w:ascii="Aptos" w:hAnsi="Aptos"/>
          <w:b/>
          <w:i w:val="0"/>
        </w:rPr>
        <w:t>no formal triage system</w:t>
      </w:r>
      <w:r>
        <w:rPr>
          <w:rFonts w:ascii="Aptos" w:hAnsi="Aptos"/>
          <w:b w:val="0"/>
          <w:i w:val="0"/>
        </w:rPr>
        <w:t>. The ED record is fully electronic, including documented prescribed medication, and the IT department can export a date range to Excel (confirmed 2026-08-16).</w:t>
      </w:r>
    </w:p>
    <w:p>
      <w:pPr>
        <w:pStyle w:val="Heading3"/>
      </w:pPr>
      <w:r>
        <w:rPr>
          <w:rFonts w:ascii="Aptos" w:hAnsi="Aptos"/>
          <w:b w:val="0"/>
          <w:i w:val="0"/>
        </w:rPr>
        <w:t>4.3 Study period</w:t>
      </w:r>
    </w:p>
    <w:p>
      <w:r>
        <w:rPr>
          <w:rFonts w:ascii="Aptos" w:hAnsi="Aptos"/>
          <w:b/>
          <w:i w:val="0"/>
        </w:rPr>
        <w:t>1 January 2024 – 31 December 2025</w:t>
      </w:r>
      <w:r>
        <w:rPr>
          <w:rFonts w:ascii="Aptos" w:hAnsi="Aptos"/>
          <w:b w:val="0"/>
          <w:i w:val="0"/>
        </w:rPr>
        <w:t xml:space="preserve"> (24 months) </w:t>
      </w:r>
      <w:r>
        <w:rPr>
          <w:rFonts w:ascii="Consolas" w:hAnsi="Consolas"/>
          <w:b w:val="0"/>
          <w:i w:val="0"/>
          <w:color w:val="444444"/>
          <w:sz w:val="19"/>
        </w:rPr>
        <w:t>[DECIDE — confirm]</w:t>
      </w:r>
      <w:r>
        <w:rPr>
          <w:rFonts w:ascii="Aptos" w:hAnsi="Aptos"/>
          <w:b w:val="0"/>
          <w:i w:val="0"/>
        </w:rPr>
        <w:t>. Rationale: two complete calendar years give two full respiratory seasons; the period sits entirely inside the window during which no change was made to the records system (confirmed 2026-08-16); and it ended more than six months before analysis, so all records are settled.</w:t>
      </w:r>
    </w:p>
    <w:p>
      <w:pPr>
        <w:pStyle w:val="Heading3"/>
      </w:pPr>
      <w:r>
        <w:rPr>
          <w:rFonts w:ascii="Aptos" w:hAnsi="Aptos"/>
          <w:b w:val="0"/>
          <w:i w:val="0"/>
        </w:rPr>
        <w:t>4.4 Participants</w:t>
      </w:r>
    </w:p>
    <w:p>
      <w:r>
        <w:rPr>
          <w:rFonts w:ascii="Aptos" w:hAnsi="Aptos"/>
          <w:b/>
          <w:i w:val="0"/>
        </w:rPr>
        <w:t>Source population:</w:t>
      </w:r>
      <w:r>
        <w:rPr>
          <w:rFonts w:ascii="Aptos" w:hAnsi="Aptos"/>
          <w:b w:val="0"/>
          <w:i w:val="0"/>
        </w:rPr>
        <w:t xml:space="preserve"> all visits to the PMC pediatric emergency department during the study period.</w:t>
      </w:r>
    </w:p>
    <w:p>
      <w:r>
        <w:rPr>
          <w:rFonts w:ascii="Aptos" w:hAnsi="Aptos"/>
          <w:b/>
          <w:i w:val="0"/>
        </w:rPr>
        <w:t>Index visits — inclusion</w:t>
      </w:r>
    </w:p>
    <w:p>
      <w:pPr>
        <w:pStyle w:val="ListBullet"/>
        <w:spacing w:after="60"/>
        <w:ind w:left="403"/>
      </w:pPr>
      <w:r>
        <w:rPr>
          <w:rFonts w:ascii="Aptos" w:hAnsi="Aptos"/>
          <w:b w:val="0"/>
          <w:i w:val="0"/>
        </w:rPr>
        <w:t xml:space="preserve">Age </w:t>
      </w:r>
      <w:r>
        <w:rPr>
          <w:rFonts w:ascii="Aptos" w:hAnsi="Aptos"/>
          <w:b/>
          <w:i w:val="0"/>
        </w:rPr>
        <w:t>under 13 years</w:t>
      </w:r>
      <w:r>
        <w:rPr>
          <w:rFonts w:ascii="Aptos" w:hAnsi="Aptos"/>
          <w:b w:val="0"/>
          <w:i w:val="0"/>
        </w:rPr>
        <w:t xml:space="preserve"> at the time of the visit — the local upper age limit for pediatric ED care at PMC (confirmed 2026-08-17)</w:t>
      </w:r>
    </w:p>
    <w:p>
      <w:pPr>
        <w:pStyle w:val="ListBullet"/>
        <w:spacing w:after="60"/>
        <w:ind w:left="403"/>
      </w:pPr>
      <w:r>
        <w:rPr>
          <w:rFonts w:ascii="Aptos" w:hAnsi="Aptos"/>
          <w:b w:val="0"/>
          <w:i w:val="0"/>
        </w:rPr>
        <w:t xml:space="preserve">Visit </w:t>
      </w:r>
      <w:r>
        <w:rPr>
          <w:rFonts w:ascii="Aptos" w:hAnsi="Aptos"/>
          <w:b/>
          <w:i w:val="0"/>
        </w:rPr>
        <w:t>ended in discharge</w:t>
      </w:r>
      <w:r>
        <w:rPr>
          <w:rFonts w:ascii="Aptos" w:hAnsi="Aptos"/>
          <w:b w:val="0"/>
          <w:i w:val="0"/>
        </w:rPr>
        <w:t xml:space="preserve"> from the emergency department</w:t>
      </w:r>
    </w:p>
    <w:p>
      <w:r>
        <w:rPr>
          <w:rFonts w:ascii="Aptos" w:hAnsi="Aptos"/>
          <w:b/>
          <w:i w:val="0"/>
        </w:rPr>
        <w:t>Index visits — exclusion</w:t>
      </w:r>
    </w:p>
    <w:p>
      <w:pPr>
        <w:pStyle w:val="ListBullet"/>
        <w:spacing w:after="60"/>
        <w:ind w:left="403"/>
      </w:pPr>
      <w:r>
        <w:rPr>
          <w:rFonts w:ascii="Aptos" w:hAnsi="Aptos"/>
          <w:b w:val="0"/>
          <w:i w:val="0"/>
        </w:rPr>
        <w:t>Admitted to hospital at the index visit</w:t>
      </w:r>
    </w:p>
    <w:p>
      <w:pPr>
        <w:pStyle w:val="ListBullet"/>
        <w:spacing w:after="60"/>
        <w:ind w:left="403"/>
      </w:pPr>
      <w:r>
        <w:rPr>
          <w:rFonts w:ascii="Aptos" w:hAnsi="Aptos"/>
          <w:b w:val="0"/>
          <w:i w:val="0"/>
        </w:rPr>
        <w:t>Died in the emergency department</w:t>
      </w:r>
    </w:p>
    <w:p>
      <w:pPr>
        <w:pStyle w:val="ListBullet"/>
        <w:spacing w:after="60"/>
        <w:ind w:left="403"/>
      </w:pPr>
      <w:r>
        <w:rPr>
          <w:rFonts w:ascii="Aptos" w:hAnsi="Aptos"/>
          <w:b w:val="0"/>
          <w:i w:val="0"/>
        </w:rPr>
        <w:t>Transferred to another facility</w:t>
      </w:r>
    </w:p>
    <w:p>
      <w:pPr>
        <w:pStyle w:val="ListBullet"/>
        <w:spacing w:after="60"/>
        <w:ind w:left="403"/>
      </w:pPr>
      <w:r>
        <w:rPr>
          <w:rFonts w:ascii="Aptos" w:hAnsi="Aptos"/>
          <w:b w:val="0"/>
          <w:i w:val="0"/>
        </w:rPr>
        <w:t>Left against medical advice</w:t>
      </w:r>
    </w:p>
    <w:p>
      <w:pPr>
        <w:pStyle w:val="ListBullet"/>
        <w:spacing w:after="60"/>
        <w:ind w:left="403"/>
      </w:pPr>
      <w:r>
        <w:rPr>
          <w:rFonts w:ascii="Aptos" w:hAnsi="Aptos"/>
          <w:b w:val="0"/>
          <w:i w:val="0"/>
        </w:rPr>
        <w:t>Left without being seen</w:t>
      </w:r>
    </w:p>
    <w:p>
      <w:pPr>
        <w:pStyle w:val="ListBullet"/>
        <w:spacing w:after="60"/>
        <w:ind w:left="403"/>
      </w:pPr>
      <w:r>
        <w:rPr>
          <w:rFonts w:ascii="Aptos" w:hAnsi="Aptos"/>
          <w:b w:val="0"/>
          <w:i w:val="0"/>
        </w:rPr>
        <w:t>Record incomplete to the point that discharge cannot be confirmed</w:t>
      </w:r>
    </w:p>
    <w:p>
      <w:r>
        <w:rPr>
          <w:rFonts w:ascii="Aptos" w:hAnsi="Aptos"/>
          <w:b/>
          <w:i w:val="0"/>
        </w:rPr>
        <w:t>Definition of the outcome event</w:t>
      </w:r>
    </w:p>
    <w:p>
      <w:pPr>
        <w:spacing w:before="80" w:after="160"/>
        <w:ind w:left="317" w:right="173"/>
        <w:shd w:val="clear" w:fill="F2F2F2"/>
      </w:pPr>
      <w:r>
        <w:rPr>
          <w:rFonts w:ascii="Aptos" w:hAnsi="Aptos"/>
          <w:b w:val="0"/>
          <w:i w:val="0"/>
        </w:rPr>
        <w:t xml:space="preserve">An </w:t>
      </w:r>
      <w:r>
        <w:rPr>
          <w:rFonts w:ascii="Aptos" w:hAnsi="Aptos"/>
          <w:b/>
          <w:i w:val="0"/>
        </w:rPr>
        <w:t>unscheduled return visit</w:t>
      </w:r>
      <w:r>
        <w:rPr>
          <w:rFonts w:ascii="Aptos" w:hAnsi="Aptos"/>
          <w:b w:val="0"/>
          <w:i w:val="0"/>
        </w:rPr>
        <w:t xml:space="preserve"> is a presentation by the same patient to the same pediatric emergency department </w:t>
      </w:r>
      <w:r>
        <w:rPr>
          <w:rFonts w:ascii="Aptos" w:hAnsi="Aptos"/>
          <w:b/>
          <w:i w:val="0"/>
        </w:rPr>
        <w:t>within 72 hours</w:t>
      </w:r>
      <w:r>
        <w:rPr>
          <w:rFonts w:ascii="Aptos" w:hAnsi="Aptos"/>
          <w:b w:val="0"/>
          <w:i w:val="0"/>
        </w:rPr>
        <w:t xml:space="preserve"> of discharge from an index visit, where the return was not planned or advised at the index visit.</w:t>
      </w:r>
    </w:p>
    <w:p>
      <w:r>
        <w:rPr>
          <w:rFonts w:ascii="Aptos" w:hAnsi="Aptos"/>
          <w:b/>
          <w:i w:val="0"/>
        </w:rPr>
        <w:t>Return-visit exclusions</w:t>
      </w:r>
    </w:p>
    <w:p>
      <w:pPr>
        <w:pStyle w:val="ListBullet"/>
        <w:spacing w:after="60"/>
        <w:ind w:left="403"/>
      </w:pPr>
      <w:r>
        <w:rPr>
          <w:rFonts w:ascii="Aptos" w:hAnsi="Aptos"/>
          <w:b w:val="0"/>
          <w:i w:val="0"/>
        </w:rPr>
        <w:t>Returns explicitly scheduled or advised at the index visit (e.g. "return tomorrow for review", planned wound check, planned repeat investigation)</w:t>
      </w:r>
    </w:p>
    <w:p>
      <w:pPr>
        <w:pStyle w:val="ListBullet"/>
        <w:spacing w:after="60"/>
        <w:ind w:left="403"/>
      </w:pPr>
      <w:r>
        <w:rPr>
          <w:rFonts w:ascii="Aptos" w:hAnsi="Aptos"/>
          <w:b w:val="0"/>
          <w:i w:val="0"/>
        </w:rPr>
        <w:t>Returns for administrative purposes only (certificate, report, prescription refill without clinical assessment)</w:t>
      </w:r>
    </w:p>
    <w:p>
      <w:r>
        <w:rPr>
          <w:rFonts w:ascii="Aptos" w:hAnsi="Aptos"/>
          <w:b/>
          <w:i w:val="0"/>
        </w:rPr>
        <w:t>Local practice note — scheduled ED returns are rare at this site.</w:t>
      </w:r>
      <w:r>
        <w:rPr>
          <w:rFonts w:ascii="Aptos" w:hAnsi="Aptos"/>
          <w:b w:val="0"/>
          <w:i w:val="0"/>
        </w:rPr>
        <w:t xml:space="preserve"> Clinicians at PMC direct patients requiring planned review to </w:t>
      </w:r>
      <w:r>
        <w:rPr>
          <w:rFonts w:ascii="Aptos" w:hAnsi="Aptos"/>
          <w:b/>
          <w:i w:val="0"/>
        </w:rPr>
        <w:t>outpatient clinic, not to the emergency department</w:t>
      </w:r>
      <w:r>
        <w:rPr>
          <w:rFonts w:ascii="Aptos" w:hAnsi="Aptos"/>
          <w:b w:val="0"/>
          <w:i w:val="0"/>
        </w:rPr>
        <w:t xml:space="preserve"> (confirmed by the PI, 2026-08-16). Consequently almost all 72-hour ED returns are expected to be unscheduled, and the crude return rate derived from the export should approximate the unscheduled rate closely.</w:t>
      </w:r>
    </w:p>
    <w:p>
      <w:r>
        <w:rPr>
          <w:rFonts w:ascii="Aptos" w:hAnsi="Aptos"/>
          <w:b w:val="0"/>
          <w:i w:val="0"/>
        </w:rPr>
        <w:t xml:space="preserve">This is </w:t>
      </w:r>
      <w:r>
        <w:rPr>
          <w:rFonts w:ascii="Aptos" w:hAnsi="Aptos"/>
          <w:b/>
          <w:i w:val="0"/>
        </w:rPr>
        <w:t>verified empirically rather than assumed</w:t>
      </w:r>
      <w:r>
        <w:rPr>
          <w:rFonts w:ascii="Aptos" w:hAnsi="Aptos"/>
          <w:b w:val="0"/>
          <w:i w:val="0"/>
        </w:rPr>
        <w:t>: the proportion of scheduled returns is counted in the classified sample (§4.7) and reported. If it exceeds 5%, the primary outcome is recalculated using the sample-derived correction and both figures are reported.</w:t>
      </w:r>
    </w:p>
    <w:p>
      <w:r>
        <w:rPr>
          <w:rFonts w:ascii="Aptos" w:hAnsi="Aptos"/>
          <w:b w:val="0"/>
          <w:i w:val="0"/>
        </w:rPr>
        <w:t>This practice also strengthens the outcome measure. In health systems where ED follow-up is routine, revisit counts are diluted by planned returns; here they are not, so an ED return more directly represents unplanned deterioration or unmet need. This point belongs in the discussion.</w:t>
      </w:r>
    </w:p>
    <w:p>
      <w:r>
        <w:rPr>
          <w:rFonts w:ascii="Aptos" w:hAnsi="Aptos"/>
          <w:b/>
          <w:i w:val="0"/>
        </w:rPr>
        <w:t>Handling of repeated events:</w:t>
      </w:r>
      <w:r>
        <w:rPr>
          <w:rFonts w:ascii="Aptos" w:hAnsi="Aptos"/>
          <w:b w:val="0"/>
          <w:i w:val="0"/>
        </w:rPr>
        <w:t xml:space="preserve"> the primary analysis counts each discharged index visit once, with a binary outcome of whether an unscheduled return occurred within 72 hours. A child may contribute more than one index visit. A return visit may itself become an index visit if it ended in discharge. Clustering by patient is addressed in §4.8.</w:t>
      </w:r>
    </w:p>
    <w:p>
      <w:pPr>
        <w:pStyle w:val="Heading3"/>
      </w:pPr>
      <w:r>
        <w:rPr>
          <w:rFonts w:ascii="Aptos" w:hAnsi="Aptos"/>
          <w:b w:val="0"/>
          <w:i w:val="0"/>
        </w:rPr>
        <w:t>4.5 Data sources</w:t>
      </w:r>
    </w:p>
    <w:p>
      <w:r>
        <w:rPr>
          <w:rFonts w:ascii="Aptos" w:hAnsi="Aptos"/>
          <w:b w:val="0"/>
          <w:i w:val="0"/>
        </w:rPr>
        <w:t xml:space="preserve">A single Excel export from the ED electronic system covering all pediatric visits in the study period, containing the fields listed in </w:t>
      </w:r>
      <w:r>
        <w:rPr>
          <w:rFonts w:ascii="Consolas" w:hAnsi="Consolas"/>
          <w:b w:val="0"/>
          <w:i w:val="0"/>
          <w:color w:val="444444"/>
          <w:sz w:val="19"/>
        </w:rPr>
        <w:t>IT-EXPORT-REQUEST.md</w:t>
      </w:r>
      <w:r>
        <w:rPr>
          <w:rFonts w:ascii="Aptos" w:hAnsi="Aptos"/>
          <w:b w:val="0"/>
          <w:i w:val="0"/>
        </w:rPr>
        <w:t xml:space="preserve">. Revisit identification is then performed </w:t>
      </w:r>
      <w:r>
        <w:rPr>
          <w:rFonts w:ascii="Aptos" w:hAnsi="Aptos"/>
          <w:b/>
          <w:i w:val="0"/>
        </w:rPr>
        <w:t>algorithmically</w:t>
      </w:r>
      <w:r>
        <w:rPr>
          <w:rFonts w:ascii="Aptos" w:hAnsi="Aptos"/>
          <w:b w:val="0"/>
          <w:i w:val="0"/>
        </w:rPr>
        <w:t xml:space="preserve"> by sorting on patient identifier and arrival time — no manual searching is required to build the cohort.</w:t>
      </w:r>
    </w:p>
    <w:p>
      <w:r>
        <w:rPr>
          <w:rFonts w:ascii="Aptos" w:hAnsi="Aptos"/>
          <w:b w:val="0"/>
          <w:i w:val="0"/>
        </w:rPr>
        <w:t>Manual chart review is confined to the identified revisit pairs, for classification only (§4.7).</w:t>
      </w:r>
    </w:p>
    <w:p>
      <w:pPr>
        <w:spacing w:before="80" w:after="160"/>
        <w:ind w:left="317" w:right="173"/>
        <w:shd w:val="clear" w:fill="F2F2F2"/>
      </w:pPr>
      <w:r>
        <w:rPr>
          <w:rFonts w:ascii="Aptos" w:hAnsi="Aptos"/>
          <w:b/>
          <w:i w:val="0"/>
        </w:rPr>
        <w:t>Critical technical assumption:</w:t>
      </w:r>
      <w:r>
        <w:rPr>
          <w:rFonts w:ascii="Aptos" w:hAnsi="Aptos"/>
          <w:b w:val="0"/>
          <w:i w:val="0"/>
        </w:rPr>
        <w:t xml:space="preserve"> the patient identifier is stable across visits. If it is not, visit linkage is impossible and the study cannot proceed in this form. </w:t>
      </w:r>
      <w:r>
        <w:rPr>
          <w:rFonts w:ascii="Aptos" w:hAnsi="Aptos"/>
          <w:b/>
          <w:i w:val="0"/>
        </w:rPr>
        <w:t>Verify with IT before any other step.</w:t>
      </w:r>
    </w:p>
    <w:p>
      <w:pPr>
        <w:pStyle w:val="Heading3"/>
      </w:pPr>
      <w:r>
        <w:rPr>
          <w:rFonts w:ascii="Aptos" w:hAnsi="Aptos"/>
          <w:b w:val="0"/>
          <w:i w:val="0"/>
        </w:rPr>
        <w:t>4.6 Variables</w:t>
      </w:r>
    </w:p>
    <w:p>
      <w:r>
        <w:rPr>
          <w:rFonts w:ascii="Aptos" w:hAnsi="Aptos"/>
          <w:b w:val="0"/>
          <w:i w:val="0"/>
        </w:rPr>
        <w:t xml:space="preserve">Specified in full in </w:t>
      </w:r>
      <w:r>
        <w:rPr>
          <w:rFonts w:ascii="Consolas" w:hAnsi="Consolas"/>
          <w:b w:val="0"/>
          <w:i w:val="0"/>
          <w:color w:val="444444"/>
          <w:sz w:val="19"/>
        </w:rPr>
        <w:t>DATA-DICTIONARY.md</w:t>
      </w:r>
      <w:r>
        <w:rPr>
          <w:rFonts w:ascii="Aptos" w:hAnsi="Aptos"/>
          <w:b w:val="0"/>
          <w:i w:val="0"/>
        </w:rPr>
        <w:t>. In outline:</w:t>
      </w:r>
    </w:p>
    <w:p>
      <w:pPr>
        <w:pStyle w:val="ListBullet"/>
        <w:spacing w:after="60"/>
        <w:ind w:left="403"/>
      </w:pPr>
      <w:r>
        <w:rPr>
          <w:rFonts w:ascii="Aptos" w:hAnsi="Aptos"/>
          <w:b/>
          <w:i w:val="0"/>
        </w:rPr>
        <w:t>Outcome:</w:t>
      </w:r>
      <w:r>
        <w:rPr>
          <w:rFonts w:ascii="Aptos" w:hAnsi="Aptos"/>
          <w:b w:val="0"/>
          <w:i w:val="0"/>
        </w:rPr>
        <w:t xml:space="preserve"> unscheduled return within 72 hours (binary); admission at the return visit (binary)</w:t>
      </w:r>
    </w:p>
    <w:p>
      <w:pPr>
        <w:pStyle w:val="ListBullet"/>
        <w:spacing w:after="60"/>
        <w:ind w:left="403"/>
      </w:pPr>
      <w:r>
        <w:rPr>
          <w:rFonts w:ascii="Aptos" w:hAnsi="Aptos"/>
          <w:b/>
          <w:i w:val="0"/>
        </w:rPr>
        <w:t>Index-visit exposures:</w:t>
      </w:r>
      <w:r>
        <w:rPr>
          <w:rFonts w:ascii="Aptos" w:hAnsi="Aptos"/>
          <w:b w:val="0"/>
          <w:i w:val="0"/>
        </w:rPr>
        <w:t xml:space="preserve"> age band, sex, index diagnosis category, arrival time of day, day of week, season, ED length of stay, whether any medication was prescribed, whether antibiotics were prescribed, number of prior ED visits in the preceding 30 days, residence category </w:t>
      </w:r>
      <w:r>
        <w:rPr>
          <w:rFonts w:ascii="Consolas" w:hAnsi="Consolas"/>
          <w:b w:val="0"/>
          <w:i w:val="0"/>
          <w:color w:val="444444"/>
          <w:sz w:val="19"/>
        </w:rPr>
        <w:t>[VERIFY availability in export]</w:t>
      </w:r>
    </w:p>
    <w:p>
      <w:pPr>
        <w:pStyle w:val="ListBullet"/>
        <w:spacing w:after="60"/>
        <w:ind w:left="403"/>
      </w:pPr>
      <w:r>
        <w:rPr>
          <w:rFonts w:ascii="Aptos" w:hAnsi="Aptos"/>
          <w:b/>
          <w:i w:val="0"/>
        </w:rPr>
        <w:t>Derived:</w:t>
      </w:r>
      <w:r>
        <w:rPr>
          <w:rFonts w:ascii="Aptos" w:hAnsi="Aptos"/>
          <w:b w:val="0"/>
          <w:i w:val="0"/>
        </w:rPr>
        <w:t xml:space="preserve"> time to return (hours), index-to-return diagnosis concordance</w:t>
      </w:r>
    </w:p>
    <w:p>
      <w:pPr>
        <w:pStyle w:val="Heading3"/>
      </w:pPr>
      <w:r>
        <w:rPr>
          <w:rFonts w:ascii="Aptos" w:hAnsi="Aptos"/>
          <w:b w:val="0"/>
          <w:i w:val="0"/>
        </w:rPr>
        <w:t>4.7 Classification of return visits</w:t>
      </w:r>
    </w:p>
    <w:p>
      <w:r>
        <w:rPr>
          <w:rFonts w:ascii="Aptos" w:hAnsi="Aptos"/>
          <w:b/>
          <w:i w:val="0"/>
        </w:rPr>
        <w:t>Sampling.</w:t>
      </w:r>
      <w:r>
        <w:rPr>
          <w:rFonts w:ascii="Aptos" w:hAnsi="Aptos"/>
          <w:b w:val="0"/>
          <w:i w:val="0"/>
        </w:rPr>
        <w:t xml:space="preserve"> The rate and all regression predictors are derived from the complete export, so sampling costs nothing there. Only the classification judgements require chart review. A </w:t>
      </w:r>
      <w:r>
        <w:rPr>
          <w:rFonts w:ascii="Aptos" w:hAnsi="Aptos"/>
          <w:b/>
          <w:i w:val="0"/>
        </w:rPr>
        <w:t>random sample of 400 return visits</w:t>
      </w:r>
      <w:r>
        <w:rPr>
          <w:rFonts w:ascii="Aptos" w:hAnsi="Aptos"/>
          <w:b w:val="0"/>
          <w:i w:val="0"/>
        </w:rPr>
        <w:t xml:space="preserve"> is therefore drawn for classification, using a reproducible random seed recorded in the analysis syntax.</w:t>
      </w:r>
    </w:p>
    <w:p>
      <w:r>
        <w:rPr>
          <w:rFonts w:ascii="Aptos" w:hAnsi="Aptos"/>
          <w:b w:val="0"/>
          <w:i w:val="0"/>
        </w:rPr>
        <w:t>Rationale: 400 gives approximately ±5% precision at 95% confidence for a proportion near 50%, and better precision for the rarer categories (physician-related was 3.5% in the comparator study). Classifying all ~2,000 expected returns would require roughly 470 reviewer-hours; 400 requires roughly 93, which is achievable for a team without dedicated research staff. Precision is preserved where it matters; feasibility is preserved everywhere else.</w:t>
      </w:r>
    </w:p>
    <w:p>
      <w:r>
        <w:rPr>
          <w:rFonts w:ascii="Aptos" w:hAnsi="Aptos"/>
          <w:b w:val="0"/>
          <w:i w:val="0"/>
        </w:rPr>
        <w:t xml:space="preserve">Every sampled return visit is classified independently by </w:t>
      </w:r>
      <w:r>
        <w:rPr>
          <w:rFonts w:ascii="Aptos" w:hAnsi="Aptos"/>
          <w:b/>
          <w:i w:val="0"/>
        </w:rPr>
        <w:t>two physician reviewers</w:t>
      </w:r>
      <w:r>
        <w:rPr>
          <w:rFonts w:ascii="Aptos" w:hAnsi="Aptos"/>
          <w:b w:val="0"/>
          <w:i w:val="0"/>
        </w:rPr>
        <w:t xml:space="preserve"> (pediatric residents), blinded to each other's assessment. Disagreements are resolved by a </w:t>
      </w:r>
      <w:r>
        <w:rPr>
          <w:rFonts w:ascii="Aptos" w:hAnsi="Aptos"/>
          <w:b/>
          <w:i w:val="0"/>
        </w:rPr>
        <w:t>third senior reviewer</w:t>
      </w:r>
      <w:r>
        <w:rPr>
          <w:rFonts w:ascii="Aptos" w:hAnsi="Aptos"/>
          <w:b w:val="0"/>
          <w:i w:val="0"/>
        </w:rPr>
        <w:t xml:space="preserve"> acting as adjudicator. Inter-rater agreement is reported as Cohen's kappa.</w:t>
      </w:r>
    </w:p>
    <w:p>
      <w:r>
        <w:rPr>
          <w:rFonts w:ascii="Aptos" w:hAnsi="Aptos"/>
          <w:b/>
          <w:i w:val="0"/>
        </w:rPr>
        <w:t>The treating clinician's identity is masked.</w:t>
      </w:r>
      <w:r>
        <w:rPr>
          <w:rFonts w:ascii="Aptos" w:hAnsi="Aptos"/>
          <w:b w:val="0"/>
          <w:i w:val="0"/>
        </w:rPr>
        <w:t xml:space="preserve"> The name of the doctor who saw the child is removed from the record before it reaches a reviewer. Reviewers are residents in the same department as the clinicians whose discharge decisions they assess, and the attribution judgement includes a physician-related category; masking removes a bias that could otherwise only be described. Reviewers record in the abstraction form whether they nonetheless recognised a case, and such pairs are reassigned to the adjudicator.</w:t>
      </w:r>
    </w:p>
    <w:p>
      <w:r>
        <w:rPr>
          <w:rFonts w:ascii="Aptos" w:hAnsi="Aptos"/>
          <w:b/>
          <w:i w:val="0"/>
        </w:rPr>
        <w:t>Verification sub-study.</w:t>
      </w:r>
      <w:r>
        <w:rPr>
          <w:rFonts w:ascii="Aptos" w:hAnsi="Aptos"/>
          <w:b w:val="0"/>
          <w:i w:val="0"/>
        </w:rPr>
        <w:t xml:space="preserve"> A senior pediatrician independently classifies a </w:t>
      </w:r>
      <w:r>
        <w:rPr>
          <w:rFonts w:ascii="Aptos" w:hAnsi="Aptos"/>
          <w:b/>
          <w:i w:val="0"/>
        </w:rPr>
        <w:t>random 20% of the sampled pairs (n = 80)</w:t>
      </w:r>
      <w:r>
        <w:rPr>
          <w:rFonts w:ascii="Aptos" w:hAnsi="Aptos"/>
          <w:b w:val="0"/>
          <w:i w:val="0"/>
        </w:rPr>
        <w:t xml:space="preserve">, blinded to the reviewers' codes and to each other's. This directly addresses the concern raised by </w:t>
      </w:r>
      <w:r>
        <w:rPr>
          <w:rFonts w:ascii="Aptos" w:hAnsi="Aptos"/>
          <w:b w:val="0"/>
          <w:i/>
        </w:rPr>
        <w:t>Emerg Med J</w:t>
      </w:r>
      <w:r>
        <w:rPr>
          <w:rFonts w:ascii="Aptos" w:hAnsi="Aptos"/>
          <w:b w:val="0"/>
          <w:i w:val="0"/>
        </w:rPr>
        <w:t xml:space="preserve"> 2017 (PMID 28801485), in which trainees assigned a potential medical deficiency less often than attending physicians (9% vs 13%, overall discordance 17%, rising to 25% in cases requiring admission). Because a shared bias produces reviewer </w:t>
      </w:r>
      <w:r>
        <w:rPr>
          <w:rFonts w:ascii="Aptos" w:hAnsi="Aptos"/>
          <w:b w:val="0"/>
          <w:i/>
        </w:rPr>
        <w:t>agreement</w:t>
      </w:r>
      <w:r>
        <w:rPr>
          <w:rFonts w:ascii="Aptos" w:hAnsi="Aptos"/>
          <w:b w:val="0"/>
          <w:i w:val="0"/>
        </w:rPr>
        <w:t xml:space="preserve"> rather than disagreement, it is invisible to the adjudication step; the sample is therefore drawn at random from all 400 pairs rather than from the disagreements. Agreement between the resident consensus and the senior reviewer is reported, together with the direction of any systematic difference in the physician-related and preventable categories. </w:t>
      </w:r>
      <w:r>
        <w:rPr>
          <w:rFonts w:ascii="Aptos" w:hAnsi="Aptos"/>
          <w:b/>
          <w:i w:val="0"/>
        </w:rPr>
        <w:t>These codes are a measurement, not a correction: they do not replace the primary classifications.</w:t>
      </w:r>
    </w:p>
    <w:p>
      <w:r>
        <w:rPr>
          <w:rFonts w:ascii="Aptos" w:hAnsi="Aptos"/>
          <w:b w:val="0"/>
          <w:i w:val="0"/>
        </w:rPr>
        <w:t>Reviewer numbers are kept deliberately small. A systematic review of reliability in record review (</w:t>
      </w:r>
      <w:r>
        <w:rPr>
          <w:rFonts w:ascii="Aptos" w:hAnsi="Aptos"/>
          <w:b w:val="0"/>
          <w:i/>
        </w:rPr>
        <w:t>BMJ Open</w:t>
      </w:r>
      <w:r>
        <w:rPr>
          <w:rFonts w:ascii="Aptos" w:hAnsi="Aptos"/>
          <w:b w:val="0"/>
          <w:i w:val="0"/>
        </w:rPr>
        <w:t xml:space="preserve"> 2016, PMID 27550650) found inter-rater agreement significantly higher in studies using no more than five reviewers, and pooled kappa of 0.55–0.65 for judgements of this kind — the range against which our pilot result should be interpreted.</w:t>
      </w:r>
    </w:p>
    <w:p>
      <w:r>
        <w:rPr>
          <w:rFonts w:ascii="Aptos" w:hAnsi="Aptos"/>
          <w:b w:val="0"/>
          <w:i w:val="0"/>
        </w:rPr>
        <w:t xml:space="preserve">This is not a formality. </w:t>
      </w:r>
      <w:r>
        <w:rPr>
          <w:rFonts w:ascii="Aptos" w:hAnsi="Aptos"/>
          <w:b w:val="0"/>
          <w:i/>
        </w:rPr>
        <w:t>Emerg Med J</w:t>
      </w:r>
      <w:r>
        <w:rPr>
          <w:rFonts w:ascii="Aptos" w:hAnsi="Aptos"/>
          <w:b w:val="0"/>
          <w:i w:val="0"/>
        </w:rPr>
        <w:t xml:space="preserve"> 2017 (PMID 28801485) found </w:t>
      </w:r>
      <w:r>
        <w:rPr>
          <w:rFonts w:ascii="Aptos" w:hAnsi="Aptos"/>
          <w:b/>
          <w:i w:val="0"/>
        </w:rPr>
        <w:t>25% discordance between attending physicians and trainees</w:t>
      </w:r>
      <w:r>
        <w:rPr>
          <w:rFonts w:ascii="Aptos" w:hAnsi="Aptos"/>
          <w:b w:val="0"/>
          <w:i w:val="0"/>
        </w:rPr>
        <w:t xml:space="preserve"> on the root cause of the same return visits. Independent duplicate review with a reported kappa is what makes the classification defensible to reviewers.</w:t>
      </w:r>
    </w:p>
    <w:p>
      <w:r>
        <w:rPr>
          <w:rFonts w:ascii="Aptos" w:hAnsi="Aptos"/>
          <w:b w:val="0"/>
          <w:i w:val="0"/>
        </w:rPr>
        <w:t>Two judgements are made on each return:</w:t>
      </w:r>
    </w:p>
    <w:p>
      <w:r>
        <w:rPr>
          <w:rFonts w:ascii="Aptos" w:hAnsi="Aptos"/>
          <w:b/>
          <w:i w:val="0"/>
        </w:rPr>
        <w:t>(a) Relatedness</w:t>
      </w:r>
      <w:r>
        <w:rPr>
          <w:rFonts w:ascii="Aptos" w:hAnsi="Aptos"/>
          <w:b w:val="0"/>
          <w:i w:val="0"/>
        </w:rPr>
        <w:t xml:space="preserve"> — related / unrelated to the index visit presentation.</w:t>
      </w:r>
    </w:p>
    <w:p>
      <w:r>
        <w:rPr>
          <w:rFonts w:ascii="Aptos" w:hAnsi="Aptos"/>
          <w:b/>
          <w:i w:val="0"/>
        </w:rPr>
        <w:t>(b) Attribution</w:t>
      </w:r>
      <w:r>
        <w:rPr>
          <w:rFonts w:ascii="Aptos" w:hAnsi="Aptos"/>
          <w:b w:val="0"/>
          <w:i w:val="0"/>
        </w:rPr>
        <w:t xml:space="preserve">, using the established taxonomy from </w:t>
      </w:r>
      <w:r>
        <w:rPr>
          <w:rFonts w:ascii="Aptos" w:hAnsi="Aptos"/>
          <w:b w:val="0"/>
          <w:i/>
        </w:rPr>
        <w:t>Am J Med Qual</w:t>
      </w:r>
      <w:r>
        <w:rPr>
          <w:rFonts w:ascii="Aptos" w:hAnsi="Aptos"/>
          <w:b w:val="0"/>
          <w:i w:val="0"/>
        </w:rPr>
        <w:t xml:space="preserve"> 2016 (PMID 26160967), which also provides a comparator distribution (illness-related 94.9%, patient-related 1.6%, physician-related 3.5%):</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Category</w:t>
            </w:r>
          </w:p>
        </w:tc>
        <w:tc>
          <w:tcPr>
            <w:tcW w:type="dxa" w:w="4968"/>
            <w:shd w:val="clear" w:fill="DEE7F0"/>
          </w:tcPr>
          <w:p>
            <w:pPr>
              <w:spacing w:after="40"/>
            </w:pPr>
            <w:r/>
            <w:r>
              <w:rPr>
                <w:rFonts w:ascii="Aptos" w:hAnsi="Aptos"/>
                <w:b/>
                <w:i w:val="0"/>
                <w:sz w:val="19"/>
              </w:rPr>
              <w:t>Meaning</w:t>
            </w:r>
          </w:p>
        </w:tc>
      </w:tr>
      <w:tr>
        <w:tc>
          <w:tcPr>
            <w:tcW w:type="dxa" w:w="4968"/>
          </w:tcPr>
          <w:p>
            <w:pPr>
              <w:spacing w:after="40"/>
            </w:pPr>
            <w:r/>
            <w:r>
              <w:rPr>
                <w:rFonts w:ascii="Aptos" w:hAnsi="Aptos"/>
                <w:b/>
                <w:i w:val="0"/>
                <w:sz w:val="19"/>
              </w:rPr>
              <w:t>Illness-related</w:t>
            </w:r>
          </w:p>
        </w:tc>
        <w:tc>
          <w:tcPr>
            <w:tcW w:type="dxa" w:w="4968"/>
          </w:tcPr>
          <w:p>
            <w:pPr>
              <w:spacing w:after="40"/>
            </w:pPr>
            <w:r/>
            <w:r>
              <w:rPr>
                <w:rFonts w:ascii="Aptos" w:hAnsi="Aptos"/>
                <w:b w:val="0"/>
                <w:i w:val="0"/>
                <w:sz w:val="19"/>
              </w:rPr>
              <w:t>Natural progression or expected course of the presenting illness; no deficiency in care</w:t>
            </w:r>
          </w:p>
        </w:tc>
      </w:tr>
      <w:tr>
        <w:tc>
          <w:tcPr>
            <w:tcW w:type="dxa" w:w="4968"/>
          </w:tcPr>
          <w:p>
            <w:pPr>
              <w:spacing w:after="40"/>
            </w:pPr>
            <w:r/>
            <w:r>
              <w:rPr>
                <w:rFonts w:ascii="Aptos" w:hAnsi="Aptos"/>
                <w:b/>
                <w:i w:val="0"/>
                <w:sz w:val="19"/>
              </w:rPr>
              <w:t>Patient-related</w:t>
            </w:r>
          </w:p>
        </w:tc>
        <w:tc>
          <w:tcPr>
            <w:tcW w:type="dxa" w:w="4968"/>
          </w:tcPr>
          <w:p>
            <w:pPr>
              <w:spacing w:after="40"/>
            </w:pPr>
            <w:r/>
            <w:r>
              <w:rPr>
                <w:rFonts w:ascii="Aptos" w:hAnsi="Aptos"/>
                <w:b w:val="0"/>
                <w:i w:val="0"/>
                <w:sz w:val="19"/>
              </w:rPr>
              <w:t>Return driven by caregiver factors — anxiety, misunderstanding of instructions, non-adherence, inability to obtain medication</w:t>
            </w:r>
          </w:p>
        </w:tc>
      </w:tr>
      <w:tr>
        <w:tc>
          <w:tcPr>
            <w:tcW w:type="dxa" w:w="4968"/>
          </w:tcPr>
          <w:p>
            <w:pPr>
              <w:spacing w:after="40"/>
            </w:pPr>
            <w:r/>
            <w:r>
              <w:rPr>
                <w:rFonts w:ascii="Aptos" w:hAnsi="Aptos"/>
                <w:b/>
                <w:i w:val="0"/>
                <w:sz w:val="19"/>
              </w:rPr>
              <w:t>Physician-related</w:t>
            </w:r>
          </w:p>
        </w:tc>
        <w:tc>
          <w:tcPr>
            <w:tcW w:type="dxa" w:w="4968"/>
          </w:tcPr>
          <w:p>
            <w:pPr>
              <w:spacing w:after="40"/>
            </w:pPr>
            <w:r/>
            <w:r>
              <w:rPr>
                <w:rFonts w:ascii="Aptos" w:hAnsi="Aptos"/>
                <w:b w:val="0"/>
                <w:i w:val="0"/>
                <w:sz w:val="19"/>
              </w:rPr>
              <w:t>Return attributable to the index encounter — missed or incorrect diagnosis, inadequate treatment, premature discharge, inadequate discharge instructions</w:t>
            </w:r>
          </w:p>
        </w:tc>
      </w:tr>
    </w:tbl>
    <w:p>
      <w:pPr>
        <w:spacing w:after="80"/>
      </w:pPr>
    </w:p>
    <w:p>
      <w:r>
        <w:rPr>
          <w:rFonts w:ascii="Aptos" w:hAnsi="Aptos"/>
          <w:b/>
          <w:i w:val="0"/>
        </w:rPr>
        <w:t>(c) Access-barrier flag</w:t>
      </w:r>
      <w:r>
        <w:rPr>
          <w:rFonts w:ascii="Aptos" w:hAnsi="Aptos"/>
          <w:b w:val="0"/>
          <w:i w:val="0"/>
        </w:rPr>
        <w:t xml:space="preserve"> — recorded separately, as a binary variable, for every classified return:</w:t>
      </w:r>
    </w:p>
    <w:p>
      <w:pPr>
        <w:spacing w:before="80" w:after="160"/>
        <w:ind w:left="317" w:right="173"/>
        <w:shd w:val="clear" w:fill="F2F2F2"/>
      </w:pPr>
      <w:r>
        <w:rPr>
          <w:rFonts w:ascii="Aptos" w:hAnsi="Aptos"/>
          <w:b w:val="0"/>
          <w:i w:val="0"/>
        </w:rPr>
        <w:t xml:space="preserve">Is there documentation that the family returned to the ED because they were </w:t>
      </w:r>
      <w:r>
        <w:rPr>
          <w:rFonts w:ascii="Aptos" w:hAnsi="Aptos"/>
          <w:b/>
          <w:i w:val="0"/>
        </w:rPr>
        <w:t>unable to access</w:t>
      </w:r>
      <w:r>
        <w:rPr>
          <w:rFonts w:ascii="Aptos" w:hAnsi="Aptos"/>
          <w:b w:val="0"/>
          <w:i w:val="0"/>
        </w:rPr>
        <w:t xml:space="preserve"> the intended alternative — outpatient clinic appointment unavailable, unable to obtain the prescribed medication, transport, cost, distance, checkpoint or movement restriction?</w:t>
      </w:r>
    </w:p>
    <w:p>
      <w:r>
        <w:rPr>
          <w:rFonts w:ascii="Aptos" w:hAnsi="Aptos"/>
          <w:b w:val="0"/>
          <w:i w:val="0"/>
        </w:rPr>
        <w:t xml:space="preserve">This is deliberately kept </w:t>
      </w:r>
      <w:r>
        <w:rPr>
          <w:rFonts w:ascii="Aptos" w:hAnsi="Aptos"/>
          <w:b/>
          <w:i w:val="0"/>
        </w:rPr>
        <w:t>outside</w:t>
      </w:r>
      <w:r>
        <w:rPr>
          <w:rFonts w:ascii="Aptos" w:hAnsi="Aptos"/>
          <w:b w:val="0"/>
          <w:i w:val="0"/>
        </w:rPr>
        <w:t xml:space="preserve"> the three-category attribution taxonomy so that the attribution distribution remains directly comparable to published series. It exists because local practice directs planned follow-up to outpatient clinic rather than the ED (§4.4); a family that returns to the ED regardless may be signalling a system access failure rather than caregiver error, which the standard taxonomy would misfile as "patient-related".</w:t>
      </w:r>
    </w:p>
    <w:p>
      <w:r>
        <w:rPr>
          <w:rFonts w:ascii="Aptos" w:hAnsi="Aptos"/>
          <w:b w:val="0"/>
          <w:i w:val="0"/>
        </w:rPr>
        <w:t>In a conflict-affected setting with movement restrictions this is potentially the study's most distinctive finding, and it cannot be recovered retrospectively if it is not captured now.</w:t>
      </w:r>
    </w:p>
    <w:p>
      <w:r>
        <w:rPr>
          <w:rFonts w:ascii="Aptos" w:hAnsi="Aptos"/>
          <w:b w:val="0"/>
          <w:i w:val="0"/>
        </w:rPr>
        <w:t xml:space="preserve">Operational rules and worked examples are in </w:t>
      </w:r>
      <w:r>
        <w:rPr>
          <w:rFonts w:ascii="Consolas" w:hAnsi="Consolas"/>
          <w:b w:val="0"/>
          <w:i w:val="0"/>
          <w:color w:val="444444"/>
          <w:sz w:val="19"/>
        </w:rPr>
        <w:t>CODING-MANUAL.md</w:t>
      </w:r>
      <w:r>
        <w:rPr>
          <w:rFonts w:ascii="Aptos" w:hAnsi="Aptos"/>
          <w:b w:val="0"/>
          <w:i w:val="0"/>
        </w:rPr>
        <w:t>. Reviewers apply the rules to the full clinical record of both visits.</w:t>
      </w:r>
    </w:p>
    <w:p>
      <w:pPr>
        <w:pStyle w:val="Heading3"/>
      </w:pPr>
      <w:r>
        <w:rPr>
          <w:rFonts w:ascii="Aptos" w:hAnsi="Aptos"/>
          <w:b w:val="0"/>
          <w:i w:val="0"/>
        </w:rPr>
        <w:t>4.8 Statistical methods</w:t>
      </w:r>
    </w:p>
    <w:p>
      <w:r>
        <w:rPr>
          <w:rFonts w:ascii="Aptos" w:hAnsi="Aptos"/>
          <w:b w:val="0"/>
          <w:i w:val="0"/>
        </w:rPr>
        <w:t xml:space="preserve">Pre-specified in full in </w:t>
      </w:r>
      <w:r>
        <w:rPr>
          <w:rFonts w:ascii="Consolas" w:hAnsi="Consolas"/>
          <w:b w:val="0"/>
          <w:i w:val="0"/>
          <w:color w:val="444444"/>
          <w:sz w:val="19"/>
        </w:rPr>
        <w:t>ANALYSIS-PLAN.md</w:t>
      </w:r>
      <w:r>
        <w:rPr>
          <w:rFonts w:ascii="Aptos" w:hAnsi="Aptos"/>
          <w:b w:val="0"/>
          <w:i w:val="0"/>
        </w:rPr>
        <w:t>, written before any data is seen. In outline:</w:t>
      </w:r>
    </w:p>
    <w:p>
      <w:pPr>
        <w:pStyle w:val="ListBullet"/>
        <w:spacing w:after="60"/>
        <w:ind w:left="403"/>
      </w:pPr>
      <w:r>
        <w:rPr>
          <w:rFonts w:ascii="Aptos" w:hAnsi="Aptos"/>
          <w:b w:val="0"/>
          <w:i w:val="0"/>
        </w:rPr>
        <w:t>72-hour revisit rate with 95% confidence interval</w:t>
      </w:r>
    </w:p>
    <w:p>
      <w:pPr>
        <w:pStyle w:val="ListBullet"/>
        <w:spacing w:after="60"/>
        <w:ind w:left="403"/>
      </w:pPr>
      <w:r>
        <w:rPr>
          <w:rFonts w:ascii="Aptos" w:hAnsi="Aptos"/>
          <w:b w:val="0"/>
          <w:i w:val="0"/>
        </w:rPr>
        <w:t>Descriptive statistics for reasons, attribution categories, and admission on return</w:t>
      </w:r>
    </w:p>
    <w:p>
      <w:pPr>
        <w:pStyle w:val="ListBullet"/>
        <w:spacing w:after="60"/>
        <w:ind w:left="403"/>
      </w:pPr>
      <w:r>
        <w:rPr>
          <w:rFonts w:ascii="Aptos" w:hAnsi="Aptos"/>
          <w:b w:val="0"/>
          <w:i w:val="0"/>
        </w:rPr>
        <w:t>Cohen's kappa for inter-rater agreement</w:t>
      </w:r>
    </w:p>
    <w:p>
      <w:pPr>
        <w:pStyle w:val="ListBullet"/>
        <w:spacing w:after="60"/>
        <w:ind w:left="403"/>
      </w:pPr>
      <w:r>
        <w:rPr>
          <w:rFonts w:ascii="Aptos" w:hAnsi="Aptos"/>
          <w:b/>
          <w:i w:val="0"/>
        </w:rPr>
        <w:t>Multivariable logistic regression</w:t>
      </w:r>
      <w:r>
        <w:rPr>
          <w:rFonts w:ascii="Aptos" w:hAnsi="Aptos"/>
          <w:b w:val="0"/>
          <w:i w:val="0"/>
        </w:rPr>
        <w:t xml:space="preserve"> for predictors of unscheduled return, with variables selected on clinical grounds rather than by stepwise selection</w:t>
      </w:r>
    </w:p>
    <w:p>
      <w:pPr>
        <w:pStyle w:val="ListBullet"/>
        <w:spacing w:after="60"/>
        <w:ind w:left="403"/>
      </w:pPr>
      <w:r>
        <w:rPr>
          <w:rFonts w:ascii="Aptos" w:hAnsi="Aptos"/>
          <w:b w:val="0"/>
          <w:i w:val="0"/>
        </w:rPr>
        <w:t>Robust standard errors clustered by patient to account for children contributing multiple visits</w:t>
      </w:r>
    </w:p>
    <w:p>
      <w:pPr>
        <w:pStyle w:val="ListBullet"/>
        <w:spacing w:after="60"/>
        <w:ind w:left="403"/>
      </w:pPr>
      <w:r>
        <w:rPr>
          <w:rFonts w:ascii="Aptos" w:hAnsi="Aptos"/>
          <w:b w:val="0"/>
          <w:i w:val="0"/>
        </w:rPr>
        <w:t>No imputation in the primary analysis; missing data reported and handled by complete-case analysis, with the extent of missingness stated</w:t>
      </w:r>
    </w:p>
    <w:p>
      <w:pPr>
        <w:pStyle w:val="Heading3"/>
      </w:pPr>
      <w:r>
        <w:rPr>
          <w:rFonts w:ascii="Aptos" w:hAnsi="Aptos"/>
          <w:b w:val="0"/>
          <w:i w:val="0"/>
        </w:rPr>
        <w:t>4.9 Study size</w:t>
      </w:r>
    </w:p>
    <w:p>
      <w:r>
        <w:rPr>
          <w:rFonts w:ascii="Aptos" w:hAnsi="Aptos"/>
          <w:b w:val="0"/>
          <w:i w:val="0"/>
        </w:rPr>
        <w:t xml:space="preserve">No formal sample size calculation is required: the study uses the complete population of eligible visits in a fixed period. Expected yield, to be confirmed against actual records </w:t>
      </w:r>
      <w:r>
        <w:rPr>
          <w:rFonts w:ascii="Consolas" w:hAnsi="Consolas"/>
          <w:b w:val="0"/>
          <w:i w:val="0"/>
          <w:color w:val="444444"/>
          <w:sz w:val="19"/>
        </w:rPr>
        <w:t>[VERIFY]</w:t>
      </w:r>
      <w:r>
        <w:rPr>
          <w:rFonts w:ascii="Aptos" w:hAnsi="Aptos"/>
          <w:b w:val="0"/>
          <w:i w:val="0"/>
        </w:rPr>
        <w:t>:</w:t>
      </w:r>
    </w:p>
    <w:p>
      <w:pPr>
        <w:pStyle w:val="ListBullet"/>
        <w:spacing w:after="60"/>
        <w:ind w:left="403"/>
      </w:pPr>
      <w:r>
        <w:rPr>
          <w:rFonts w:ascii="Aptos" w:hAnsi="Aptos"/>
          <w:b w:val="0"/>
          <w:i w:val="0"/>
        </w:rPr>
        <w:t>~64,000 pediatric ED visits over 24 months</w:t>
      </w:r>
    </w:p>
    <w:p>
      <w:pPr>
        <w:pStyle w:val="ListBullet"/>
        <w:spacing w:after="60"/>
        <w:ind w:left="403"/>
      </w:pPr>
      <w:r>
        <w:rPr>
          <w:rFonts w:ascii="Aptos" w:hAnsi="Aptos"/>
          <w:b w:val="0"/>
          <w:i w:val="0"/>
        </w:rPr>
        <w:t>~55,000–58,000 ending in discharge (index visits)</w:t>
      </w:r>
    </w:p>
    <w:p>
      <w:pPr>
        <w:pStyle w:val="ListBullet"/>
        <w:spacing w:after="60"/>
        <w:ind w:left="403"/>
      </w:pPr>
      <w:r>
        <w:rPr>
          <w:rFonts w:ascii="Aptos" w:hAnsi="Aptos"/>
          <w:b w:val="0"/>
          <w:i w:val="0"/>
        </w:rPr>
        <w:t xml:space="preserve">at a 2–5% revisit rate, </w:t>
      </w:r>
      <w:r>
        <w:rPr>
          <w:rFonts w:ascii="Aptos" w:hAnsi="Aptos"/>
          <w:b/>
          <w:i w:val="0"/>
        </w:rPr>
        <w:t>~1,100–2,900 return visits</w:t>
      </w:r>
    </w:p>
    <w:p>
      <w:pPr>
        <w:spacing w:before="80" w:after="160"/>
        <w:ind w:left="317" w:right="173"/>
        <w:shd w:val="clear" w:fill="F2F2F2"/>
      </w:pPr>
      <w:r>
        <w:rPr>
          <w:rFonts w:ascii="Aptos" w:hAnsi="Aptos"/>
          <w:b w:val="0"/>
          <w:i w:val="0"/>
        </w:rPr>
        <w:t xml:space="preserve">These figures need no age-based reduction: by MoH rule the pediatric ED sees only children under 13, so its recorded visit volume already </w:t>
      </w:r>
      <w:r>
        <w:rPr>
          <w:rFonts w:ascii="Aptos" w:hAnsi="Aptos"/>
          <w:b/>
          <w:i w:val="0"/>
        </w:rPr>
        <w:t>is</w:t>
      </w:r>
      <w:r>
        <w:rPr>
          <w:rFonts w:ascii="Aptos" w:hAnsi="Aptos"/>
          <w:b w:val="0"/>
          <w:i w:val="0"/>
        </w:rPr>
        <w:t xml:space="preserve"> the under-13 volume (confirmed 2026-08-17). The daily-visit figure itself still requires confirmation from records.</w:t>
      </w:r>
    </w:p>
    <w:p>
      <w:r>
        <w:rPr>
          <w:rFonts w:ascii="Aptos" w:hAnsi="Aptos"/>
          <w:b w:val="0"/>
          <w:i w:val="0"/>
        </w:rPr>
        <w:t>Even at the low end this gives ample events for a multivariable model with 10–12 predictors under the conventional 10-events-per-variable rule.</w:t>
      </w:r>
    </w:p>
    <w:p>
      <w:pPr>
        <w:pStyle w:val="Heading3"/>
      </w:pPr>
      <w:r>
        <w:rPr>
          <w:rFonts w:ascii="Aptos" w:hAnsi="Aptos"/>
          <w:b w:val="0"/>
          <w:i w:val="0"/>
        </w:rPr>
        <w:t>4.10 Bias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Source</w:t>
            </w:r>
          </w:p>
        </w:tc>
        <w:tc>
          <w:tcPr>
            <w:tcW w:type="dxa" w:w="3312"/>
            <w:shd w:val="clear" w:fill="DEE7F0"/>
          </w:tcPr>
          <w:p>
            <w:pPr>
              <w:spacing w:after="40"/>
            </w:pPr>
            <w:r/>
            <w:r>
              <w:rPr>
                <w:rFonts w:ascii="Aptos" w:hAnsi="Aptos"/>
                <w:b/>
                <w:i w:val="0"/>
                <w:sz w:val="19"/>
              </w:rPr>
              <w:t>Effect</w:t>
            </w:r>
          </w:p>
        </w:tc>
        <w:tc>
          <w:tcPr>
            <w:tcW w:type="dxa" w:w="3312"/>
            <w:shd w:val="clear" w:fill="DEE7F0"/>
          </w:tcPr>
          <w:p>
            <w:pPr>
              <w:spacing w:after="40"/>
            </w:pPr>
            <w:r/>
            <w:r>
              <w:rPr>
                <w:rFonts w:ascii="Aptos" w:hAnsi="Aptos"/>
                <w:b/>
                <w:i w:val="0"/>
                <w:sz w:val="19"/>
              </w:rPr>
              <w:t>Handling</w:t>
            </w:r>
          </w:p>
        </w:tc>
      </w:tr>
      <w:tr>
        <w:tc>
          <w:tcPr>
            <w:tcW w:type="dxa" w:w="3312"/>
          </w:tcPr>
          <w:p>
            <w:pPr>
              <w:spacing w:after="40"/>
            </w:pPr>
            <w:r/>
            <w:r>
              <w:rPr>
                <w:rFonts w:ascii="Aptos" w:hAnsi="Aptos"/>
                <w:b w:val="0"/>
                <w:i w:val="0"/>
                <w:sz w:val="19"/>
              </w:rPr>
              <w:t>A child who reaches 13 between the two visits is seen in the adult ED on return, so the return is invisible</w:t>
            </w:r>
          </w:p>
        </w:tc>
        <w:tc>
          <w:tcPr>
            <w:tcW w:type="dxa" w:w="3312"/>
          </w:tcPr>
          <w:p>
            <w:pPr>
              <w:spacing w:after="40"/>
            </w:pPr>
            <w:r/>
            <w:r>
              <w:rPr>
                <w:rFonts w:ascii="Aptos" w:hAnsi="Aptos"/>
                <w:b w:val="0"/>
                <w:i w:val="0"/>
                <w:sz w:val="19"/>
              </w:rPr>
              <w:t>Very slightly underestimates the return rate; affects only children within 72 hours of their 13th birthday</w:t>
            </w:r>
          </w:p>
        </w:tc>
        <w:tc>
          <w:tcPr>
            <w:tcW w:type="dxa" w:w="3312"/>
          </w:tcPr>
          <w:p>
            <w:pPr>
              <w:spacing w:after="40"/>
            </w:pPr>
            <w:r/>
            <w:r>
              <w:rPr>
                <w:rFonts w:ascii="Aptos" w:hAnsi="Aptos"/>
                <w:b w:val="0"/>
                <w:i w:val="0"/>
                <w:sz w:val="19"/>
              </w:rPr>
              <w:t>Quantified as a count of index visits in 12-year-olds aged ≥12.99 years and reported; too small to adjust for</w:t>
            </w:r>
          </w:p>
        </w:tc>
      </w:tr>
      <w:tr>
        <w:tc>
          <w:tcPr>
            <w:tcW w:type="dxa" w:w="3312"/>
          </w:tcPr>
          <w:p>
            <w:pPr>
              <w:spacing w:after="40"/>
            </w:pPr>
            <w:r/>
            <w:r>
              <w:rPr>
                <w:rFonts w:ascii="Aptos" w:hAnsi="Aptos"/>
                <w:b w:val="0"/>
                <w:i w:val="0"/>
                <w:sz w:val="19"/>
              </w:rPr>
              <w:t xml:space="preserve">Returns to a </w:t>
            </w:r>
            <w:r>
              <w:rPr>
                <w:rFonts w:ascii="Aptos" w:hAnsi="Aptos"/>
                <w:b w:val="0"/>
                <w:i/>
                <w:sz w:val="19"/>
              </w:rPr>
              <w:t>different</w:t>
            </w:r>
            <w:r>
              <w:rPr>
                <w:rFonts w:ascii="Aptos" w:hAnsi="Aptos"/>
                <w:b w:val="0"/>
                <w:i w:val="0"/>
                <w:sz w:val="19"/>
              </w:rPr>
              <w:t xml:space="preserve"> hospital are invisible</w:t>
            </w:r>
          </w:p>
        </w:tc>
        <w:tc>
          <w:tcPr>
            <w:tcW w:type="dxa" w:w="3312"/>
          </w:tcPr>
          <w:p>
            <w:pPr>
              <w:spacing w:after="40"/>
            </w:pPr>
            <w:r/>
            <w:r>
              <w:rPr>
                <w:rFonts w:ascii="Aptos" w:hAnsi="Aptos"/>
                <w:b w:val="0"/>
                <w:i w:val="0"/>
                <w:sz w:val="19"/>
              </w:rPr>
              <w:t>Underestimates the true return rate</w:t>
            </w:r>
          </w:p>
        </w:tc>
        <w:tc>
          <w:tcPr>
            <w:tcW w:type="dxa" w:w="3312"/>
          </w:tcPr>
          <w:p>
            <w:pPr>
              <w:spacing w:after="40"/>
            </w:pPr>
            <w:r/>
            <w:r>
              <w:rPr>
                <w:rFonts w:ascii="Aptos" w:hAnsi="Aptos"/>
                <w:b w:val="0"/>
                <w:i w:val="0"/>
                <w:sz w:val="19"/>
              </w:rPr>
              <w:t>Stated as the principal limitation. Ann Emerg Med 2018 (PMID 28967514) quantifies this at roughly 11% of all returns</w:t>
            </w:r>
          </w:p>
        </w:tc>
      </w:tr>
      <w:tr>
        <w:tc>
          <w:tcPr>
            <w:tcW w:type="dxa" w:w="3312"/>
          </w:tcPr>
          <w:p>
            <w:pPr>
              <w:spacing w:after="40"/>
            </w:pPr>
            <w:r/>
            <w:r>
              <w:rPr>
                <w:rFonts w:ascii="Aptos" w:hAnsi="Aptos"/>
                <w:b w:val="0"/>
                <w:i w:val="0"/>
                <w:sz w:val="19"/>
              </w:rPr>
              <w:t>No triage system → no acuity variable</w:t>
            </w:r>
          </w:p>
        </w:tc>
        <w:tc>
          <w:tcPr>
            <w:tcW w:type="dxa" w:w="3312"/>
          </w:tcPr>
          <w:p>
            <w:pPr>
              <w:spacing w:after="40"/>
            </w:pPr>
            <w:r/>
            <w:r>
              <w:rPr>
                <w:rFonts w:ascii="Aptos" w:hAnsi="Aptos"/>
                <w:b w:val="0"/>
                <w:i w:val="0"/>
                <w:sz w:val="19"/>
              </w:rPr>
              <w:t>Cannot adjust for index-visit severity</w:t>
            </w:r>
          </w:p>
        </w:tc>
        <w:tc>
          <w:tcPr>
            <w:tcW w:type="dxa" w:w="3312"/>
          </w:tcPr>
          <w:p>
            <w:pPr>
              <w:spacing w:after="40"/>
            </w:pPr>
            <w:r/>
            <w:r>
              <w:rPr>
                <w:rFonts w:ascii="Aptos" w:hAnsi="Aptos"/>
                <w:b w:val="0"/>
                <w:i w:val="0"/>
                <w:sz w:val="19"/>
              </w:rPr>
              <w:t>Stated explicitly; this is a property of the setting</w:t>
            </w:r>
          </w:p>
        </w:tc>
      </w:tr>
      <w:tr>
        <w:tc>
          <w:tcPr>
            <w:tcW w:type="dxa" w:w="3312"/>
          </w:tcPr>
          <w:p>
            <w:pPr>
              <w:spacing w:after="40"/>
            </w:pPr>
            <w:r/>
            <w:r>
              <w:rPr>
                <w:rFonts w:ascii="Aptos" w:hAnsi="Aptos"/>
                <w:b w:val="0"/>
                <w:i w:val="0"/>
                <w:sz w:val="19"/>
              </w:rPr>
              <w:t>Retrospective classification depends on documentation quality</w:t>
            </w:r>
          </w:p>
        </w:tc>
        <w:tc>
          <w:tcPr>
            <w:tcW w:type="dxa" w:w="3312"/>
          </w:tcPr>
          <w:p>
            <w:pPr>
              <w:spacing w:after="40"/>
            </w:pPr>
            <w:r/>
            <w:r>
              <w:rPr>
                <w:rFonts w:ascii="Aptos" w:hAnsi="Aptos"/>
                <w:b w:val="0"/>
                <w:i w:val="0"/>
                <w:sz w:val="19"/>
              </w:rPr>
              <w:t>Misclassification of attribution</w:t>
            </w:r>
          </w:p>
        </w:tc>
        <w:tc>
          <w:tcPr>
            <w:tcW w:type="dxa" w:w="3312"/>
          </w:tcPr>
          <w:p>
            <w:pPr>
              <w:spacing w:after="40"/>
            </w:pPr>
            <w:r/>
            <w:r>
              <w:rPr>
                <w:rFonts w:ascii="Aptos" w:hAnsi="Aptos"/>
                <w:b w:val="0"/>
                <w:i w:val="0"/>
                <w:sz w:val="19"/>
              </w:rPr>
              <w:t>Duplicate independent review, adjudication, reported kappa</w:t>
            </w:r>
          </w:p>
        </w:tc>
      </w:tr>
      <w:tr>
        <w:tc>
          <w:tcPr>
            <w:tcW w:type="dxa" w:w="3312"/>
          </w:tcPr>
          <w:p>
            <w:pPr>
              <w:spacing w:after="40"/>
            </w:pPr>
            <w:r/>
            <w:r>
              <w:rPr>
                <w:rFonts w:ascii="Aptos" w:hAnsi="Aptos"/>
                <w:b w:val="0"/>
                <w:i w:val="0"/>
                <w:sz w:val="19"/>
              </w:rPr>
              <w:t>Unstable patient identifier</w:t>
            </w:r>
          </w:p>
        </w:tc>
        <w:tc>
          <w:tcPr>
            <w:tcW w:type="dxa" w:w="3312"/>
          </w:tcPr>
          <w:p>
            <w:pPr>
              <w:spacing w:after="40"/>
            </w:pPr>
            <w:r/>
            <w:r>
              <w:rPr>
                <w:rFonts w:ascii="Aptos" w:hAnsi="Aptos"/>
                <w:b w:val="0"/>
                <w:i w:val="0"/>
                <w:sz w:val="19"/>
              </w:rPr>
              <w:t>Missed or spurious linkage</w:t>
            </w:r>
          </w:p>
        </w:tc>
        <w:tc>
          <w:tcPr>
            <w:tcW w:type="dxa" w:w="3312"/>
          </w:tcPr>
          <w:p>
            <w:pPr>
              <w:spacing w:after="40"/>
            </w:pPr>
            <w:r/>
            <w:r>
              <w:rPr>
                <w:rFonts w:ascii="Aptos" w:hAnsi="Aptos"/>
                <w:b w:val="0"/>
                <w:i w:val="0"/>
                <w:sz w:val="19"/>
              </w:rPr>
              <w:t>Verified with IT before data collection; a sample manually cross-checked</w:t>
            </w:r>
          </w:p>
        </w:tc>
      </w:tr>
      <w:tr>
        <w:tc>
          <w:tcPr>
            <w:tcW w:type="dxa" w:w="3312"/>
          </w:tcPr>
          <w:p>
            <w:pPr>
              <w:spacing w:after="40"/>
            </w:pPr>
            <w:r/>
            <w:r>
              <w:rPr>
                <w:rFonts w:ascii="Aptos" w:hAnsi="Aptos"/>
                <w:b w:val="0"/>
                <w:i w:val="0"/>
                <w:sz w:val="19"/>
              </w:rPr>
              <w:t>Coding of index diagnosis may be inconsistent</w:t>
            </w:r>
          </w:p>
        </w:tc>
        <w:tc>
          <w:tcPr>
            <w:tcW w:type="dxa" w:w="3312"/>
          </w:tcPr>
          <w:p>
            <w:pPr>
              <w:spacing w:after="40"/>
            </w:pPr>
            <w:r/>
            <w:r>
              <w:rPr>
                <w:rFonts w:ascii="Aptos" w:hAnsi="Aptos"/>
                <w:b w:val="0"/>
                <w:i w:val="0"/>
                <w:sz w:val="19"/>
              </w:rPr>
              <w:t>Misclassification of exposure</w:t>
            </w:r>
          </w:p>
        </w:tc>
        <w:tc>
          <w:tcPr>
            <w:tcW w:type="dxa" w:w="3312"/>
          </w:tcPr>
          <w:p>
            <w:pPr>
              <w:spacing w:after="40"/>
            </w:pPr>
            <w:r/>
            <w:r>
              <w:rPr>
                <w:rFonts w:ascii="Aptos" w:hAnsi="Aptos"/>
                <w:b w:val="0"/>
                <w:i w:val="0"/>
                <w:sz w:val="19"/>
              </w:rPr>
              <w:t>Diagnoses grouped into broad clinically coherent categories rather than analysed as free text</w:t>
            </w:r>
          </w:p>
        </w:tc>
      </w:tr>
    </w:tbl>
    <w:p>
      <w:pPr>
        <w:spacing w:after="80"/>
      </w:pPr>
    </w:p>
    <w:p>
      <w:pPr>
        <w:pStyle w:val="Heading2"/>
      </w:pPr>
      <w:r>
        <w:rPr>
          <w:rFonts w:ascii="Aptos" w:hAnsi="Aptos"/>
          <w:b w:val="0"/>
          <w:i w:val="0"/>
        </w:rPr>
        <w:t>5. Ethics</w:t>
      </w:r>
    </w:p>
    <w:p>
      <w:r>
        <w:rPr>
          <w:rFonts w:ascii="Aptos" w:hAnsi="Aptos"/>
          <w:b w:val="0"/>
          <w:i w:val="0"/>
        </w:rPr>
        <w:t xml:space="preserve">Application to the </w:t>
      </w:r>
      <w:r>
        <w:rPr>
          <w:rFonts w:ascii="Aptos" w:hAnsi="Aptos"/>
          <w:b/>
          <w:i w:val="0"/>
        </w:rPr>
        <w:t>Palestinian Helsinki Committee</w:t>
      </w:r>
      <w:r>
        <w:rPr>
          <w:rFonts w:ascii="Aptos" w:hAnsi="Aptos"/>
          <w:b w:val="0"/>
          <w:i w:val="0"/>
        </w:rPr>
        <w:t xml:space="preserve"> and PMC hospital administration.</w:t>
      </w:r>
    </w:p>
    <w:p>
      <w:pPr>
        <w:pStyle w:val="ListBullet"/>
        <w:spacing w:after="60"/>
        <w:ind w:left="403"/>
      </w:pPr>
      <w:r>
        <w:rPr>
          <w:rFonts w:ascii="Aptos" w:hAnsi="Aptos"/>
          <w:b w:val="0"/>
          <w:i w:val="0"/>
        </w:rPr>
        <w:t>Retrospective analysis of routinely collected data with no patient contact and no change to care.</w:t>
      </w:r>
    </w:p>
    <w:p>
      <w:pPr>
        <w:pStyle w:val="ListBullet"/>
        <w:spacing w:after="60"/>
        <w:ind w:left="403"/>
      </w:pPr>
      <w:r>
        <w:rPr>
          <w:rFonts w:ascii="Aptos" w:hAnsi="Aptos"/>
          <w:b/>
          <w:i w:val="0"/>
        </w:rPr>
        <w:t>Waiver of individual informed consent</w:t>
      </w:r>
      <w:r>
        <w:rPr>
          <w:rFonts w:ascii="Aptos" w:hAnsi="Aptos"/>
          <w:b w:val="0"/>
          <w:i w:val="0"/>
        </w:rPr>
        <w:t xml:space="preserve"> requested: the cohort is large, the exposure is historical, contacting families would be impracticable, and the research carries no more than minimal risk.</w:t>
      </w:r>
    </w:p>
    <w:p>
      <w:pPr>
        <w:pStyle w:val="ListBullet"/>
        <w:spacing w:after="60"/>
        <w:ind w:left="403"/>
      </w:pPr>
      <w:r>
        <w:rPr>
          <w:rFonts w:ascii="Aptos" w:hAnsi="Aptos"/>
          <w:b/>
          <w:i w:val="0"/>
        </w:rPr>
        <w:t>Data protection:</w:t>
      </w:r>
      <w:r>
        <w:rPr>
          <w:rFonts w:ascii="Aptos" w:hAnsi="Aptos"/>
          <w:b w:val="0"/>
          <w:i w:val="0"/>
        </w:rPr>
        <w:t xml:space="preserve"> the export is pseudonymised at source where possible. The patient identifier is required only to link visits; it is replaced by a study number as soon as linkage is complete, and the linkage key is held separately by the PI and destroyed after analysis. Data are stored on password-protected institutional equipment. No identifiable data appear in any output.</w:t>
      </w:r>
    </w:p>
    <w:p>
      <w:pPr>
        <w:pStyle w:val="ListBullet"/>
        <w:spacing w:after="60"/>
        <w:ind w:left="403"/>
      </w:pPr>
      <w:r>
        <w:rPr>
          <w:rFonts w:ascii="Aptos" w:hAnsi="Aptos"/>
          <w:b w:val="0"/>
          <w:i w:val="0"/>
        </w:rPr>
        <w:t>No funding; no conflicts of interest declared.</w:t>
      </w:r>
    </w:p>
    <w:p>
      <w:pPr>
        <w:pStyle w:val="Heading2"/>
      </w:pPr>
      <w:r>
        <w:rPr>
          <w:rFonts w:ascii="Aptos" w:hAnsi="Aptos"/>
          <w:b w:val="0"/>
          <w:i w:val="0"/>
        </w:rPr>
        <w:t>6. Limitations</w:t>
      </w:r>
    </w:p>
    <w:p>
      <w:pPr>
        <w:pStyle w:val="ListNumber"/>
        <w:spacing w:after="60"/>
        <w:ind w:left="403"/>
      </w:pPr>
      <w:r>
        <w:rPr>
          <w:rFonts w:ascii="Aptos" w:hAnsi="Aptos"/>
          <w:b w:val="0"/>
          <w:i w:val="0"/>
        </w:rPr>
        <w:t>Single-centre. PMC serves as a first-contact hospital for its catchment population as well as receiving referrals, so its case mix is closer to general pediatric emergency practice than a purely tertiary cohort would be; nonetheless, one governmental hospital may not represent all Palestinian EDs.</w:t>
      </w:r>
    </w:p>
    <w:p>
      <w:pPr>
        <w:pStyle w:val="ListNumber"/>
        <w:spacing w:after="60"/>
        <w:ind w:left="403"/>
      </w:pPr>
      <w:r>
        <w:rPr>
          <w:rFonts w:ascii="Aptos" w:hAnsi="Aptos"/>
          <w:b w:val="0"/>
          <w:i w:val="0"/>
        </w:rPr>
        <w:t>Return visits to other facilities are not captured.</w:t>
      </w:r>
    </w:p>
    <w:p>
      <w:pPr>
        <w:pStyle w:val="ListNumber"/>
        <w:spacing w:after="60"/>
        <w:ind w:left="403"/>
      </w:pPr>
      <w:r>
        <w:rPr>
          <w:rFonts w:ascii="Aptos" w:hAnsi="Aptos"/>
          <w:b w:val="0"/>
          <w:i w:val="0"/>
        </w:rPr>
        <w:t>No triage or acuity data exist, so severity at the index visit cannot be adjusted for. This is a real constraint on the regression model and is reported as such; it is also, per §2.4, the condition that makes the study distinct rather than a replication. Both statements are true, and the manuscript should make both rather than choosing one.</w:t>
      </w:r>
    </w:p>
    <w:p>
      <w:pPr>
        <w:pStyle w:val="ListNumber"/>
        <w:spacing w:after="60"/>
        <w:ind w:left="403"/>
      </w:pPr>
      <w:r>
        <w:rPr>
          <w:rFonts w:ascii="Aptos" w:hAnsi="Aptos"/>
          <w:b w:val="0"/>
          <w:i w:val="0"/>
        </w:rPr>
        <w:t>Attribution of a return to physician-related causes is a judgement made retrospectively from records, mitigated but not eliminated by duplicate review.</w:t>
      </w:r>
    </w:p>
    <w:p>
      <w:pPr>
        <w:pStyle w:val="ListNumber"/>
        <w:spacing w:after="60"/>
        <w:ind w:left="403"/>
      </w:pPr>
      <w:r>
        <w:rPr>
          <w:rFonts w:ascii="Aptos" w:hAnsi="Aptos"/>
          <w:b/>
          <w:i w:val="0"/>
        </w:rPr>
        <w:t>The index-visit judgement is locked by procedure, not by software.</w:t>
      </w:r>
      <w:r>
        <w:rPr>
          <w:rFonts w:ascii="Aptos" w:hAnsi="Aptos"/>
          <w:b w:val="0"/>
          <w:i w:val="0"/>
        </w:rPr>
        <w:t xml:space="preserve"> Reviewers record and initial their assessment of the index visit before opening the return record, but the recording instrument does not physically prevent a reviewer from revisiting that entry afterwards. The rule is stated in the reviewer workbook, reviewers are asked to report any change of mind in the free-text field rather than amend the locked entry, and the initialled date provides an audit trail — but compliance is ultimately on trust. This is reported as it is rather than described as an enforced blind.</w:t>
      </w:r>
    </w:p>
    <w:p>
      <w:pPr>
        <w:pStyle w:val="ListNumber"/>
        <w:spacing w:after="60"/>
        <w:ind w:left="403"/>
      </w:pPr>
      <w:r>
        <w:rPr>
          <w:rFonts w:ascii="Aptos" w:hAnsi="Aptos"/>
          <w:b w:val="0"/>
          <w:i w:val="0"/>
        </w:rPr>
        <w:t>Documentation quality in routine care limits the depth of clinical detail available.</w:t>
      </w:r>
    </w:p>
    <w:p>
      <w:pPr>
        <w:pStyle w:val="Heading2"/>
      </w:pPr>
      <w:r>
        <w:rPr>
          <w:rFonts w:ascii="Aptos" w:hAnsi="Aptos"/>
          <w:b w:val="0"/>
          <w:i w:val="0"/>
        </w:rPr>
        <w:t>7. Dissemination</w:t>
      </w:r>
    </w:p>
    <w:p>
      <w:r>
        <w:rPr>
          <w:rFonts w:ascii="Aptos" w:hAnsi="Aptos"/>
          <w:b w:val="0"/>
          <w:i w:val="0"/>
        </w:rPr>
        <w:t xml:space="preserve">Target journals, </w:t>
      </w:r>
      <w:r>
        <w:rPr>
          <w:rFonts w:ascii="Aptos" w:hAnsi="Aptos"/>
          <w:b/>
          <w:i w:val="0"/>
        </w:rPr>
        <w:t>all to be checked for PubMed/Scopus/DOAJ indexing before submission</w:t>
      </w:r>
      <w:r>
        <w:rPr>
          <w:rFonts w:ascii="Aptos" w:hAnsi="Aptos"/>
          <w:b w:val="0"/>
          <w:i w:val="0"/>
        </w:rPr>
        <w:t xml:space="preserve"> </w:t>
      </w:r>
      <w:r>
        <w:rPr>
          <w:rFonts w:ascii="Consolas" w:hAnsi="Consolas"/>
          <w:b w:val="0"/>
          <w:i w:val="0"/>
          <w:color w:val="444444"/>
          <w:sz w:val="19"/>
        </w:rPr>
        <w:t>[VERIFY]</w:t>
      </w:r>
      <w:r>
        <w:rPr>
          <w:rFonts w:ascii="Aptos" w:hAnsi="Aptos"/>
          <w:b w:val="0"/>
          <w:i w:val="0"/>
        </w:rPr>
        <w:t xml:space="preserve">: </w:t>
      </w:r>
      <w:r>
        <w:rPr>
          <w:rFonts w:ascii="Aptos" w:hAnsi="Aptos"/>
          <w:b w:val="0"/>
          <w:i/>
        </w:rPr>
        <w:t>BMC Pediatrics</w:t>
      </w:r>
      <w:r>
        <w:rPr>
          <w:rFonts w:ascii="Aptos" w:hAnsi="Aptos"/>
          <w:b w:val="0"/>
          <w:i w:val="0"/>
        </w:rPr>
        <w:t xml:space="preserve">; </w:t>
      </w:r>
      <w:r>
        <w:rPr>
          <w:rFonts w:ascii="Aptos" w:hAnsi="Aptos"/>
          <w:b w:val="0"/>
          <w:i/>
        </w:rPr>
        <w:t>BMC Emergency Medicine</w:t>
      </w:r>
      <w:r>
        <w:rPr>
          <w:rFonts w:ascii="Aptos" w:hAnsi="Aptos"/>
          <w:b w:val="0"/>
          <w:i w:val="0"/>
        </w:rPr>
        <w:t xml:space="preserve">; </w:t>
      </w:r>
      <w:r>
        <w:rPr>
          <w:rFonts w:ascii="Aptos" w:hAnsi="Aptos"/>
          <w:b w:val="0"/>
          <w:i/>
        </w:rPr>
        <w:t>Pediatric Emergency Care</w:t>
      </w:r>
      <w:r>
        <w:rPr>
          <w:rFonts w:ascii="Aptos" w:hAnsi="Aptos"/>
          <w:b w:val="0"/>
          <w:i w:val="0"/>
        </w:rPr>
        <w:t xml:space="preserve">; </w:t>
      </w:r>
      <w:r>
        <w:rPr>
          <w:rFonts w:ascii="Aptos" w:hAnsi="Aptos"/>
          <w:b w:val="0"/>
          <w:i/>
        </w:rPr>
        <w:t>International Journal of Emergency Medicine</w:t>
      </w:r>
      <w:r>
        <w:rPr>
          <w:rFonts w:ascii="Aptos" w:hAnsi="Aptos"/>
          <w:b w:val="0"/>
          <w:i w:val="0"/>
        </w:rPr>
        <w:t xml:space="preserve">; </w:t>
      </w:r>
      <w:r>
        <w:rPr>
          <w:rFonts w:ascii="Aptos" w:hAnsi="Aptos"/>
          <w:b w:val="0"/>
          <w:i/>
        </w:rPr>
        <w:t>Eastern Mediterranean Health Journal</w:t>
      </w:r>
      <w:r>
        <w:rPr>
          <w:rFonts w:ascii="Aptos" w:hAnsi="Aptos"/>
          <w:b w:val="0"/>
          <w:i w:val="0"/>
        </w:rPr>
        <w:t xml:space="preserve">; </w:t>
      </w:r>
      <w:r>
        <w:rPr>
          <w:rFonts w:ascii="Aptos" w:hAnsi="Aptos"/>
          <w:b w:val="0"/>
          <w:i/>
        </w:rPr>
        <w:t>IJID Regions</w:t>
      </w:r>
      <w:r>
        <w:rPr>
          <w:rFonts w:ascii="Aptos" w:hAnsi="Aptos"/>
          <w:b w:val="0"/>
          <w:i w:val="0"/>
        </w:rPr>
        <w:t>.</w:t>
      </w:r>
    </w:p>
    <w:p>
      <w:r>
        <w:rPr>
          <w:rFonts w:ascii="Aptos" w:hAnsi="Aptos"/>
          <w:b/>
          <w:i w:val="0"/>
        </w:rPr>
        <w:t>Journal selection follows from §2.5.</w:t>
      </w:r>
      <w:r>
        <w:rPr>
          <w:rFonts w:ascii="Aptos" w:hAnsi="Aptos"/>
          <w:b w:val="0"/>
          <w:i w:val="0"/>
        </w:rPr>
        <w:t xml:space="preserve"> The BMC series states that editorial decisions are "based on scientific validity rather than the perceived interest or impact of a study", and assesses originality as whether the work duplicates an existing publication rather than whether the question itself is new. This study meets those criteria: it duplicates nothing, and its methods are pre-specified. Journals that select on novelty or on impact are not appropriate first targets and attempting them costs months for a predictable desk rejection.</w:t>
      </w:r>
    </w:p>
    <w:p>
      <w:r>
        <w:rPr>
          <w:rFonts w:ascii="Aptos" w:hAnsi="Aptos"/>
          <w:b w:val="0"/>
          <w:i w:val="0"/>
        </w:rPr>
        <w:t>A natural second study follows: a quality-improvement intervention targeting whichever modifiable factor this study identifies.</w:t>
      </w:r>
    </w:p>
    <w:p>
      <w:pPr>
        <w:pStyle w:val="Heading2"/>
      </w:pPr>
      <w:r>
        <w:rPr>
          <w:rFonts w:ascii="Aptos" w:hAnsi="Aptos"/>
          <w:b w:val="0"/>
          <w:i w:val="0"/>
        </w:rPr>
        <w:t>8. References</w:t>
      </w:r>
    </w:p>
    <w:p>
      <w:r>
        <w:rPr>
          <w:rFonts w:ascii="Consolas" w:hAnsi="Consolas"/>
          <w:b w:val="0"/>
          <w:i w:val="0"/>
          <w:color w:val="444444"/>
          <w:sz w:val="19"/>
        </w:rPr>
        <w:t>[VERIFY]</w:t>
      </w:r>
      <w:r>
        <w:rPr>
          <w:rFonts w:ascii="Aptos" w:hAnsi="Aptos"/>
          <w:b w:val="0"/>
          <w:i w:val="0"/>
        </w:rPr>
        <w:t xml:space="preserve"> — every reference must be confirmed in PubMed before the manuscript is drafted. Author lists marked below are not yet confirmed.</w:t>
      </w:r>
    </w:p>
    <w:p>
      <w:pPr>
        <w:pStyle w:val="ListNumber"/>
        <w:spacing w:after="60"/>
        <w:ind w:left="403"/>
      </w:pPr>
      <w:r>
        <w:rPr>
          <w:rFonts w:ascii="Aptos" w:hAnsi="Aptos"/>
          <w:b w:val="0"/>
          <w:i w:val="0"/>
        </w:rPr>
        <w:t>Libov D, Zocchi M, Venkat A, Ruttan T, Allen C, Wilkinson M. Comparing Pediatric 72-Hour Emergency Department Returns: General vs Pediatric Emergency Departments. West J Emerg Med. 2025. PMID 41192994.</w:t>
      </w:r>
    </w:p>
    <w:p>
      <w:pPr>
        <w:pStyle w:val="ListNumber"/>
        <w:spacing w:after="60"/>
        <w:ind w:left="403"/>
      </w:pPr>
      <w:r>
        <w:rPr>
          <w:rFonts w:ascii="Aptos" w:hAnsi="Aptos"/>
          <w:b w:val="0"/>
          <w:i w:val="0"/>
        </w:rPr>
        <w:t>AlAteeq M, Althuwaini S, Alsubaie H, Al-Alshaikh L, Alotaibi G, Alghuraybi S, Omair A. Seventy-Two-Hour Emergency Department Revisits in the Pediatric Population at King Abdullah Specialist Children's Hospital, Riyadh, Saudi Arabia: A Morbidity Analysis. Int J Pediatr. 2026. PMID 42328418.</w:t>
      </w:r>
    </w:p>
    <w:p>
      <w:pPr>
        <w:pStyle w:val="ListNumber"/>
        <w:spacing w:after="60"/>
        <w:ind w:left="403"/>
      </w:pPr>
      <w:r>
        <w:rPr>
          <w:rFonts w:ascii="Aptos" w:hAnsi="Aptos"/>
          <w:b w:val="0"/>
          <w:i w:val="0"/>
        </w:rPr>
        <w:t>Jamjoom M, Milibari BB, Altirkistani BA, et al. Factors Associated With 72-Hour Emergency Department Revisits at a Tertiary Care Hospital in Saudi Arabia. Cureus. 2026. PMID 42037826.</w:t>
      </w:r>
    </w:p>
    <w:p>
      <w:pPr>
        <w:pStyle w:val="ListNumber"/>
        <w:spacing w:after="60"/>
        <w:ind w:left="403"/>
      </w:pPr>
      <w:r>
        <w:rPr>
          <w:rFonts w:ascii="Aptos" w:hAnsi="Aptos"/>
          <w:b w:val="0"/>
          <w:i w:val="0"/>
        </w:rPr>
        <w:t>Cheng J, Shroff A, Khan N, Jain S. Emergency Department Return Visits Resulting in Admission: Do They Reflect Quality of Care? Am J Med Qual. 2016;31(6):541-551. PMID 26160967. ✓ verified 2026-08-19</w:t>
      </w:r>
    </w:p>
    <w:p>
      <w:pPr>
        <w:pStyle w:val="ListNumber"/>
        <w:spacing w:after="60"/>
        <w:ind w:left="403"/>
      </w:pPr>
      <w:r>
        <w:rPr>
          <w:rFonts w:ascii="Aptos" w:hAnsi="Aptos"/>
          <w:b w:val="0"/>
          <w:i w:val="0"/>
        </w:rPr>
        <w:t>Shy BD, Loo GT, Lowry T, Kim EY, Hwang U, Richardson LD, Shapiro JS. Bouncing Back Elsewhere: Multilevel Analysis of Return Visits to the Same or a Different Hospital After Initial Emergency Department Presentation. Ann Emerg Med. 2018;71(5):555-563.e1. PMID 28967514. ✓ verified 2026-08-19</w:t>
      </w:r>
    </w:p>
    <w:p>
      <w:pPr>
        <w:pStyle w:val="ListNumber"/>
        <w:spacing w:after="60"/>
        <w:ind w:left="403"/>
      </w:pPr>
      <w:r>
        <w:rPr>
          <w:rFonts w:ascii="Aptos" w:hAnsi="Aptos"/>
          <w:b w:val="0"/>
          <w:i w:val="0"/>
        </w:rPr>
        <w:t>Goldman MP, Monuteaux MC, Perron C, Bachur RG. Identifying discordance between senior physicians and trainees on the root cause of ED revisits. Emerg Med J. 2017;34(12):825-830. PMID 28801485. ✓ verified 2026-08-19</w:t>
      </w:r>
    </w:p>
    <w:p>
      <w:pPr>
        <w:pStyle w:val="ListNumber"/>
        <w:spacing w:after="60"/>
        <w:ind w:left="403"/>
      </w:pPr>
      <w:r>
        <w:rPr>
          <w:rFonts w:ascii="Aptos" w:hAnsi="Aptos"/>
          <w:b w:val="0"/>
          <w:i w:val="0"/>
        </w:rPr>
        <w:t xml:space="preserve">Shawahna R, et al. </w:t>
      </w:r>
      <w:r>
        <w:rPr>
          <w:rFonts w:ascii="Consolas" w:hAnsi="Consolas"/>
          <w:b w:val="0"/>
          <w:i w:val="0"/>
          <w:color w:val="444444"/>
          <w:sz w:val="19"/>
        </w:rPr>
        <w:t>[VERIFY full author list]</w:t>
      </w:r>
      <w:r>
        <w:rPr>
          <w:rFonts w:ascii="Aptos" w:hAnsi="Aptos"/>
          <w:b w:val="0"/>
          <w:i w:val="0"/>
        </w:rPr>
        <w:t xml:space="preserve"> Availability of Pediatric Services and Equipment in Emergency Departments: A Multicenter Study in Resource-Limited Settings. Pediatr Emerg Care. 2024.</w:t>
      </w:r>
    </w:p>
    <w:p>
      <w:pPr>
        <w:pStyle w:val="ListNumber"/>
        <w:spacing w:after="60"/>
        <w:ind w:left="403"/>
      </w:pPr>
      <w:r>
        <w:rPr>
          <w:rFonts w:ascii="Aptos" w:hAnsi="Aptos"/>
          <w:b w:val="0"/>
          <w:i w:val="0"/>
        </w:rPr>
        <w:t>Ahmed AE, ALMuqbil BI, Alrajhi MN, Almazroa HR, AlBuraikan DA, Albaijan MA, Nasim M, Alsalamah MA, McClish DK, Al-Jahdali H. Emergency department 72-hour revisits among children with chronic diseases: a Saudi Arabian study. BMC Pediatr. 2018;18(1):205. PMID 29945589. ✓ verified 2026-08-19</w:t>
      </w:r>
    </w:p>
    <w:p>
      <w:pPr>
        <w:pStyle w:val="ListNumber"/>
        <w:spacing w:after="60"/>
        <w:ind w:left="403"/>
      </w:pPr>
      <w:r>
        <w:rPr>
          <w:rFonts w:ascii="Aptos" w:hAnsi="Aptos"/>
          <w:b w:val="0"/>
          <w:i w:val="0"/>
        </w:rPr>
        <w:t>Okeke CV, Obaji OV, Ogeh CO, Chukwu OJ, Asiegbu UV, Okoro KJ, Ezeonu CT. Determinants and Prevalence of Paediatrics Return Visits to the Emergency Department in a Tertiary Hospital in Southeast Nigeria: A Retrospective Study. Niger Med J. 2025;66(1):174-186. PMID 40309556. ✓ verified 2026-08-19</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