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ptos" w:hAnsi="Aptos"/>
          <w:b w:val="0"/>
          <w:i w:val="0"/>
        </w:rPr>
        <w:t>START HERE</w:t>
      </w:r>
    </w:p>
    <w:tbl>
      <w:tblPr>
        <w:tblW w:type="auto" w:w="0"/>
        <w:jc w:val="left"/>
        <w:tblLook w:firstColumn="1" w:firstRow="1" w:lastColumn="0" w:lastRow="0" w:noHBand="0" w:noVBand="1" w:val="04A0"/>
      </w:tblPr>
      <w:tblGrid>
        <w:gridCol w:w="4968"/>
        <w:gridCol w:w="4968"/>
      </w:tblGrid>
      <w:tr>
        <w:tc>
          <w:tcPr>
            <w:tcW w:type="dxa" w:w="3024"/>
          </w:tcPr>
          <w:p>
            <w:pPr>
              <w:spacing w:after="20"/>
            </w:pPr>
            <w:r/>
            <w:r>
              <w:rPr>
                <w:rFonts w:ascii="Aptos" w:hAnsi="Aptos"/>
                <w:b/>
                <w:i w:val="0"/>
                <w:sz w:val="20"/>
              </w:rPr>
              <w:t>Study</w:t>
            </w:r>
          </w:p>
        </w:tc>
        <w:tc>
          <w:tcPr>
            <w:tcW w:type="dxa" w:w="4968"/>
          </w:tcPr>
          <w:p>
            <w:pPr>
              <w:spacing w:after="20"/>
            </w:pPr>
            <w:r/>
            <w:r>
              <w:rPr>
                <w:rFonts w:ascii="Aptos" w:hAnsi="Aptos"/>
                <w:b w:val="0"/>
                <w:i w:val="0"/>
                <w:sz w:val="20"/>
              </w:rPr>
              <w:t>Unscheduled 72-hour return visits to the pediatric emergency department, Palestine Medical Complex, Ramallah</w:t>
            </w:r>
          </w:p>
        </w:tc>
      </w:tr>
      <w:tr>
        <w:tc>
          <w:tcPr>
            <w:tcW w:type="dxa" w:w="3024"/>
          </w:tcPr>
          <w:p>
            <w:pPr>
              <w:spacing w:after="20"/>
            </w:pPr>
            <w:r/>
            <w:r>
              <w:rPr>
                <w:rFonts w:ascii="Aptos" w:hAnsi="Aptos"/>
                <w:b/>
                <w:i w:val="0"/>
                <w:sz w:val="20"/>
              </w:rPr>
              <w:t>Principal investigator</w:t>
            </w:r>
          </w:p>
        </w:tc>
        <w:tc>
          <w:tcPr>
            <w:tcW w:type="dxa" w:w="4968"/>
          </w:tcPr>
          <w:p>
            <w:pPr>
              <w:spacing w:after="20"/>
            </w:pPr>
            <w:r/>
            <w:r>
              <w:rPr>
                <w:rFonts w:ascii="Aptos" w:hAnsi="Aptos"/>
                <w:b w:val="0"/>
                <w:i w:val="0"/>
                <w:sz w:val="20"/>
              </w:rPr>
              <w:t>Dr Lami Qurt</w:t>
            </w:r>
          </w:p>
        </w:tc>
      </w:tr>
      <w:tr>
        <w:tc>
          <w:tcPr>
            <w:tcW w:type="dxa" w:w="3024"/>
          </w:tcPr>
          <w:p>
            <w:pPr>
              <w:spacing w:after="20"/>
            </w:pPr>
            <w:r/>
            <w:r>
              <w:rPr>
                <w:rFonts w:ascii="Aptos" w:hAnsi="Aptos"/>
                <w:b/>
                <w:i w:val="0"/>
                <w:sz w:val="20"/>
              </w:rPr>
              <w:t>This file last updated</w:t>
            </w:r>
          </w:p>
        </w:tc>
        <w:tc>
          <w:tcPr>
            <w:tcW w:type="dxa" w:w="4968"/>
          </w:tcPr>
          <w:p>
            <w:pPr>
              <w:spacing w:after="20"/>
            </w:pPr>
            <w:r/>
            <w:r>
              <w:rPr>
                <w:rFonts w:ascii="Aptos" w:hAnsi="Aptos"/>
                <w:b w:val="0"/>
                <w:i w:val="0"/>
                <w:sz w:val="20"/>
              </w:rPr>
              <w:t>2026-08-19 (evening)</w:t>
            </w:r>
          </w:p>
        </w:tc>
      </w:tr>
    </w:tbl>
    <w:p>
      <w:pPr>
        <w:spacing w:after="80"/>
      </w:pPr>
    </w:p>
    <w:p>
      <w:r>
        <w:rPr>
          <w:rFonts w:ascii="Aptos" w:hAnsi="Aptos"/>
          <w:b w:val="0"/>
          <w:i w:val="0"/>
        </w:rPr>
        <w:t xml:space="preserve">This is the map of the folder. It tells you which document to use, and when. For the full history of decisions and the open questions, read </w:t>
      </w:r>
      <w:r>
        <w:rPr>
          <w:rFonts w:ascii="Consolas" w:hAnsi="Consolas"/>
          <w:b w:val="0"/>
          <w:i w:val="0"/>
          <w:color w:val="444444"/>
          <w:sz w:val="19"/>
        </w:rPr>
        <w:t>STATUS.md</w:t>
      </w:r>
      <w:r>
        <w:rPr>
          <w:rFonts w:ascii="Aptos" w:hAnsi="Aptos"/>
          <w:b w:val="0"/>
          <w:i w:val="0"/>
        </w:rPr>
        <w:t xml:space="preserve"> next to this file.</w:t>
      </w:r>
    </w:p>
    <w:p>
      <w:pPr>
        <w:pStyle w:val="Heading2"/>
      </w:pPr>
      <w:r>
        <w:rPr>
          <w:rFonts w:ascii="Aptos" w:hAnsi="Aptos"/>
          <w:b w:val="0"/>
          <w:i w:val="0"/>
        </w:rPr>
        <w:t>Where the study is right now</w:t>
      </w:r>
    </w:p>
    <w:p>
      <w:r>
        <w:rPr>
          <w:rFonts w:ascii="Aptos" w:hAnsi="Aptos"/>
          <w:b/>
          <w:i w:val="0"/>
        </w:rPr>
        <w:t>Stage 4 of 10.</w:t>
      </w:r>
      <w:r>
        <w:rPr>
          <w:rFonts w:ascii="Aptos" w:hAnsi="Aptos"/>
          <w:b w:val="0"/>
          <w:i w:val="0"/>
        </w:rPr>
        <w:t xml:space="preserve"> The protocol and all the tools are written. Nothing has been submitted and no data has been requested.</w:t>
      </w:r>
    </w:p>
    <w:p>
      <w:r>
        <w:rPr>
          <w:rFonts w:ascii="Aptos" w:hAnsi="Aptos"/>
          <w:b/>
          <w:i w:val="0"/>
        </w:rPr>
        <w:t>The team is now named and the two big technical risks are closed.</w:t>
      </w:r>
      <w:r>
        <w:rPr>
          <w:rFonts w:ascii="Aptos" w:hAnsi="Aptos"/>
          <w:b w:val="0"/>
          <w:i w:val="0"/>
        </w:rPr>
        <w:t xml:space="preserve"> The patient identifier is present and stable in the Hospital Information System, and the treating doctor's name can be hidden from the reviewers. The study is feasible as designed.</w:t>
      </w:r>
    </w:p>
    <w:p>
      <w:r>
        <w:rPr>
          <w:rFonts w:ascii="Aptos" w:hAnsi="Aptos"/>
          <w:b/>
          <w:i w:val="0"/>
        </w:rPr>
        <w:t>What is left before the proposal can go in:</w:t>
      </w:r>
      <w:r>
        <w:rPr>
          <w:rFonts w:ascii="Aptos" w:hAnsi="Aptos"/>
          <w:b w:val="0"/>
          <w:i w:val="0"/>
        </w:rPr>
        <w:t xml:space="preserve"> the </w:t>
      </w:r>
      <w:r>
        <w:rPr>
          <w:rFonts w:ascii="Aptos" w:hAnsi="Aptos"/>
          <w:b/>
          <w:i w:val="0"/>
        </w:rPr>
        <w:t>full names of Dr Waad and Dr Ainaa</w:t>
      </w:r>
      <w:r>
        <w:rPr>
          <w:rFonts w:ascii="Aptos" w:hAnsi="Aptos"/>
          <w:b w:val="0"/>
          <w:i w:val="0"/>
        </w:rPr>
        <w:t>, everyone's agreement on author order, and signatures. That is now the whole critical path.</w:t>
      </w:r>
    </w:p>
    <w:tbl>
      <w:tblPr>
        <w:tblStyle w:val="TableGrid"/>
        <w:tblW w:type="auto" w:w="0"/>
        <w:jc w:val="left"/>
        <w:tblLook w:firstColumn="1" w:firstRow="1" w:lastColumn="0" w:lastRow="0" w:noHBand="0" w:noVBand="1" w:val="04A0"/>
      </w:tblPr>
      <w:tblGrid>
        <w:gridCol w:w="4968"/>
        <w:gridCol w:w="4968"/>
      </w:tblGrid>
      <w:tr>
        <w:tc>
          <w:tcPr>
            <w:tcW w:type="dxa" w:w="4968"/>
            <w:shd w:val="clear" w:fill="DEE7F0"/>
          </w:tcPr>
          <w:p>
            <w:pPr>
              <w:spacing w:after="40"/>
            </w:pPr>
            <w:r/>
            <w:r>
              <w:rPr>
                <w:rFonts w:ascii="Aptos" w:hAnsi="Aptos"/>
                <w:b/>
                <w:i w:val="0"/>
                <w:sz w:val="19"/>
              </w:rPr>
              <w:t>Person</w:t>
            </w:r>
          </w:p>
        </w:tc>
        <w:tc>
          <w:tcPr>
            <w:tcW w:type="dxa" w:w="4968"/>
            <w:shd w:val="clear" w:fill="DEE7F0"/>
          </w:tcPr>
          <w:p>
            <w:pPr>
              <w:spacing w:after="40"/>
            </w:pPr>
            <w:r/>
            <w:r>
              <w:rPr>
                <w:rFonts w:ascii="Aptos" w:hAnsi="Aptos"/>
                <w:b/>
                <w:i w:val="0"/>
                <w:sz w:val="19"/>
              </w:rPr>
              <w:t>Role</w:t>
            </w:r>
          </w:p>
        </w:tc>
      </w:tr>
      <w:tr>
        <w:tc>
          <w:tcPr>
            <w:tcW w:type="dxa" w:w="4968"/>
          </w:tcPr>
          <w:p>
            <w:pPr>
              <w:spacing w:after="40"/>
            </w:pPr>
            <w:r/>
            <w:r>
              <w:rPr>
                <w:rFonts w:ascii="Aptos" w:hAnsi="Aptos"/>
                <w:b w:val="0"/>
                <w:i w:val="0"/>
                <w:sz w:val="19"/>
              </w:rPr>
              <w:t>Dr Lami Qurt</w:t>
            </w:r>
          </w:p>
        </w:tc>
        <w:tc>
          <w:tcPr>
            <w:tcW w:type="dxa" w:w="4968"/>
          </w:tcPr>
          <w:p>
            <w:pPr>
              <w:spacing w:after="40"/>
            </w:pPr>
            <w:r/>
            <w:r>
              <w:rPr>
                <w:rFonts w:ascii="Aptos" w:hAnsi="Aptos"/>
                <w:b w:val="0"/>
                <w:i w:val="0"/>
                <w:sz w:val="19"/>
              </w:rPr>
              <w:t>Principal investigator, first author. Makes no judgements on any pair</w:t>
            </w:r>
          </w:p>
        </w:tc>
      </w:tr>
      <w:tr>
        <w:tc>
          <w:tcPr>
            <w:tcW w:type="dxa" w:w="4968"/>
          </w:tcPr>
          <w:p>
            <w:pPr>
              <w:spacing w:after="40"/>
            </w:pPr>
            <w:r/>
            <w:r>
              <w:rPr>
                <w:rFonts w:ascii="Aptos" w:hAnsi="Aptos"/>
                <w:b w:val="0"/>
                <w:i w:val="0"/>
                <w:sz w:val="19"/>
              </w:rPr>
              <w:t>Dr Samer Dahdoul</w:t>
            </w:r>
          </w:p>
        </w:tc>
        <w:tc>
          <w:tcPr>
            <w:tcW w:type="dxa" w:w="4968"/>
          </w:tcPr>
          <w:p>
            <w:pPr>
              <w:spacing w:after="40"/>
            </w:pPr>
            <w:r/>
            <w:r>
              <w:rPr>
                <w:rFonts w:ascii="Aptos" w:hAnsi="Aptos"/>
                <w:b w:val="0"/>
                <w:i w:val="0"/>
                <w:sz w:val="19"/>
              </w:rPr>
              <w:t>Senior author, and re-reads a random 80 pairs as a check</w:t>
            </w:r>
          </w:p>
        </w:tc>
      </w:tr>
      <w:tr>
        <w:tc>
          <w:tcPr>
            <w:tcW w:type="dxa" w:w="4968"/>
          </w:tcPr>
          <w:p>
            <w:pPr>
              <w:spacing w:after="40"/>
            </w:pPr>
            <w:r/>
            <w:r>
              <w:rPr>
                <w:rFonts w:ascii="Aptos" w:hAnsi="Aptos"/>
                <w:b w:val="0"/>
                <w:i w:val="0"/>
                <w:sz w:val="19"/>
              </w:rPr>
              <w:t>Dr Amani Salman</w:t>
            </w:r>
          </w:p>
        </w:tc>
        <w:tc>
          <w:tcPr>
            <w:tcW w:type="dxa" w:w="4968"/>
          </w:tcPr>
          <w:p>
            <w:pPr>
              <w:spacing w:after="40"/>
            </w:pPr>
            <w:r/>
            <w:r>
              <w:rPr>
                <w:rFonts w:ascii="Aptos" w:hAnsi="Aptos"/>
                <w:b w:val="0"/>
                <w:i w:val="0"/>
                <w:sz w:val="19"/>
              </w:rPr>
              <w:t>Reviewer 3 — decides the pairs where the two reviewers disagreed</w:t>
            </w:r>
          </w:p>
        </w:tc>
      </w:tr>
      <w:tr>
        <w:tc>
          <w:tcPr>
            <w:tcW w:type="dxa" w:w="4968"/>
          </w:tcPr>
          <w:p>
            <w:pPr>
              <w:spacing w:after="40"/>
            </w:pPr>
            <w:r/>
            <w:r>
              <w:rPr>
                <w:rFonts w:ascii="Aptos" w:hAnsi="Aptos"/>
                <w:b w:val="0"/>
                <w:i w:val="0"/>
                <w:sz w:val="19"/>
              </w:rPr>
              <w:t>Dr Waad</w:t>
            </w:r>
          </w:p>
        </w:tc>
        <w:tc>
          <w:tcPr>
            <w:tcW w:type="dxa" w:w="4968"/>
          </w:tcPr>
          <w:p>
            <w:pPr>
              <w:spacing w:after="40"/>
            </w:pPr>
            <w:r/>
            <w:r>
              <w:rPr>
                <w:rFonts w:ascii="Aptos" w:hAnsi="Aptos"/>
                <w:b w:val="0"/>
                <w:i w:val="0"/>
                <w:sz w:val="19"/>
              </w:rPr>
              <w:t>Reviewer 1 — all 400 pairs</w:t>
            </w:r>
          </w:p>
        </w:tc>
      </w:tr>
      <w:tr>
        <w:tc>
          <w:tcPr>
            <w:tcW w:type="dxa" w:w="4968"/>
          </w:tcPr>
          <w:p>
            <w:pPr>
              <w:spacing w:after="40"/>
            </w:pPr>
            <w:r/>
            <w:r>
              <w:rPr>
                <w:rFonts w:ascii="Aptos" w:hAnsi="Aptos"/>
                <w:b w:val="0"/>
                <w:i w:val="0"/>
                <w:sz w:val="19"/>
              </w:rPr>
              <w:t>Dr Ainaa</w:t>
            </w:r>
          </w:p>
        </w:tc>
        <w:tc>
          <w:tcPr>
            <w:tcW w:type="dxa" w:w="4968"/>
          </w:tcPr>
          <w:p>
            <w:pPr>
              <w:spacing w:after="40"/>
            </w:pPr>
            <w:r/>
            <w:r>
              <w:rPr>
                <w:rFonts w:ascii="Aptos" w:hAnsi="Aptos"/>
                <w:b w:val="0"/>
                <w:i w:val="0"/>
                <w:sz w:val="19"/>
              </w:rPr>
              <w:t>Reviewer 2 — all 400 pairs</w:t>
            </w:r>
          </w:p>
        </w:tc>
      </w:tr>
    </w:tbl>
    <w:p>
      <w:pPr>
        <w:spacing w:after="80"/>
      </w:pPr>
    </w:p>
    <w:p>
      <w:pPr>
        <w:pStyle w:val="Heading2"/>
      </w:pPr>
      <w:r>
        <w:rPr>
          <w:rFonts w:ascii="Aptos" w:hAnsi="Aptos"/>
          <w:b w:val="0"/>
          <w:i w:val="0"/>
        </w:rPr>
        <w:t>The three folders</w:t>
      </w:r>
    </w:p>
    <w:tbl>
      <w:tblPr>
        <w:tblStyle w:val="TableGrid"/>
        <w:tblW w:type="auto" w:w="0"/>
        <w:jc w:val="left"/>
        <w:tblLook w:firstColumn="1" w:firstRow="1" w:lastColumn="0" w:lastRow="0" w:noHBand="0" w:noVBand="1" w:val="04A0"/>
      </w:tblPr>
      <w:tblGrid>
        <w:gridCol w:w="4968"/>
        <w:gridCol w:w="4968"/>
      </w:tblGrid>
      <w:tr>
        <w:tc>
          <w:tcPr>
            <w:tcW w:type="dxa" w:w="4968"/>
            <w:shd w:val="clear" w:fill="DEE7F0"/>
          </w:tcPr>
          <w:p>
            <w:pPr>
              <w:spacing w:after="40"/>
            </w:pPr>
            <w:r/>
            <w:r>
              <w:rPr>
                <w:rFonts w:ascii="Aptos" w:hAnsi="Aptos"/>
                <w:b/>
                <w:i w:val="0"/>
                <w:sz w:val="19"/>
              </w:rPr>
              <w:t>Folder</w:t>
            </w:r>
          </w:p>
        </w:tc>
        <w:tc>
          <w:tcPr>
            <w:tcW w:type="dxa" w:w="4968"/>
            <w:shd w:val="clear" w:fill="DEE7F0"/>
          </w:tcPr>
          <w:p>
            <w:pPr>
              <w:spacing w:after="40"/>
            </w:pPr>
            <w:r/>
            <w:r>
              <w:rPr>
                <w:rFonts w:ascii="Aptos" w:hAnsi="Aptos"/>
                <w:b/>
                <w:i w:val="0"/>
                <w:sz w:val="19"/>
              </w:rPr>
              <w:t>What is in it</w:t>
            </w:r>
          </w:p>
        </w:tc>
      </w:tr>
      <w:tr>
        <w:tc>
          <w:tcPr>
            <w:tcW w:type="dxa" w:w="4968"/>
          </w:tcPr>
          <w:p>
            <w:pPr>
              <w:spacing w:after="40"/>
            </w:pPr>
            <w:r/>
            <w:r>
              <w:rPr>
                <w:rFonts w:ascii="Aptos" w:hAnsi="Aptos"/>
                <w:b/>
                <w:i w:val="0"/>
                <w:sz w:val="19"/>
              </w:rPr>
              <w:t>STEPS</w:t>
            </w:r>
          </w:p>
        </w:tc>
        <w:tc>
          <w:tcPr>
            <w:tcW w:type="dxa" w:w="4968"/>
          </w:tcPr>
          <w:p>
            <w:pPr>
              <w:spacing w:after="40"/>
            </w:pPr>
            <w:r/>
            <w:r>
              <w:rPr>
                <w:rFonts w:ascii="Aptos" w:hAnsi="Aptos"/>
                <w:b w:val="0"/>
                <w:i w:val="0"/>
                <w:sz w:val="19"/>
              </w:rPr>
              <w:t>The documents you actually use, numbered in the order you use them. Work through them one at a time.</w:t>
            </w:r>
          </w:p>
        </w:tc>
      </w:tr>
      <w:tr>
        <w:tc>
          <w:tcPr>
            <w:tcW w:type="dxa" w:w="4968"/>
          </w:tcPr>
          <w:p>
            <w:pPr>
              <w:spacing w:after="40"/>
            </w:pPr>
            <w:r/>
            <w:r>
              <w:rPr>
                <w:rFonts w:ascii="Aptos" w:hAnsi="Aptos"/>
                <w:b/>
                <w:i w:val="0"/>
                <w:sz w:val="19"/>
              </w:rPr>
              <w:t>REFERENCE</w:t>
            </w:r>
          </w:p>
        </w:tc>
        <w:tc>
          <w:tcPr>
            <w:tcW w:type="dxa" w:w="4968"/>
          </w:tcPr>
          <w:p>
            <w:pPr>
              <w:spacing w:after="40"/>
            </w:pPr>
            <w:r/>
            <w:r>
              <w:rPr>
                <w:rFonts w:ascii="Aptos" w:hAnsi="Aptos"/>
                <w:b w:val="0"/>
                <w:i w:val="0"/>
                <w:sz w:val="19"/>
              </w:rPr>
              <w:t>Documents you look things up in. You never work through these.</w:t>
            </w:r>
          </w:p>
        </w:tc>
      </w:tr>
      <w:tr>
        <w:tc>
          <w:tcPr>
            <w:tcW w:type="dxa" w:w="4968"/>
          </w:tcPr>
          <w:p>
            <w:pPr>
              <w:spacing w:after="40"/>
            </w:pPr>
            <w:r/>
            <w:r>
              <w:rPr>
                <w:rFonts w:ascii="Aptos" w:hAnsi="Aptos"/>
                <w:b/>
                <w:i w:val="0"/>
                <w:sz w:val="19"/>
              </w:rPr>
              <w:t>source</w:t>
            </w:r>
          </w:p>
        </w:tc>
        <w:tc>
          <w:tcPr>
            <w:tcW w:type="dxa" w:w="4968"/>
          </w:tcPr>
          <w:p>
            <w:pPr>
              <w:spacing w:after="40"/>
            </w:pPr>
            <w:r/>
            <w:r>
              <w:rPr>
                <w:rFonts w:ascii="Aptos" w:hAnsi="Aptos"/>
                <w:b w:val="0"/>
                <w:i w:val="0"/>
                <w:sz w:val="19"/>
              </w:rPr>
              <w:t>The text files the documents are built from, and the build scripts. You only open this folder when changing wording.</w:t>
            </w:r>
          </w:p>
        </w:tc>
      </w:tr>
    </w:tbl>
    <w:p>
      <w:pPr>
        <w:spacing w:after="80"/>
      </w:pPr>
    </w:p>
    <w:p>
      <w:pPr>
        <w:pStyle w:val="Heading2"/>
      </w:pPr>
      <w:r>
        <w:rPr>
          <w:rFonts w:ascii="Aptos" w:hAnsi="Aptos"/>
          <w:b w:val="0"/>
          <w:i w:val="0"/>
        </w:rPr>
        <w:t>STEPS — work through these in order</w:t>
      </w:r>
    </w:p>
    <w:p>
      <w:pPr>
        <w:pStyle w:val="Heading3"/>
      </w:pPr>
      <w:r>
        <w:rPr>
          <w:rFonts w:ascii="Aptos" w:hAnsi="Aptos"/>
          <w:b w:val="0"/>
          <w:i w:val="0"/>
        </w:rPr>
        <w:t>01 - Team Briefing.docx</w:t>
      </w:r>
    </w:p>
    <w:tbl>
      <w:tblPr>
        <w:tblW w:type="auto" w:w="0"/>
        <w:jc w:val="left"/>
        <w:tblLook w:firstColumn="1" w:firstRow="1" w:lastColumn="0" w:lastRow="0" w:noHBand="0" w:noVBand="1" w:val="04A0"/>
      </w:tblPr>
      <w:tblGrid>
        <w:gridCol w:w="4968"/>
        <w:gridCol w:w="4968"/>
      </w:tblGrid>
      <w:tr>
        <w:tc>
          <w:tcPr>
            <w:tcW w:type="dxa" w:w="3024"/>
          </w:tcPr>
          <w:p>
            <w:pPr>
              <w:spacing w:after="20"/>
            </w:pPr>
            <w:r/>
            <w:r>
              <w:rPr>
                <w:rFonts w:ascii="Aptos" w:hAnsi="Aptos"/>
                <w:b/>
                <w:i w:val="0"/>
                <w:sz w:val="20"/>
              </w:rPr>
              <w:t>Use it at</w:t>
            </w:r>
          </w:p>
        </w:tc>
        <w:tc>
          <w:tcPr>
            <w:tcW w:type="dxa" w:w="4968"/>
          </w:tcPr>
          <w:p>
            <w:pPr>
              <w:spacing w:after="20"/>
            </w:pPr>
            <w:r/>
            <w:r>
              <w:rPr>
                <w:rFonts w:ascii="Aptos" w:hAnsi="Aptos"/>
                <w:b w:val="0"/>
                <w:i w:val="0"/>
                <w:sz w:val="20"/>
              </w:rPr>
              <w:t>the team meeting.</w:t>
            </w:r>
          </w:p>
        </w:tc>
      </w:tr>
      <w:tr>
        <w:tc>
          <w:tcPr>
            <w:tcW w:type="dxa" w:w="3024"/>
          </w:tcPr>
          <w:p>
            <w:pPr>
              <w:spacing w:after="20"/>
            </w:pPr>
            <w:r/>
            <w:r>
              <w:rPr>
                <w:rFonts w:ascii="Aptos" w:hAnsi="Aptos"/>
                <w:b/>
                <w:i w:val="0"/>
                <w:sz w:val="20"/>
              </w:rPr>
              <w:t>What to do</w:t>
            </w:r>
          </w:p>
        </w:tc>
        <w:tc>
          <w:tcPr>
            <w:tcW w:type="dxa" w:w="4968"/>
          </w:tcPr>
          <w:p>
            <w:pPr>
              <w:spacing w:after="20"/>
            </w:pPr>
            <w:r/>
            <w:r>
              <w:rPr>
                <w:rFonts w:ascii="Aptos" w:hAnsi="Aptos"/>
                <w:b w:val="0"/>
                <w:i w:val="0"/>
                <w:sz w:val="20"/>
              </w:rPr>
              <w:t xml:space="preserve">hand it round, confirm the five roles in the table it contains, agree author order, and have people sign. </w:t>
            </w:r>
            <w:r>
              <w:rPr>
                <w:rFonts w:ascii="Aptos" w:hAnsi="Aptos"/>
                <w:b/>
                <w:i w:val="0"/>
                <w:sz w:val="20"/>
              </w:rPr>
              <w:t>Collect the full names of Dr Waad and Dr Ainaa</w:t>
            </w:r>
            <w:r>
              <w:rPr>
                <w:rFonts w:ascii="Aptos" w:hAnsi="Aptos"/>
                <w:b w:val="0"/>
                <w:i w:val="0"/>
                <w:sz w:val="20"/>
              </w:rPr>
              <w:t xml:space="preserve"> — they are needed for the submission.</w:t>
            </w:r>
          </w:p>
        </w:tc>
      </w:tr>
      <w:tr>
        <w:tc>
          <w:tcPr>
            <w:tcW w:type="dxa" w:w="3024"/>
          </w:tcPr>
          <w:p>
            <w:pPr>
              <w:spacing w:after="20"/>
            </w:pPr>
            <w:r/>
            <w:r>
              <w:rPr>
                <w:rFonts w:ascii="Aptos" w:hAnsi="Aptos"/>
                <w:b/>
                <w:i w:val="0"/>
                <w:sz w:val="20"/>
              </w:rPr>
              <w:t>Note</w:t>
            </w:r>
          </w:p>
        </w:tc>
        <w:tc>
          <w:tcPr>
            <w:tcW w:type="dxa" w:w="4968"/>
          </w:tcPr>
          <w:p>
            <w:pPr>
              <w:spacing w:after="20"/>
            </w:pPr>
            <w:r/>
            <w:r>
              <w:rPr>
                <w:rFonts w:ascii="Aptos" w:hAnsi="Aptos"/>
                <w:b w:val="0"/>
                <w:i w:val="0"/>
                <w:sz w:val="20"/>
              </w:rPr>
              <w:t>the workload is uneven and worth saying out loud. The two residents carry about 47 hours each; Dr Amani about 7; Dr Samer about 9.</w:t>
            </w:r>
          </w:p>
        </w:tc>
      </w:tr>
    </w:tbl>
    <w:p>
      <w:pPr>
        <w:spacing w:after="80"/>
      </w:pPr>
    </w:p>
    <w:p>
      <w:pPr>
        <w:pStyle w:val="Heading3"/>
      </w:pPr>
      <w:r>
        <w:rPr>
          <w:rFonts w:ascii="Aptos" w:hAnsi="Aptos"/>
          <w:b w:val="0"/>
          <w:i w:val="0"/>
        </w:rPr>
        <w:t>02 - Protocol and Proposal (to Ministry of Health).docx</w:t>
      </w:r>
    </w:p>
    <w:tbl>
      <w:tblPr>
        <w:tblW w:type="auto" w:w="0"/>
        <w:jc w:val="left"/>
        <w:tblLook w:firstColumn="1" w:firstRow="1" w:lastColumn="0" w:lastRow="0" w:noHBand="0" w:noVBand="1" w:val="04A0"/>
      </w:tblPr>
      <w:tblGrid>
        <w:gridCol w:w="4968"/>
        <w:gridCol w:w="4968"/>
      </w:tblGrid>
      <w:tr>
        <w:tc>
          <w:tcPr>
            <w:tcW w:type="dxa" w:w="3024"/>
          </w:tcPr>
          <w:p>
            <w:pPr>
              <w:spacing w:after="20"/>
            </w:pPr>
            <w:r/>
            <w:r>
              <w:rPr>
                <w:rFonts w:ascii="Aptos" w:hAnsi="Aptos"/>
                <w:b/>
                <w:i w:val="0"/>
                <w:sz w:val="20"/>
              </w:rPr>
              <w:t>Use it at</w:t>
            </w:r>
          </w:p>
        </w:tc>
        <w:tc>
          <w:tcPr>
            <w:tcW w:type="dxa" w:w="4968"/>
          </w:tcPr>
          <w:p>
            <w:pPr>
              <w:spacing w:after="20"/>
            </w:pPr>
            <w:r/>
            <w:r>
              <w:rPr>
                <w:rFonts w:ascii="Aptos" w:hAnsi="Aptos"/>
                <w:b w:val="0"/>
                <w:i w:val="0"/>
                <w:sz w:val="20"/>
              </w:rPr>
              <w:t>the ethics submission, immediately after the meeting.</w:t>
            </w:r>
          </w:p>
        </w:tc>
      </w:tr>
      <w:tr>
        <w:tc>
          <w:tcPr>
            <w:tcW w:type="dxa" w:w="3024"/>
          </w:tcPr>
          <w:p>
            <w:pPr>
              <w:spacing w:after="20"/>
            </w:pPr>
            <w:r/>
            <w:r>
              <w:rPr>
                <w:rFonts w:ascii="Aptos" w:hAnsi="Aptos"/>
                <w:b/>
                <w:i w:val="0"/>
                <w:sz w:val="20"/>
              </w:rPr>
              <w:t>What to do</w:t>
            </w:r>
          </w:p>
        </w:tc>
        <w:tc>
          <w:tcPr>
            <w:tcW w:type="dxa" w:w="4968"/>
          </w:tcPr>
          <w:p>
            <w:pPr>
              <w:spacing w:after="20"/>
            </w:pPr>
            <w:r/>
            <w:r>
              <w:rPr>
                <w:rFonts w:ascii="Aptos" w:hAnsi="Aptos"/>
                <w:b w:val="0"/>
                <w:i w:val="0"/>
                <w:sz w:val="20"/>
              </w:rPr>
              <w:t xml:space="preserve">the co-investigators and the team table are </w:t>
            </w:r>
            <w:r>
              <w:rPr>
                <w:rFonts w:ascii="Aptos" w:hAnsi="Aptos"/>
                <w:b/>
                <w:i w:val="0"/>
                <w:sz w:val="20"/>
              </w:rPr>
              <w:t>already filled in</w:t>
            </w:r>
            <w:r>
              <w:rPr>
                <w:rFonts w:ascii="Aptos" w:hAnsi="Aptos"/>
                <w:b w:val="0"/>
                <w:i w:val="0"/>
                <w:sz w:val="20"/>
              </w:rPr>
              <w:t xml:space="preserve">. Add the two missing surnames, the date and the signature, then send it to the </w:t>
            </w:r>
            <w:r>
              <w:rPr>
                <w:rFonts w:ascii="Aptos" w:hAnsi="Aptos"/>
                <w:b/>
                <w:i w:val="0"/>
                <w:sz w:val="20"/>
              </w:rPr>
              <w:t>Ministry of Health research office</w:t>
            </w:r>
            <w:r>
              <w:rPr>
                <w:rFonts w:ascii="Aptos" w:hAnsi="Aptos"/>
                <w:b w:val="0"/>
                <w:i w:val="0"/>
                <w:sz w:val="20"/>
              </w:rPr>
              <w:t>. No Ministry template is required; this document is the submission.</w:t>
            </w:r>
          </w:p>
        </w:tc>
      </w:tr>
      <w:tr>
        <w:tc>
          <w:tcPr>
            <w:tcW w:type="dxa" w:w="3024"/>
          </w:tcPr>
          <w:p>
            <w:pPr>
              <w:spacing w:after="20"/>
            </w:pPr>
            <w:r/>
            <w:r>
              <w:rPr>
                <w:rFonts w:ascii="Aptos" w:hAnsi="Aptos"/>
                <w:b/>
                <w:i w:val="0"/>
                <w:sz w:val="20"/>
              </w:rPr>
              <w:t>Still worth asking</w:t>
            </w:r>
          </w:p>
        </w:tc>
        <w:tc>
          <w:tcPr>
            <w:tcW w:type="dxa" w:w="4968"/>
          </w:tcPr>
          <w:p>
            <w:pPr>
              <w:spacing w:after="20"/>
            </w:pPr>
            <w:r/>
            <w:r>
              <w:rPr>
                <w:rFonts w:ascii="Aptos" w:hAnsi="Aptos"/>
                <w:b w:val="0"/>
                <w:i w:val="0"/>
                <w:sz w:val="20"/>
              </w:rPr>
              <w:t>is there a faster route for research that only uses existing records?</w:t>
            </w:r>
          </w:p>
        </w:tc>
      </w:tr>
    </w:tbl>
    <w:p>
      <w:pPr>
        <w:spacing w:after="80"/>
      </w:pPr>
    </w:p>
    <w:p>
      <w:pPr>
        <w:pStyle w:val="Heading3"/>
      </w:pPr>
      <w:r>
        <w:rPr>
          <w:rFonts w:ascii="Aptos" w:hAnsi="Aptos"/>
          <w:b w:val="0"/>
          <w:i w:val="0"/>
        </w:rPr>
        <w:t>03 - HIS Data Access Request (English + Arabic).docx</w:t>
      </w:r>
    </w:p>
    <w:p>
      <w:pPr>
        <w:pStyle w:val="Heading3"/>
      </w:pPr>
      <w:r>
        <w:rPr>
          <w:rFonts w:ascii="Aptos" w:hAnsi="Aptos"/>
          <w:b w:val="0"/>
          <w:i w:val="0"/>
        </w:rPr>
        <w:t>03 - HIS Access Letter, Dr Murad Barkan (Arabic).docx</w:t>
      </w:r>
    </w:p>
    <w:tbl>
      <w:tblPr>
        <w:tblW w:type="auto" w:w="0"/>
        <w:jc w:val="left"/>
        <w:tblLook w:firstColumn="1" w:firstRow="1" w:lastColumn="0" w:lastRow="0" w:noHBand="0" w:noVBand="1" w:val="04A0"/>
      </w:tblPr>
      <w:tblGrid>
        <w:gridCol w:w="4968"/>
        <w:gridCol w:w="4968"/>
      </w:tblGrid>
      <w:tr>
        <w:tc>
          <w:tcPr>
            <w:tcW w:type="dxa" w:w="3024"/>
          </w:tcPr>
          <w:p>
            <w:pPr>
              <w:spacing w:after="20"/>
            </w:pPr>
            <w:r/>
            <w:r>
              <w:rPr>
                <w:rFonts w:ascii="Aptos" w:hAnsi="Aptos"/>
                <w:b/>
                <w:i w:val="0"/>
                <w:sz w:val="20"/>
              </w:rPr>
              <w:t>Use it at</w:t>
            </w:r>
          </w:p>
        </w:tc>
        <w:tc>
          <w:tcPr>
            <w:tcW w:type="dxa" w:w="4968"/>
          </w:tcPr>
          <w:p>
            <w:pPr>
              <w:spacing w:after="20"/>
            </w:pPr>
            <w:r/>
            <w:r>
              <w:rPr>
                <w:rFonts w:ascii="Aptos" w:hAnsi="Aptos"/>
                <w:b w:val="0"/>
                <w:i w:val="0"/>
                <w:sz w:val="20"/>
              </w:rPr>
              <w:t>the same time as step 02, if permitted.</w:t>
            </w:r>
          </w:p>
        </w:tc>
      </w:tr>
      <w:tr>
        <w:tc>
          <w:tcPr>
            <w:tcW w:type="dxa" w:w="3024"/>
          </w:tcPr>
          <w:p>
            <w:pPr>
              <w:spacing w:after="20"/>
            </w:pPr>
            <w:r/>
            <w:r>
              <w:rPr>
                <w:rFonts w:ascii="Aptos" w:hAnsi="Aptos"/>
                <w:b/>
                <w:i w:val="0"/>
                <w:sz w:val="20"/>
              </w:rPr>
              <w:t>What to do</w:t>
            </w:r>
          </w:p>
        </w:tc>
        <w:tc>
          <w:tcPr>
            <w:tcW w:type="dxa" w:w="4968"/>
          </w:tcPr>
          <w:p>
            <w:pPr>
              <w:spacing w:after="20"/>
            </w:pPr>
            <w:r/>
            <w:r>
              <w:rPr>
                <w:rFonts w:ascii="Aptos" w:hAnsi="Aptos"/>
                <w:b w:val="0"/>
                <w:i w:val="0"/>
                <w:sz w:val="20"/>
              </w:rPr>
              <w:t xml:space="preserve">send to the </w:t>
            </w:r>
            <w:r>
              <w:rPr>
                <w:rFonts w:ascii="Aptos" w:hAnsi="Aptos"/>
                <w:b/>
                <w:i w:val="0"/>
                <w:sz w:val="20"/>
              </w:rPr>
              <w:t>Department of Continuous Education</w:t>
            </w:r>
            <w:r>
              <w:rPr>
                <w:rFonts w:ascii="Aptos" w:hAnsi="Aptos"/>
                <w:b w:val="0"/>
                <w:i w:val="0"/>
                <w:sz w:val="20"/>
              </w:rPr>
              <w:t xml:space="preserve"> at the hospital, asking for access to the Hospital Information System data. </w:t>
            </w:r>
            <w:r>
              <w:rPr>
                <w:rFonts w:ascii="Aptos" w:hAnsi="Aptos"/>
                <w:b/>
                <w:i w:val="0"/>
                <w:sz w:val="20"/>
              </w:rPr>
              <w:t>Ask whether this can run at the same time as the ethics submission</w:t>
            </w:r>
            <w:r>
              <w:rPr>
                <w:rFonts w:ascii="Aptos" w:hAnsi="Aptos"/>
                <w:b w:val="0"/>
                <w:i w:val="0"/>
                <w:sz w:val="20"/>
              </w:rPr>
              <w:t xml:space="preserve"> — if it can, send both now and save several weeks.</w:t>
            </w:r>
          </w:p>
        </w:tc>
      </w:tr>
      <w:tr>
        <w:tc>
          <w:tcPr>
            <w:tcW w:type="dxa" w:w="3024"/>
          </w:tcPr>
          <w:p>
            <w:pPr>
              <w:spacing w:after="20"/>
            </w:pPr>
            <w:r/>
            <w:r>
              <w:rPr>
                <w:rFonts w:ascii="Aptos" w:hAnsi="Aptos"/>
                <w:b/>
                <w:i w:val="0"/>
                <w:sz w:val="20"/>
              </w:rPr>
              <w:t>Note</w:t>
            </w:r>
          </w:p>
        </w:tc>
        <w:tc>
          <w:tcPr>
            <w:tcW w:type="dxa" w:w="4968"/>
          </w:tcPr>
          <w:p>
            <w:pPr>
              <w:spacing w:after="20"/>
            </w:pPr>
            <w:r/>
            <w:r>
              <w:rPr>
                <w:rFonts w:ascii="Aptos" w:hAnsi="Aptos"/>
                <w:b w:val="0"/>
                <w:i w:val="0"/>
                <w:sz w:val="20"/>
              </w:rPr>
              <w:t xml:space="preserve">the Arabic letter to Dr Murad Barkan is written by hand and has no text file behind it. Edit it directly in Word. The English + Arabic version is built from </w:t>
            </w:r>
            <w:r>
              <w:rPr>
                <w:rFonts w:ascii="Consolas" w:hAnsi="Consolas"/>
                <w:b w:val="0"/>
                <w:i w:val="0"/>
                <w:color w:val="444444"/>
                <w:sz w:val="19"/>
              </w:rPr>
              <w:t>source</w:t>
            </w:r>
            <w:r>
              <w:rPr>
                <w:rFonts w:ascii="Aptos" w:hAnsi="Aptos"/>
                <w:b w:val="0"/>
                <w:i w:val="0"/>
                <w:sz w:val="20"/>
              </w:rPr>
              <w:t xml:space="preserve">, so edits there will be overwritten — see </w:t>
            </w:r>
            <w:r>
              <w:rPr>
                <w:rFonts w:ascii="Aptos" w:hAnsi="Aptos"/>
                <w:b w:val="0"/>
                <w:i/>
                <w:sz w:val="20"/>
              </w:rPr>
              <w:t>Changing wording</w:t>
            </w:r>
            <w:r>
              <w:rPr>
                <w:rFonts w:ascii="Aptos" w:hAnsi="Aptos"/>
                <w:b w:val="0"/>
                <w:i w:val="0"/>
                <w:sz w:val="20"/>
              </w:rPr>
              <w:t xml:space="preserve"> below.</w:t>
            </w:r>
          </w:p>
        </w:tc>
      </w:tr>
    </w:tbl>
    <w:p>
      <w:pPr>
        <w:spacing w:after="80"/>
      </w:pPr>
    </w:p>
    <w:p>
      <w:pPr>
        <w:pStyle w:val="Heading3"/>
      </w:pPr>
      <w:r>
        <w:rPr>
          <w:rFonts w:ascii="Aptos" w:hAnsi="Aptos"/>
          <w:b w:val="0"/>
          <w:i w:val="0"/>
        </w:rPr>
        <w:t>04 - IT Data Export Request.docx</w:t>
      </w:r>
    </w:p>
    <w:tbl>
      <w:tblPr>
        <w:tblW w:type="auto" w:w="0"/>
        <w:jc w:val="left"/>
        <w:tblLook w:firstColumn="1" w:firstRow="1" w:lastColumn="0" w:lastRow="0" w:noHBand="0" w:noVBand="1" w:val="04A0"/>
      </w:tblPr>
      <w:tblGrid>
        <w:gridCol w:w="4968"/>
        <w:gridCol w:w="4968"/>
      </w:tblGrid>
      <w:tr>
        <w:tc>
          <w:tcPr>
            <w:tcW w:type="dxa" w:w="3024"/>
          </w:tcPr>
          <w:p>
            <w:pPr>
              <w:spacing w:after="20"/>
            </w:pPr>
            <w:r/>
            <w:r>
              <w:rPr>
                <w:rFonts w:ascii="Aptos" w:hAnsi="Aptos"/>
                <w:b/>
                <w:i w:val="0"/>
                <w:sz w:val="20"/>
              </w:rPr>
              <w:t>Use it at</w:t>
            </w:r>
          </w:p>
        </w:tc>
        <w:tc>
          <w:tcPr>
            <w:tcW w:type="dxa" w:w="4968"/>
          </w:tcPr>
          <w:p>
            <w:pPr>
              <w:spacing w:after="20"/>
            </w:pPr>
            <w:r/>
            <w:r>
              <w:rPr>
                <w:rFonts w:ascii="Aptos" w:hAnsi="Aptos"/>
                <w:b w:val="0"/>
                <w:i w:val="0"/>
                <w:sz w:val="20"/>
              </w:rPr>
              <w:t xml:space="preserve">only </w:t>
            </w:r>
            <w:r>
              <w:rPr>
                <w:rFonts w:ascii="Aptos" w:hAnsi="Aptos"/>
                <w:b/>
                <w:i w:val="0"/>
                <w:sz w:val="20"/>
              </w:rPr>
              <w:t>after</w:t>
            </w:r>
            <w:r>
              <w:rPr>
                <w:rFonts w:ascii="Aptos" w:hAnsi="Aptos"/>
                <w:b w:val="0"/>
                <w:i w:val="0"/>
                <w:sz w:val="20"/>
              </w:rPr>
              <w:t xml:space="preserve"> the ethics approval letter is in your hand. The IT department confirmed on 2026-08-17 that it will not export anything before approval.</w:t>
            </w:r>
          </w:p>
        </w:tc>
      </w:tr>
      <w:tr>
        <w:tc>
          <w:tcPr>
            <w:tcW w:type="dxa" w:w="3024"/>
          </w:tcPr>
          <w:p>
            <w:pPr>
              <w:spacing w:after="20"/>
            </w:pPr>
            <w:r/>
            <w:r>
              <w:rPr>
                <w:rFonts w:ascii="Aptos" w:hAnsi="Aptos"/>
                <w:b/>
                <w:i w:val="0"/>
                <w:sz w:val="20"/>
              </w:rPr>
              <w:t>Already answered</w:t>
            </w:r>
          </w:p>
        </w:tc>
        <w:tc>
          <w:tcPr>
            <w:tcW w:type="dxa" w:w="4968"/>
          </w:tcPr>
          <w:p>
            <w:pPr>
              <w:spacing w:after="20"/>
            </w:pPr>
            <w:r/>
            <w:r>
              <w:rPr>
                <w:rFonts w:ascii="Aptos" w:hAnsi="Aptos"/>
                <w:b w:val="0"/>
                <w:i w:val="0"/>
                <w:sz w:val="20"/>
              </w:rPr>
              <w:t>the patient identifier is present and stable across visits — confirmed 2026-08-19. That was the assumption the whole study rested on, and it is now closed.</w:t>
            </w:r>
          </w:p>
        </w:tc>
      </w:tr>
      <w:tr>
        <w:tc>
          <w:tcPr>
            <w:tcW w:type="dxa" w:w="3024"/>
          </w:tcPr>
          <w:p>
            <w:pPr>
              <w:spacing w:after="20"/>
            </w:pPr>
            <w:r/>
            <w:r>
              <w:rPr>
                <w:rFonts w:ascii="Aptos" w:hAnsi="Aptos"/>
                <w:b/>
                <w:i w:val="0"/>
                <w:sz w:val="20"/>
              </w:rPr>
              <w:t>Still to ask, and these do not need approval</w:t>
            </w:r>
          </w:p>
        </w:tc>
        <w:tc>
          <w:tcPr>
            <w:tcW w:type="dxa" w:w="4968"/>
          </w:tcPr>
          <w:p>
            <w:pPr>
              <w:spacing w:after="20"/>
            </w:pPr>
            <w:r/>
          </w:p>
        </w:tc>
      </w:tr>
    </w:tbl>
    <w:p>
      <w:pPr>
        <w:spacing w:after="80"/>
      </w:pPr>
    </w:p>
    <w:p>
      <w:pPr>
        <w:pStyle w:val="ListNumber"/>
        <w:spacing w:after="60"/>
        <w:ind w:left="403"/>
      </w:pPr>
      <w:r>
        <w:rPr>
          <w:rFonts w:ascii="Aptos" w:hAnsi="Aptos"/>
          <w:b w:val="0"/>
          <w:i w:val="0"/>
        </w:rPr>
        <w:t>Roughly how many pediatric emergency visits fall between 1 January 2024 and 31 December 2025?</w:t>
      </w:r>
    </w:p>
    <w:p>
      <w:pPr>
        <w:pStyle w:val="ListNumber"/>
        <w:spacing w:after="60"/>
        <w:ind w:left="403"/>
      </w:pPr>
      <w:r>
        <w:rPr>
          <w:rFonts w:ascii="Aptos" w:hAnsi="Aptos"/>
          <w:b/>
          <w:i w:val="0"/>
        </w:rPr>
        <w:t>How will the masked records reach the reviewers?</w:t>
      </w:r>
      <w:r>
        <w:rPr>
          <w:rFonts w:ascii="Aptos" w:hAnsi="Aptos"/>
          <w:b w:val="0"/>
          <w:i w:val="0"/>
        </w:rPr>
        <w:t xml:space="preserve"> The document asks for the treating doctor's name to be replaced by an anonymous code. Will reviewers open a masked view in the Hospital Information System, or should the pairs be exported as documents with the name already removed?</w:t>
      </w:r>
    </w:p>
    <w:p>
      <w:pPr>
        <w:pStyle w:val="Heading3"/>
      </w:pPr>
      <w:r>
        <w:rPr>
          <w:rFonts w:ascii="Aptos" w:hAnsi="Aptos"/>
          <w:b w:val="0"/>
          <w:i w:val="0"/>
        </w:rPr>
        <w:t>05 - Reviewer Workbook.docx</w:t>
      </w:r>
    </w:p>
    <w:tbl>
      <w:tblPr>
        <w:tblW w:type="auto" w:w="0"/>
        <w:jc w:val="left"/>
        <w:tblLook w:firstColumn="1" w:firstRow="1" w:lastColumn="0" w:lastRow="0" w:noHBand="0" w:noVBand="1" w:val="04A0"/>
      </w:tblPr>
      <w:tblGrid>
        <w:gridCol w:w="4968"/>
        <w:gridCol w:w="4968"/>
      </w:tblGrid>
      <w:tr>
        <w:tc>
          <w:tcPr>
            <w:tcW w:type="dxa" w:w="3024"/>
          </w:tcPr>
          <w:p>
            <w:pPr>
              <w:spacing w:after="20"/>
            </w:pPr>
            <w:r/>
            <w:r>
              <w:rPr>
                <w:rFonts w:ascii="Aptos" w:hAnsi="Aptos"/>
                <w:b/>
                <w:i w:val="0"/>
                <w:sz w:val="20"/>
              </w:rPr>
              <w:t>Use it at</w:t>
            </w:r>
          </w:p>
        </w:tc>
        <w:tc>
          <w:tcPr>
            <w:tcW w:type="dxa" w:w="4968"/>
          </w:tcPr>
          <w:p>
            <w:pPr>
              <w:spacing w:after="20"/>
            </w:pPr>
            <w:r/>
            <w:r>
              <w:rPr>
                <w:rFonts w:ascii="Aptos" w:hAnsi="Aptos"/>
                <w:b w:val="0"/>
                <w:i w:val="0"/>
                <w:sz w:val="20"/>
              </w:rPr>
              <w:t>the chart review, after the data arrives.</w:t>
            </w:r>
          </w:p>
        </w:tc>
      </w:tr>
      <w:tr>
        <w:tc>
          <w:tcPr>
            <w:tcW w:type="dxa" w:w="3024"/>
          </w:tcPr>
          <w:p>
            <w:pPr>
              <w:spacing w:after="20"/>
            </w:pPr>
            <w:r/>
            <w:r>
              <w:rPr>
                <w:rFonts w:ascii="Aptos" w:hAnsi="Aptos"/>
                <w:b/>
                <w:i w:val="0"/>
                <w:sz w:val="20"/>
              </w:rPr>
              <w:t>What to do</w:t>
            </w:r>
          </w:p>
        </w:tc>
        <w:tc>
          <w:tcPr>
            <w:tcW w:type="dxa" w:w="4968"/>
          </w:tcPr>
          <w:p>
            <w:pPr>
              <w:spacing w:after="20"/>
            </w:pPr>
            <w:r/>
            <w:r>
              <w:rPr>
                <w:rFonts w:ascii="Aptos" w:hAnsi="Aptos"/>
                <w:b w:val="0"/>
                <w:i w:val="0"/>
                <w:sz w:val="20"/>
              </w:rPr>
              <w:t xml:space="preserve">give a copy to Dr Waad, Dr Ainaa, Dr Amani and Dr Samer. Each fills in Steps 1 to 10 once </w:t>
            </w:r>
            <w:r>
              <w:rPr>
                <w:rFonts w:ascii="Aptos" w:hAnsi="Aptos"/>
                <w:b/>
                <w:i w:val="0"/>
                <w:sz w:val="20"/>
              </w:rPr>
              <w:t>per pair of visits</w:t>
            </w:r>
            <w:r>
              <w:rPr>
                <w:rFonts w:ascii="Aptos" w:hAnsi="Aptos"/>
                <w:b w:val="0"/>
                <w:i w:val="0"/>
                <w:sz w:val="20"/>
              </w:rPr>
              <w:t>. Everyone reads Part A before their first pair — it now names who does what and explains why the treating doctor's name has been removed.</w:t>
            </w:r>
          </w:p>
        </w:tc>
      </w:tr>
    </w:tbl>
    <w:p>
      <w:pPr>
        <w:spacing w:after="80"/>
      </w:pPr>
    </w:p>
    <w:p>
      <w:pPr>
        <w:pStyle w:val="Heading3"/>
      </w:pPr>
      <w:r>
        <w:rPr>
          <w:rFonts w:ascii="Aptos" w:hAnsi="Aptos"/>
          <w:b w:val="0"/>
          <w:i w:val="0"/>
        </w:rPr>
        <w:t>06 - Reviewer 1 Coding Sheet.xlsx</w:t>
      </w:r>
    </w:p>
    <w:p>
      <w:pPr>
        <w:pStyle w:val="Heading3"/>
      </w:pPr>
      <w:r>
        <w:rPr>
          <w:rFonts w:ascii="Aptos" w:hAnsi="Aptos"/>
          <w:b w:val="0"/>
          <w:i w:val="0"/>
        </w:rPr>
        <w:t>07 - Reviewer 2 Coding Sheet.xlsx</w:t>
      </w:r>
    </w:p>
    <w:tbl>
      <w:tblPr>
        <w:tblW w:type="auto" w:w="0"/>
        <w:jc w:val="left"/>
        <w:tblLook w:firstColumn="1" w:firstRow="1" w:lastColumn="0" w:lastRow="0" w:noHBand="0" w:noVBand="1" w:val="04A0"/>
      </w:tblPr>
      <w:tblGrid>
        <w:gridCol w:w="4968"/>
        <w:gridCol w:w="4968"/>
      </w:tblGrid>
      <w:tr>
        <w:tc>
          <w:tcPr>
            <w:tcW w:type="dxa" w:w="3024"/>
          </w:tcPr>
          <w:p>
            <w:pPr>
              <w:spacing w:after="20"/>
            </w:pPr>
            <w:r/>
            <w:r>
              <w:rPr>
                <w:rFonts w:ascii="Aptos" w:hAnsi="Aptos"/>
                <w:b/>
                <w:i w:val="0"/>
                <w:sz w:val="20"/>
              </w:rPr>
              <w:t>Use it at</w:t>
            </w:r>
          </w:p>
        </w:tc>
        <w:tc>
          <w:tcPr>
            <w:tcW w:type="dxa" w:w="4968"/>
          </w:tcPr>
          <w:p>
            <w:pPr>
              <w:spacing w:after="20"/>
            </w:pPr>
            <w:r/>
            <w:r>
              <w:rPr>
                <w:rFonts w:ascii="Aptos" w:hAnsi="Aptos"/>
                <w:b w:val="0"/>
                <w:i w:val="0"/>
                <w:sz w:val="20"/>
              </w:rPr>
              <w:t>the chart review, alongside the workbook.</w:t>
            </w:r>
          </w:p>
        </w:tc>
      </w:tr>
      <w:tr>
        <w:tc>
          <w:tcPr>
            <w:tcW w:type="dxa" w:w="3024"/>
          </w:tcPr>
          <w:p>
            <w:pPr>
              <w:spacing w:after="20"/>
            </w:pPr>
            <w:r/>
            <w:r>
              <w:rPr>
                <w:rFonts w:ascii="Aptos" w:hAnsi="Aptos"/>
                <w:b/>
                <w:i w:val="0"/>
                <w:sz w:val="20"/>
              </w:rPr>
              <w:t>What to do</w:t>
            </w:r>
          </w:p>
        </w:tc>
        <w:tc>
          <w:tcPr>
            <w:tcW w:type="dxa" w:w="4968"/>
          </w:tcPr>
          <w:p>
            <w:pPr>
              <w:spacing w:after="20"/>
            </w:pPr>
            <w:r/>
            <w:r>
              <w:rPr>
                <w:rFonts w:ascii="Aptos" w:hAnsi="Aptos"/>
                <w:b w:val="0"/>
                <w:i w:val="0"/>
                <w:sz w:val="20"/>
              </w:rPr>
              <w:t xml:space="preserve">sheet 06 is Dr Waad's, sheet 07 is Dr Ainaa's. Give each </w:t>
            </w:r>
            <w:r>
              <w:rPr>
                <w:rFonts w:ascii="Aptos" w:hAnsi="Aptos"/>
                <w:b/>
                <w:i w:val="0"/>
                <w:sz w:val="20"/>
              </w:rPr>
              <w:t>only their own file</w:t>
            </w:r>
            <w:r>
              <w:rPr>
                <w:rFonts w:ascii="Aptos" w:hAnsi="Aptos"/>
                <w:b w:val="0"/>
                <w:i w:val="0"/>
                <w:sz w:val="20"/>
              </w:rPr>
              <w:t>. They must never see each other's. That separation is the entire reason the agreement statistic means anything — if the two files are compared before Dr Amani has settled the disagreements, that part of the paper is lost.</w:t>
            </w:r>
          </w:p>
        </w:tc>
      </w:tr>
    </w:tbl>
    <w:p>
      <w:pPr>
        <w:spacing w:after="80"/>
      </w:pPr>
    </w:p>
    <w:p>
      <w:pPr>
        <w:pStyle w:val="Heading3"/>
      </w:pPr>
      <w:r>
        <w:rPr>
          <w:rFonts w:ascii="Aptos" w:hAnsi="Aptos"/>
          <w:b w:val="0"/>
          <w:i w:val="0"/>
        </w:rPr>
        <w:t>08 - Analysis Plan.docx</w:t>
      </w:r>
    </w:p>
    <w:tbl>
      <w:tblPr>
        <w:tblW w:type="auto" w:w="0"/>
        <w:jc w:val="left"/>
        <w:tblLook w:firstColumn="1" w:firstRow="1" w:lastColumn="0" w:lastRow="0" w:noHBand="0" w:noVBand="1" w:val="04A0"/>
      </w:tblPr>
      <w:tblGrid>
        <w:gridCol w:w="4968"/>
        <w:gridCol w:w="4968"/>
      </w:tblGrid>
      <w:tr>
        <w:tc>
          <w:tcPr>
            <w:tcW w:type="dxa" w:w="3024"/>
          </w:tcPr>
          <w:p>
            <w:pPr>
              <w:spacing w:after="20"/>
            </w:pPr>
            <w:r/>
            <w:r>
              <w:rPr>
                <w:rFonts w:ascii="Aptos" w:hAnsi="Aptos"/>
                <w:b/>
                <w:i w:val="0"/>
                <w:sz w:val="20"/>
              </w:rPr>
              <w:t>Use it at</w:t>
            </w:r>
          </w:p>
        </w:tc>
        <w:tc>
          <w:tcPr>
            <w:tcW w:type="dxa" w:w="4968"/>
          </w:tcPr>
          <w:p>
            <w:pPr>
              <w:spacing w:after="20"/>
            </w:pPr>
            <w:r/>
            <w:r>
              <w:rPr>
                <w:rFonts w:ascii="Aptos" w:hAnsi="Aptos"/>
                <w:b w:val="0"/>
                <w:i w:val="0"/>
                <w:sz w:val="20"/>
              </w:rPr>
              <w:t>after the coding is finished.</w:t>
            </w:r>
          </w:p>
        </w:tc>
      </w:tr>
      <w:tr>
        <w:tc>
          <w:tcPr>
            <w:tcW w:type="dxa" w:w="3024"/>
          </w:tcPr>
          <w:p>
            <w:pPr>
              <w:spacing w:after="20"/>
            </w:pPr>
            <w:r/>
            <w:r>
              <w:rPr>
                <w:rFonts w:ascii="Aptos" w:hAnsi="Aptos"/>
                <w:b/>
                <w:i w:val="0"/>
                <w:sz w:val="20"/>
              </w:rPr>
              <w:t>What to do</w:t>
            </w:r>
          </w:p>
        </w:tc>
        <w:tc>
          <w:tcPr>
            <w:tcW w:type="dxa" w:w="4968"/>
          </w:tcPr>
          <w:p>
            <w:pPr>
              <w:spacing w:after="20"/>
            </w:pPr>
            <w:r/>
            <w:r>
              <w:rPr>
                <w:rFonts w:ascii="Aptos" w:hAnsi="Aptos"/>
                <w:b w:val="0"/>
                <w:i w:val="0"/>
                <w:sz w:val="20"/>
              </w:rPr>
              <w:t xml:space="preserve">follow it as written. It was deliberately written </w:t>
            </w:r>
            <w:r>
              <w:rPr>
                <w:rFonts w:ascii="Aptos" w:hAnsi="Aptos"/>
                <w:b/>
                <w:i w:val="0"/>
                <w:sz w:val="20"/>
              </w:rPr>
              <w:t>before any data was seen</w:t>
            </w:r>
            <w:r>
              <w:rPr>
                <w:rFonts w:ascii="Aptos" w:hAnsi="Aptos"/>
                <w:b w:val="0"/>
                <w:i w:val="0"/>
                <w:sz w:val="20"/>
              </w:rPr>
              <w:t>, and that is what makes the findings credible. If something genuinely has to change, record the change, the date and the reason in its section 9 — do not quietly edit it.</w:t>
            </w:r>
          </w:p>
        </w:tc>
      </w:tr>
    </w:tbl>
    <w:p>
      <w:pPr>
        <w:spacing w:after="80"/>
      </w:pPr>
    </w:p>
    <w:p>
      <w:pPr>
        <w:pStyle w:val="Heading2"/>
      </w:pPr>
      <w:r>
        <w:rPr>
          <w:rFonts w:ascii="Aptos" w:hAnsi="Aptos"/>
          <w:b w:val="0"/>
          <w:i w:val="0"/>
        </w:rPr>
        <w:t>REFERENCE — look things up, do not work through</w:t>
      </w:r>
    </w:p>
    <w:tbl>
      <w:tblPr>
        <w:tblStyle w:val="TableGrid"/>
        <w:tblW w:type="auto" w:w="0"/>
        <w:jc w:val="left"/>
        <w:tblLook w:firstColumn="1" w:firstRow="1" w:lastColumn="0" w:lastRow="0" w:noHBand="0" w:noVBand="1" w:val="04A0"/>
      </w:tblPr>
      <w:tblGrid>
        <w:gridCol w:w="4968"/>
        <w:gridCol w:w="4968"/>
      </w:tblGrid>
      <w:tr>
        <w:tc>
          <w:tcPr>
            <w:tcW w:type="dxa" w:w="4968"/>
            <w:shd w:val="clear" w:fill="DEE7F0"/>
          </w:tcPr>
          <w:p>
            <w:pPr>
              <w:spacing w:after="40"/>
            </w:pPr>
            <w:r/>
            <w:r>
              <w:rPr>
                <w:rFonts w:ascii="Aptos" w:hAnsi="Aptos"/>
                <w:b/>
                <w:i w:val="0"/>
                <w:sz w:val="19"/>
              </w:rPr>
              <w:t>Document</w:t>
            </w:r>
          </w:p>
        </w:tc>
        <w:tc>
          <w:tcPr>
            <w:tcW w:type="dxa" w:w="4968"/>
            <w:shd w:val="clear" w:fill="DEE7F0"/>
          </w:tcPr>
          <w:p>
            <w:pPr>
              <w:spacing w:after="40"/>
            </w:pPr>
            <w:r/>
            <w:r>
              <w:rPr>
                <w:rFonts w:ascii="Aptos" w:hAnsi="Aptos"/>
                <w:b/>
                <w:i w:val="0"/>
                <w:sz w:val="19"/>
              </w:rPr>
              <w:t>What it is for</w:t>
            </w:r>
          </w:p>
        </w:tc>
      </w:tr>
      <w:tr>
        <w:tc>
          <w:tcPr>
            <w:tcW w:type="dxa" w:w="4968"/>
          </w:tcPr>
          <w:p>
            <w:pPr>
              <w:spacing w:after="40"/>
            </w:pPr>
            <w:r/>
            <w:r>
              <w:rPr>
                <w:rFonts w:ascii="Aptos" w:hAnsi="Aptos"/>
                <w:b/>
                <w:i w:val="0"/>
                <w:sz w:val="19"/>
              </w:rPr>
              <w:t>Full Study Protocol.docx</w:t>
            </w:r>
          </w:p>
        </w:tc>
        <w:tc>
          <w:tcPr>
            <w:tcW w:type="dxa" w:w="4968"/>
          </w:tcPr>
          <w:p>
            <w:pPr>
              <w:spacing w:after="40"/>
            </w:pPr>
            <w:r/>
            <w:r>
              <w:rPr>
                <w:rFonts w:ascii="Aptos" w:hAnsi="Aptos"/>
                <w:b w:val="0"/>
                <w:i w:val="0"/>
                <w:sz w:val="19"/>
              </w:rPr>
              <w:t>The complete protocol. The methods section of the paper comes from this. Longer and more detailed than the proposal you submit.</w:t>
            </w:r>
          </w:p>
        </w:tc>
      </w:tr>
      <w:tr>
        <w:tc>
          <w:tcPr>
            <w:tcW w:type="dxa" w:w="4968"/>
          </w:tcPr>
          <w:p>
            <w:pPr>
              <w:spacing w:after="40"/>
            </w:pPr>
            <w:r/>
            <w:r>
              <w:rPr>
                <w:rFonts w:ascii="Aptos" w:hAnsi="Aptos"/>
                <w:b/>
                <w:i w:val="0"/>
                <w:sz w:val="19"/>
              </w:rPr>
              <w:t>Coding Manual.docx</w:t>
            </w:r>
          </w:p>
        </w:tc>
        <w:tc>
          <w:tcPr>
            <w:tcW w:type="dxa" w:w="4968"/>
          </w:tcPr>
          <w:p>
            <w:pPr>
              <w:spacing w:after="40"/>
            </w:pPr>
            <w:r/>
            <w:r>
              <w:rPr>
                <w:rFonts w:ascii="Aptos" w:hAnsi="Aptos"/>
                <w:b w:val="0"/>
                <w:i w:val="0"/>
                <w:sz w:val="19"/>
              </w:rPr>
              <w:t xml:space="preserve">The rules behind the classification, with worked examples. This is the methods document for the ethics file and the manuscript. </w:t>
            </w:r>
            <w:r>
              <w:rPr>
                <w:rFonts w:ascii="Aptos" w:hAnsi="Aptos"/>
                <w:b/>
                <w:i w:val="0"/>
                <w:sz w:val="19"/>
              </w:rPr>
              <w:t>Reviewers use the Workbook instead</w:t>
            </w:r>
            <w:r>
              <w:rPr>
                <w:rFonts w:ascii="Aptos" w:hAnsi="Aptos"/>
                <w:b w:val="0"/>
                <w:i w:val="0"/>
                <w:sz w:val="19"/>
              </w:rPr>
              <w:t xml:space="preserve"> — do not hand them both.</w:t>
            </w:r>
          </w:p>
        </w:tc>
      </w:tr>
      <w:tr>
        <w:tc>
          <w:tcPr>
            <w:tcW w:type="dxa" w:w="4968"/>
          </w:tcPr>
          <w:p>
            <w:pPr>
              <w:spacing w:after="40"/>
            </w:pPr>
            <w:r/>
            <w:r>
              <w:rPr>
                <w:rFonts w:ascii="Aptos" w:hAnsi="Aptos"/>
                <w:b/>
                <w:i w:val="0"/>
                <w:sz w:val="19"/>
              </w:rPr>
              <w:t>Data Dictionary.docx</w:t>
            </w:r>
          </w:p>
        </w:tc>
        <w:tc>
          <w:tcPr>
            <w:tcW w:type="dxa" w:w="4968"/>
          </w:tcPr>
          <w:p>
            <w:pPr>
              <w:spacing w:after="40"/>
            </w:pPr>
            <w:r/>
            <w:r>
              <w:rPr>
                <w:rFonts w:ascii="Aptos" w:hAnsi="Aptos"/>
                <w:b w:val="0"/>
                <w:i w:val="0"/>
                <w:sz w:val="19"/>
              </w:rPr>
              <w:t>Every variable, one by one. Use it when talking to the IT department or when setting up the analysis.</w:t>
            </w:r>
          </w:p>
        </w:tc>
      </w:tr>
      <w:tr>
        <w:tc>
          <w:tcPr>
            <w:tcW w:type="dxa" w:w="4968"/>
          </w:tcPr>
          <w:p>
            <w:pPr>
              <w:spacing w:after="40"/>
            </w:pPr>
            <w:r/>
            <w:r>
              <w:rPr>
                <w:rFonts w:ascii="Aptos" w:hAnsi="Aptos"/>
                <w:b/>
                <w:i w:val="0"/>
                <w:sz w:val="19"/>
              </w:rPr>
              <w:t>Sample Reviewer Data (SYNTHETIC).docx</w:t>
            </w:r>
          </w:p>
        </w:tc>
        <w:tc>
          <w:tcPr>
            <w:tcW w:type="dxa" w:w="4968"/>
          </w:tcPr>
          <w:p>
            <w:pPr>
              <w:spacing w:after="40"/>
            </w:pPr>
            <w:r/>
            <w:r>
              <w:rPr>
                <w:rFonts w:ascii="Aptos" w:hAnsi="Aptos"/>
                <w:b w:val="0"/>
                <w:i w:val="0"/>
                <w:sz w:val="19"/>
              </w:rPr>
              <w:t xml:space="preserve">Forty </w:t>
            </w:r>
            <w:r>
              <w:rPr>
                <w:rFonts w:ascii="Aptos" w:hAnsi="Aptos"/>
                <w:b/>
                <w:i w:val="0"/>
                <w:sz w:val="19"/>
              </w:rPr>
              <w:t>invented</w:t>
            </w:r>
            <w:r>
              <w:rPr>
                <w:rFonts w:ascii="Aptos" w:hAnsi="Aptos"/>
                <w:b w:val="0"/>
                <w:i w:val="0"/>
                <w:sz w:val="19"/>
              </w:rPr>
              <w:t xml:space="preserve"> pairs with the agreement tables worked through, so the team can see the shape of the output before real data exists. </w:t>
            </w:r>
            <w:r>
              <w:rPr>
                <w:rFonts w:ascii="Aptos" w:hAnsi="Aptos"/>
                <w:b/>
                <w:i w:val="0"/>
                <w:sz w:val="19"/>
              </w:rPr>
              <w:t>No real patients. Delete this once the real pilot is done.</w:t>
            </w:r>
          </w:p>
        </w:tc>
      </w:tr>
    </w:tbl>
    <w:p>
      <w:pPr>
        <w:spacing w:after="80"/>
      </w:pPr>
    </w:p>
    <w:p>
      <w:pPr>
        <w:pStyle w:val="Heading2"/>
      </w:pPr>
      <w:r>
        <w:rPr>
          <w:rFonts w:ascii="Aptos" w:hAnsi="Aptos"/>
          <w:b w:val="0"/>
          <w:i w:val="0"/>
        </w:rPr>
        <w:t>Changing wording</w:t>
      </w:r>
    </w:p>
    <w:p>
      <w:r>
        <w:rPr>
          <w:rFonts w:ascii="Aptos" w:hAnsi="Aptos"/>
          <w:b w:val="0"/>
          <w:i w:val="0"/>
        </w:rPr>
        <w:t xml:space="preserve">All the documents except the Arabic letter are built from text files in </w:t>
      </w:r>
      <w:r>
        <w:rPr>
          <w:rFonts w:ascii="Consolas" w:hAnsi="Consolas"/>
          <w:b w:val="0"/>
          <w:i w:val="0"/>
          <w:color w:val="444444"/>
          <w:sz w:val="19"/>
        </w:rPr>
        <w:t>source</w:t>
      </w:r>
      <w:r>
        <w:rPr>
          <w:rFonts w:ascii="Aptos" w:hAnsi="Aptos"/>
          <w:b w:val="0"/>
          <w:i w:val="0"/>
        </w:rPr>
        <w:t xml:space="preserve">. </w:t>
      </w:r>
      <w:r>
        <w:rPr>
          <w:rFonts w:ascii="Aptos" w:hAnsi="Aptos"/>
          <w:b/>
          <w:i w:val="0"/>
        </w:rPr>
        <w:t>Edit the text file, not the Word file</w:t>
      </w:r>
      <w:r>
        <w:rPr>
          <w:rFonts w:ascii="Aptos" w:hAnsi="Aptos"/>
          <w:b w:val="0"/>
          <w:i w:val="0"/>
        </w:rPr>
        <w:t xml:space="preserve"> — otherwise your change is lost the next time anything is rebuilt.</w:t>
      </w:r>
    </w:p>
    <w:p>
      <w:r>
        <w:rPr>
          <w:rFonts w:ascii="Aptos" w:hAnsi="Aptos"/>
          <w:b w:val="0"/>
          <w:i w:val="0"/>
        </w:rPr>
        <w:t>``</w:t>
      </w:r>
      <w:r>
        <w:rPr>
          <w:rFonts w:ascii="Consolas" w:hAnsi="Consolas"/>
          <w:b w:val="0"/>
          <w:i w:val="0"/>
          <w:color w:val="444444"/>
          <w:sz w:val="19"/>
        </w:rPr>
        <w:t xml:space="preserve"> cd source python build_all.py </w:t>
      </w:r>
      <w:r>
        <w:rPr>
          <w:rFonts w:ascii="Aptos" w:hAnsi="Aptos"/>
          <w:b w:val="0"/>
          <w:i w:val="0"/>
        </w:rPr>
        <w:t>``</w:t>
      </w:r>
    </w:p>
    <w:p>
      <w:r>
        <w:rPr>
          <w:rFonts w:ascii="Aptos" w:hAnsi="Aptos"/>
          <w:b w:val="0"/>
          <w:i w:val="0"/>
        </w:rPr>
        <w:t>That rebuilds every document into its correct numbered place. To rebuild only one:</w:t>
      </w:r>
    </w:p>
    <w:p>
      <w:r>
        <w:rPr>
          <w:rFonts w:ascii="Aptos" w:hAnsi="Aptos"/>
          <w:b w:val="0"/>
          <w:i w:val="0"/>
        </w:rPr>
        <w:t>``</w:t>
      </w:r>
      <w:r>
        <w:rPr>
          <w:rFonts w:ascii="Consolas" w:hAnsi="Consolas"/>
          <w:b w:val="0"/>
          <w:i w:val="0"/>
          <w:color w:val="444444"/>
          <w:sz w:val="19"/>
        </w:rPr>
        <w:t xml:space="preserve"> python build_all.py 05 python build_all.py workbook </w:t>
      </w:r>
      <w:r>
        <w:rPr>
          <w:rFonts w:ascii="Aptos" w:hAnsi="Aptos"/>
          <w:b w:val="0"/>
          <w:i w:val="0"/>
        </w:rPr>
        <w:t>``</w:t>
      </w:r>
    </w:p>
    <w:p>
      <w:r>
        <w:rPr>
          <w:rFonts w:ascii="Aptos" w:hAnsi="Aptos"/>
          <w:b/>
          <w:i w:val="0"/>
        </w:rPr>
        <w:t>Close the file in Word first.</w:t>
      </w:r>
      <w:r>
        <w:rPr>
          <w:rFonts w:ascii="Aptos" w:hAnsi="Aptos"/>
          <w:b w:val="0"/>
          <w:i w:val="0"/>
        </w:rPr>
        <w:t xml:space="preserve"> Word locks an open document and the rebuild for that one file will fail — the script says which one and carries on with the rest.</w:t>
      </w:r>
    </w:p>
    <w:p>
      <w:r>
        <w:rPr>
          <w:rFonts w:ascii="Aptos" w:hAnsi="Aptos"/>
          <w:b/>
          <w:i w:val="0"/>
        </w:rPr>
        <w:t>If you have hand-edited a Word file</w:t>
      </w:r>
      <w:r>
        <w:rPr>
          <w:rFonts w:ascii="Aptos" w:hAnsi="Aptos"/>
          <w:b w:val="0"/>
          <w:i w:val="0"/>
        </w:rPr>
        <w:t>, say so before rebuilding, so the change can be copied back into the text file first. Otherwise the rebuild overwrites it.</w:t>
      </w:r>
    </w:p>
    <w:p>
      <w:pPr>
        <w:pStyle w:val="Heading2"/>
      </w:pPr>
      <w:r>
        <w:rPr>
          <w:rFonts w:ascii="Aptos" w:hAnsi="Aptos"/>
          <w:b w:val="0"/>
          <w:i w:val="0"/>
        </w:rPr>
        <w:t>What is blocked, and on what</w:t>
      </w:r>
    </w:p>
    <w:tbl>
      <w:tblPr>
        <w:tblStyle w:val="TableGrid"/>
        <w:tblW w:type="auto" w:w="0"/>
        <w:jc w:val="left"/>
        <w:tblLook w:firstColumn="1" w:firstRow="1" w:lastColumn="0" w:lastRow="0" w:noHBand="0" w:noVBand="1" w:val="04A0"/>
      </w:tblPr>
      <w:tblGrid>
        <w:gridCol w:w="4968"/>
        <w:gridCol w:w="4968"/>
      </w:tblGrid>
      <w:tr>
        <w:tc>
          <w:tcPr>
            <w:tcW w:type="dxa" w:w="4968"/>
            <w:shd w:val="clear" w:fill="DEE7F0"/>
          </w:tcPr>
          <w:p>
            <w:pPr>
              <w:spacing w:after="40"/>
            </w:pPr>
            <w:r/>
            <w:r>
              <w:rPr>
                <w:rFonts w:ascii="Aptos" w:hAnsi="Aptos"/>
                <w:b/>
                <w:i w:val="0"/>
                <w:sz w:val="19"/>
              </w:rPr>
              <w:t>Step</w:t>
            </w:r>
          </w:p>
        </w:tc>
        <w:tc>
          <w:tcPr>
            <w:tcW w:type="dxa" w:w="4968"/>
            <w:shd w:val="clear" w:fill="DEE7F0"/>
          </w:tcPr>
          <w:p>
            <w:pPr>
              <w:spacing w:after="40"/>
            </w:pPr>
            <w:r/>
            <w:r>
              <w:rPr>
                <w:rFonts w:ascii="Aptos" w:hAnsi="Aptos"/>
                <w:b/>
                <w:i w:val="0"/>
                <w:sz w:val="19"/>
              </w:rPr>
              <w:t>Waiting for</w:t>
            </w:r>
          </w:p>
        </w:tc>
      </w:tr>
      <w:tr>
        <w:tc>
          <w:tcPr>
            <w:tcW w:type="dxa" w:w="4968"/>
          </w:tcPr>
          <w:p>
            <w:pPr>
              <w:spacing w:after="40"/>
            </w:pPr>
            <w:r/>
            <w:r>
              <w:rPr>
                <w:rFonts w:ascii="Aptos" w:hAnsi="Aptos"/>
                <w:b w:val="0"/>
                <w:i w:val="0"/>
                <w:sz w:val="19"/>
              </w:rPr>
              <w:t>02 Ethics submission</w:t>
            </w:r>
          </w:p>
        </w:tc>
        <w:tc>
          <w:tcPr>
            <w:tcW w:type="dxa" w:w="4968"/>
          </w:tcPr>
          <w:p>
            <w:pPr>
              <w:spacing w:after="40"/>
            </w:pPr>
            <w:r/>
            <w:r>
              <w:rPr>
                <w:rFonts w:ascii="Aptos" w:hAnsi="Aptos"/>
                <w:b w:val="0"/>
                <w:i w:val="0"/>
                <w:sz w:val="19"/>
              </w:rPr>
              <w:t>The two missing surnames, author order, signatures. Nothing else.</w:t>
            </w:r>
          </w:p>
        </w:tc>
      </w:tr>
      <w:tr>
        <w:tc>
          <w:tcPr>
            <w:tcW w:type="dxa" w:w="4968"/>
          </w:tcPr>
          <w:p>
            <w:pPr>
              <w:spacing w:after="40"/>
            </w:pPr>
            <w:r/>
            <w:r>
              <w:rPr>
                <w:rFonts w:ascii="Aptos" w:hAnsi="Aptos"/>
                <w:b w:val="0"/>
                <w:i w:val="0"/>
                <w:sz w:val="19"/>
              </w:rPr>
              <w:t>03 HIS access</w:t>
            </w:r>
          </w:p>
        </w:tc>
        <w:tc>
          <w:tcPr>
            <w:tcW w:type="dxa" w:w="4968"/>
          </w:tcPr>
          <w:p>
            <w:pPr>
              <w:spacing w:after="40"/>
            </w:pPr>
            <w:r/>
            <w:r>
              <w:rPr>
                <w:rFonts w:ascii="Aptos" w:hAnsi="Aptos"/>
                <w:b w:val="0"/>
                <w:i w:val="0"/>
                <w:sz w:val="19"/>
              </w:rPr>
              <w:t>Can probably go now — ask whether it may run alongside the ethics submission</w:t>
            </w:r>
          </w:p>
        </w:tc>
      </w:tr>
      <w:tr>
        <w:tc>
          <w:tcPr>
            <w:tcW w:type="dxa" w:w="4968"/>
          </w:tcPr>
          <w:p>
            <w:pPr>
              <w:spacing w:after="40"/>
            </w:pPr>
            <w:r/>
            <w:r>
              <w:rPr>
                <w:rFonts w:ascii="Aptos" w:hAnsi="Aptos"/>
                <w:b w:val="0"/>
                <w:i w:val="0"/>
                <w:sz w:val="19"/>
              </w:rPr>
              <w:t>04 Data export</w:t>
            </w:r>
          </w:p>
        </w:tc>
        <w:tc>
          <w:tcPr>
            <w:tcW w:type="dxa" w:w="4968"/>
          </w:tcPr>
          <w:p>
            <w:pPr>
              <w:spacing w:after="40"/>
            </w:pPr>
            <w:r/>
            <w:r>
              <w:rPr>
                <w:rFonts w:ascii="Aptos" w:hAnsi="Aptos"/>
                <w:b w:val="0"/>
                <w:i w:val="0"/>
                <w:sz w:val="19"/>
              </w:rPr>
              <w:t>Ethics approval letter. The two system questions do not have to wait.</w:t>
            </w:r>
          </w:p>
        </w:tc>
      </w:tr>
      <w:tr>
        <w:tc>
          <w:tcPr>
            <w:tcW w:type="dxa" w:w="4968"/>
          </w:tcPr>
          <w:p>
            <w:pPr>
              <w:spacing w:after="40"/>
            </w:pPr>
            <w:r/>
            <w:r>
              <w:rPr>
                <w:rFonts w:ascii="Aptos" w:hAnsi="Aptos"/>
                <w:b w:val="0"/>
                <w:i w:val="0"/>
                <w:sz w:val="19"/>
              </w:rPr>
              <w:t>05 to 08</w:t>
            </w:r>
          </w:p>
        </w:tc>
        <w:tc>
          <w:tcPr>
            <w:tcW w:type="dxa" w:w="4968"/>
          </w:tcPr>
          <w:p>
            <w:pPr>
              <w:spacing w:after="40"/>
            </w:pPr>
            <w:r/>
            <w:r>
              <w:rPr>
                <w:rFonts w:ascii="Aptos" w:hAnsi="Aptos"/>
                <w:b w:val="0"/>
                <w:i w:val="0"/>
                <w:sz w:val="19"/>
              </w:rPr>
              <w:t>The data</w:t>
            </w:r>
          </w:p>
        </w:tc>
      </w:tr>
    </w:tbl>
    <w:p>
      <w:pPr>
        <w:spacing w:after="80"/>
      </w:pPr>
    </w:p>
    <w:p>
      <w:r>
        <w:rPr>
          <w:rFonts w:ascii="Aptos" w:hAnsi="Aptos"/>
          <w:b/>
          <w:i w:val="0"/>
        </w:rPr>
        <w:t>One check is still outstanding before any of this:</w:t>
      </w:r>
      <w:r>
        <w:rPr>
          <w:rFonts w:ascii="Aptos" w:hAnsi="Aptos"/>
          <w:b w:val="0"/>
          <w:i w:val="0"/>
        </w:rPr>
        <w:t xml:space="preserve"> ask colleagues in the emergency department and in pediatrics whether anyone is already doing this study. The thesis repositories and the Ministry research office have both been checked and are clear, but neither of them can see work in progress in your own department — and that is exactly what caught the previous project.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0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